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  <w:jc w:val="center"/>
      </w:pPr>
      <w:r>
        <w:t xml:space="preserve">Текст выступления</w:t>
      </w:r>
    </w:p>
    <w:p>
      <w:pPr>
        <w:spacing w:after="80"/>
        <w:jc w:val="center"/>
      </w:pPr>
      <w:r>
        <w:rPr>
          <w:b/>
          <w:bCs/>
        </w:rPr>
        <w:t xml:space="preserve">Источники конкурентных преимуществ ТНК</w:t>
      </w:r>
    </w:p>
    <w:p>
      <w:pPr>
        <w:spacing w:after="80"/>
        <w:jc w:val="center"/>
      </w:pPr>
      <w:r>
        <w:t xml:space="preserve">Семинар 3, вопрос 4</w:t>
      </w:r>
    </w:p>
    <w:p>
      <w:pPr>
        <w:pBdr>
          <w:bottom w:val="single" w:color="111111" w:sz="6" w:space="8"/>
        </w:pBdr>
        <w:spacing w:after="240"/>
        <w:jc w:val="center"/>
      </w:pPr>
      <w:r>
        <w:t xml:space="preserve">Выполнил: Аверьянов Никита Романович (МЭиМБ24-1)</w:t>
      </w:r>
    </w:p>
    <w:p>
      <w:pPr>
        <w:spacing w:after="120" w:before="120"/>
      </w:pPr>
      <w:r>
        <w:rPr>
          <w:i/>
          <w:iCs/>
        </w:rPr>
        <w:t xml:space="preserve">Текст к каждому из 15 слайдов. Весь доклад читается примерно за 8–9 минут; цифры совпадают со слайдами.</w:t>
      </w:r>
    </w:p>
    <w:p>
      <w:pPr>
        <w:pStyle w:val="Heading1"/>
        <w:keepNext/>
      </w:pPr>
      <w:r>
        <w:t xml:space="preserve">Слайд 1. Титул</w:t>
      </w:r>
    </w:p>
    <w:p>
      <w:pPr>
        <w:spacing w:after="120" w:line="360"/>
        <w:ind w:firstLine="709"/>
        <w:jc w:val="both"/>
      </w:pPr>
      <w:r>
        <w:t xml:space="preserve">Здравствуйте. Меня зовут Никита Аверьянов, группа МЭиМБ24-1. Тема моего доклада — источники конкурентных преимуществ транснациональных корпораций. Я расскажу, за счёт чего ТНК выигрывают у национальных компаний и друг у друга, как эти источники объясняет теория и как они меняются в 2020-е годы.</w:t>
      </w:r>
    </w:p>
    <w:p>
      <w:pPr>
        <w:pStyle w:val="Heading1"/>
        <w:keepNext/>
      </w:pPr>
      <w:r>
        <w:t xml:space="preserve">Слайд 2. Роль ТНК в мировой экономике</w:t>
      </w:r>
    </w:p>
    <w:p>
      <w:pPr>
        <w:spacing w:after="120" w:line="360"/>
        <w:ind w:firstLine="709"/>
        <w:jc w:val="both"/>
      </w:pPr>
      <w:r>
        <w:t xml:space="preserve">Начну с масштаба. Пятьсот крупнейших компаний мира в 2025 году получили 43,1 триллиона долларов выручки и 3,4 триллиона прибыли. Впервые первое место в рейтинге Fortune Global 500 занял Amazon с выручкой 716,9 миллиарда долларов — он обошёл Walmart, который лидировал 12 лет.</w:t>
      </w:r>
    </w:p>
    <w:p>
      <w:pPr>
        <w:spacing w:after="120" w:line="360"/>
        <w:ind w:firstLine="709"/>
        <w:jc w:val="both"/>
      </w:pPr>
      <w:r>
        <w:t xml:space="preserve">По оценке ЮНКТАД, около 80% мировой торговли связано с производственными сетями ТНК. Прямые иностранные инвестиции в 2025 году выросли на 6%, до 1,6 триллиона долларов. Такой масштаб — уже следствие конкурентных преимуществ: за рубежом растёт только та компания, которая умеет что-то лучше местных фирм.</w:t>
      </w:r>
    </w:p>
    <w:p>
      <w:pPr>
        <w:pStyle w:val="Heading1"/>
        <w:keepNext/>
      </w:pPr>
      <w:r>
        <w:t xml:space="preserve">Слайд 3. Понятие конкурентного преимущества ТНК</w:t>
      </w:r>
    </w:p>
    <w:p>
      <w:pPr>
        <w:spacing w:after="120" w:line="360"/>
        <w:ind w:firstLine="709"/>
        <w:jc w:val="both"/>
      </w:pPr>
      <w:r>
        <w:t xml:space="preserve">Конкурентное преимущество ТНК — это совокупность ресурсов, компетенций и условий, которая позволяет компании работать в других странах эффективнее местных фирм и получать доход выше среднего по отрасли.</w:t>
      </w:r>
    </w:p>
    <w:p>
      <w:pPr>
        <w:spacing w:after="120" w:line="360"/>
        <w:ind w:firstLine="709"/>
        <w:jc w:val="both"/>
      </w:pPr>
      <w:r>
        <w:t xml:space="preserve">Стивен Хаймер обратил внимание, что у иностранной компании изначально есть недостатки — издержки иностранности. Она хуже знает рынок, язык и право, несёт валютный и политический риск, ей меньше доверяют. Поэтому выход за рубеж окупается, только если преимущество больше этих издержек.</w:t>
      </w:r>
    </w:p>
    <w:p>
      <w:pPr>
        <w:spacing w:after="120" w:line="360"/>
        <w:ind w:firstLine="709"/>
        <w:jc w:val="both"/>
      </w:pPr>
      <w:r>
        <w:t xml:space="preserve">Дальше теория развивалась так: Бакли и Кассон объяснили, почему знания выгоднее использовать внутри фирмы; Даннинг объединил подходы в парадигму OLI; Коугут показал ценность гибкости сети филиалов; Портер — роль страны базирования; Барни — роль уникальных ресурсов.</w:t>
      </w:r>
    </w:p>
    <w:p>
      <w:pPr>
        <w:pStyle w:val="Heading1"/>
        <w:keepNext/>
      </w:pPr>
      <w:r>
        <w:t xml:space="preserve">Слайд 4. Парадигма OLI: три группы источников</w:t>
      </w:r>
    </w:p>
    <w:p>
      <w:pPr>
        <w:spacing w:after="120" w:line="360"/>
        <w:ind w:firstLine="709"/>
        <w:jc w:val="both"/>
      </w:pPr>
      <w:r>
        <w:t xml:space="preserve">Центральная модель — парадигма OLI Джона Даннинга. Буква O — преимущества собственности: что есть у фирмы, чего нет у конкурентов. L — преимущества размещения: почему выгодно производить именно в этой стране. I — интернализация: почему выгоднее делать всё внутри своей компании, а не продавать лицензию.</w:t>
      </w:r>
    </w:p>
    <w:p>
      <w:pPr>
        <w:spacing w:after="120" w:line="360"/>
        <w:ind w:firstLine="709"/>
        <w:jc w:val="both"/>
      </w:pPr>
      <w:r>
        <w:t xml:space="preserve">Таблица внизу показывает логику. Если есть только O, фирма продаёт лицензию. Если O и I — экспортирует. Если все три — открывает или покупает предприятие за рубежом и становится ТНК. По этим трём группам построена дальнейшая часть доклада.</w:t>
      </w:r>
    </w:p>
    <w:p>
      <w:pPr>
        <w:pStyle w:val="Heading1"/>
        <w:keepNext/>
      </w:pPr>
      <w:r>
        <w:t xml:space="preserve">Слайд 5. Технологические преимущества: НИОКР и патенты</w:t>
      </w:r>
    </w:p>
    <w:p>
      <w:pPr>
        <w:spacing w:after="120" w:line="360"/>
        <w:ind w:firstLine="709"/>
        <w:jc w:val="both"/>
      </w:pPr>
      <w:r>
        <w:t xml:space="preserve">Первый источник из группы O — технологии. В 2024 году две тысячи крупнейших компаний мира вложили в НИОКР около 1,44 триллиона евро. Лидеры — Amazon, Alphabet, Meta, Microsoft и Apple, все пятеро из США. Они дают около 15% всех корпоративных НИОКР, и за десять лет их доля почти удвоилась. На компании США приходится 47% корпоративных исследований мира.</w:t>
      </w:r>
    </w:p>
    <w:p>
      <w:pPr>
        <w:spacing w:after="120" w:line="360"/>
        <w:ind w:firstLine="709"/>
        <w:jc w:val="both"/>
      </w:pPr>
      <w:r>
        <w:t xml:space="preserve">Почему это преимущество именно ТНК? Исследования — постоянные затраты: чем больше мировой рынок компании, тем дешевле обходится каждая единица знаний. Из неамериканских компаний выделяется Huawei: девятый год подряд она первая в мире по международным патентным заявкам — 7523 заявки в 2025 году.</w:t>
      </w:r>
    </w:p>
    <w:p>
      <w:pPr>
        <w:pStyle w:val="Heading1"/>
        <w:keepNext/>
      </w:pPr>
      <w:r>
        <w:t xml:space="preserve">Слайд 6. Бренд как источник конкурентного преимущества</w:t>
      </w:r>
    </w:p>
    <w:p>
      <w:pPr>
        <w:spacing w:after="120" w:line="360"/>
        <w:ind w:firstLine="709"/>
        <w:jc w:val="both"/>
      </w:pPr>
      <w:r>
        <w:t xml:space="preserve">Второй источник — бренд. По оценке Interbrand, бренд Apple стоит почти 471 миллиард долларов. Бренды первой четвёрки — Apple, Microsoft, Amazon и Google — в 3,5–5 раз дороже, чем Samsung на пятом месте.</w:t>
      </w:r>
    </w:p>
    <w:p>
      <w:pPr>
        <w:spacing w:after="120" w:line="360"/>
        <w:ind w:firstLine="709"/>
        <w:jc w:val="both"/>
      </w:pPr>
      <w:r>
        <w:t xml:space="preserve">Что даёт глобальный бренд? Ценовую премию: покупатель платит за уверенность в качестве. Дешёвый выход на новые рынки: бренд знают ещё до прихода компании. Переговорную силу с торговыми сетями. И возможность адаптировать продукт к местным вкусам, не теряя узнаваемости, — как McDonald’s с местным меню в разных странах.</w:t>
      </w:r>
    </w:p>
    <w:p>
      <w:pPr>
        <w:pStyle w:val="Heading1"/>
        <w:keepNext/>
      </w:pPr>
      <w:r>
        <w:t xml:space="preserve">Слайд 7. Масштаб, финансы и организация</w:t>
      </w:r>
    </w:p>
    <w:p>
      <w:pPr>
        <w:spacing w:after="120" w:line="360"/>
        <w:ind w:firstLine="709"/>
        <w:jc w:val="both"/>
      </w:pPr>
      <w:r>
        <w:t xml:space="preserve">Следующие три источника — масштаб, финансы и организация. Масштаб позволяет делить затраты на НИОКР, бренд и ИТ на мировой объём продаж и диктовать условия поставщикам. У пятёрки лидеров по НИОКР выручка — 1,76 триллиона евро при операционной рентабельности 27,5%. Авторы рейтинга ЕС объясняют это и эффективностью, и рыночной властью.</w:t>
      </w:r>
    </w:p>
    <w:p>
      <w:pPr>
        <w:spacing w:after="120" w:line="360"/>
        <w:ind w:firstLine="709"/>
        <w:jc w:val="both"/>
      </w:pPr>
      <w:r>
        <w:t xml:space="preserve">Финансовые преимущества — дешёвый долг, внутренний рынок капитала группы и управление валютным риском. Налоговый арбитраж теперь ограничен глобальным минимальным налогом 15% для групп с выручкой от 750 миллионов евро.</w:t>
      </w:r>
    </w:p>
    <w:p>
      <w:pPr>
        <w:spacing w:after="120" w:line="360"/>
        <w:ind w:firstLine="709"/>
        <w:jc w:val="both"/>
      </w:pPr>
      <w:r>
        <w:t xml:space="preserve">Самые устойчивые преимущества — организационные. Производственную систему Toyota описали в сотнях книг, но полностью перенять её удаётся немногим: она держится на культуре и навыках людей. Барни называет такие ресурсы социально сложными — их труднее всего скопировать.</w:t>
      </w:r>
    </w:p>
    <w:p>
      <w:pPr>
        <w:pStyle w:val="Heading1"/>
        <w:keepNext/>
      </w:pPr>
      <w:r>
        <w:t xml:space="preserve">Слайд 8. Преимущества страны базирования: ромб Портера</w:t>
      </w:r>
    </w:p>
    <w:p>
      <w:pPr>
        <w:spacing w:after="120" w:line="360"/>
        <w:ind w:firstLine="709"/>
        <w:jc w:val="both"/>
      </w:pPr>
      <w:r>
        <w:t xml:space="preserve">Вторая группа — преимущества размещения. Начну со страны базирования. По модели Майкла Портера сильные международные компании вырастают там, где есть четыре условия: квалифицированные кадры и наука, требовательные покупатели, кластеры поставщиков и жёсткая конкуренция на внутреннем рынке. Эти условия усиливают друг друга.</w:t>
      </w:r>
    </w:p>
    <w:p>
      <w:pPr>
        <w:spacing w:after="120" w:line="360"/>
        <w:ind w:firstLine="709"/>
        <w:jc w:val="both"/>
      </w:pPr>
      <w:r>
        <w:t xml:space="preserve">На них влияют ещё два фактора — государство и случай. В многополярном мире, как пишут Перская и Эскиндаров, роль государства растёт: оно поддерживает свои компании за рубежом через соглашения, кредиты и экономическую дипломатию.</w:t>
      </w:r>
    </w:p>
    <w:p>
      <w:pPr>
        <w:pStyle w:val="Heading1"/>
        <w:keepNext/>
      </w:pPr>
      <w:r>
        <w:t xml:space="preserve">Слайд 9. Преимущества размещения в принимающих странах</w:t>
      </w:r>
    </w:p>
    <w:p>
      <w:pPr>
        <w:spacing w:after="120" w:line="360"/>
        <w:ind w:firstLine="709"/>
        <w:jc w:val="both"/>
      </w:pPr>
      <w:r>
        <w:t xml:space="preserve">Почему ТНК идёт в конкретную страну? Даннинг выделял четыре мотива: поиск ресурсов, рынков, эффективности и стратегических активов. Примеры — нефтегазовые компании, автозаводы в Китае и Мексике, сборка электроники во Вьетнаме и Индии, покупка Volvo Cars китайской Geely в 2010 году.</w:t>
      </w:r>
    </w:p>
    <w:p>
      <w:pPr>
        <w:spacing w:after="120" w:line="360"/>
        <w:ind w:firstLine="709"/>
        <w:jc w:val="both"/>
      </w:pPr>
      <w:r>
        <w:t xml:space="preserve">Сейчас выбор всё сильнее определяет политика. По данным ЮНКТАД, 20 крупнейших принимающих экономик получают более 80% мировых прямых инвестиций. Доля стратегических отраслей — ИИ-инфраструктуры, полупроводников, критических минералов — в новых проектах выросла с 16% в 2020 году до 44% в 2025-м. Страну всё чаще выбирают по политической надёжности: это френд-шоринг и ниаршоринг.</w:t>
      </w:r>
    </w:p>
    <w:p>
      <w:pPr>
        <w:pStyle w:val="Heading1"/>
        <w:keepNext/>
      </w:pPr>
      <w:r>
        <w:t xml:space="preserve">Слайд 10. Интернализация и цепочка создания стоимости</w:t>
      </w:r>
    </w:p>
    <w:p>
      <w:pPr>
        <w:spacing w:after="120" w:line="360"/>
        <w:ind w:firstLine="709"/>
        <w:jc w:val="both"/>
      </w:pPr>
      <w:r>
        <w:t xml:space="preserve">Третья группа — интернализация. ТНК оставляют внутри фирмы самые дорогие звенья цепочки создания стоимости: исследования, дизайн, маркетинг и сервис. Производство компонентов и сборку они отдают подрядчикам. Это показывает кривая улыбки: по краям добавленная стоимость высокая, в середине — низкая.</w:t>
      </w:r>
    </w:p>
    <w:p>
      <w:pPr>
        <w:spacing w:after="120" w:line="360"/>
        <w:ind w:firstLine="709"/>
        <w:jc w:val="both"/>
      </w:pPr>
      <w:r>
        <w:t xml:space="preserve">Классический пример — iPhone. По исследованию Калифорнийского университета в Ирвайне, в 2010 году Apple получала 58,5% цены продажи телефона в виде прибыли, а оплата труда сборщиков в Китае составляла всего 1,8%. Сборку ведут подрядчики, например Foxconn, а Apple контролирует их через стандарты и закупки.</w:t>
      </w:r>
    </w:p>
    <w:p>
      <w:pPr>
        <w:pStyle w:val="Heading1"/>
        <w:keepNext/>
      </w:pPr>
      <w:r>
        <w:t xml:space="preserve">Слайд 11. Преимущества многонациональности</w:t>
      </w:r>
    </w:p>
    <w:p>
      <w:pPr>
        <w:spacing w:after="120" w:line="360"/>
        <w:ind w:firstLine="709"/>
        <w:jc w:val="both"/>
      </w:pPr>
      <w:r>
        <w:t xml:space="preserve">Сама сеть филиалов в разных странах — тоже источник преимуществ, которого нет у национальной фирмы. Панкадж Гемават описал это формулой AAA: адаптация к местным условиям, агрегация — единые платформы и бренды ради экономии на масштабе, и арбитраж — использование различий между странами в зарплатах, налогах и знаниях.</w:t>
      </w:r>
    </w:p>
    <w:p>
      <w:pPr>
        <w:spacing w:after="120" w:line="360"/>
        <w:ind w:firstLine="709"/>
        <w:jc w:val="both"/>
      </w:pPr>
      <w:r>
        <w:t xml:space="preserve">Брюс Коугут называл это операционной гибкостью: производство можно перенести туда, где выгоднее при изменении курсов, пошлин и издержек. Добавлю ещё диверсификацию рисков и обмен знаниями между филиалами.</w:t>
      </w:r>
    </w:p>
    <w:p>
      <w:pPr>
        <w:pStyle w:val="Heading1"/>
        <w:keepNext/>
      </w:pPr>
      <w:r>
        <w:t xml:space="preserve">Слайд 12. Нематериальные активы как источник преимуществ</w:t>
      </w:r>
    </w:p>
    <w:p>
      <w:pPr>
        <w:spacing w:after="120" w:line="360"/>
        <w:ind w:firstLine="709"/>
        <w:jc w:val="both"/>
      </w:pPr>
      <w:r>
        <w:t xml:space="preserve">Главный сдвиг последних десятилетий — переход от материальных активов к нематериальным. В 1975 году нематериальные активы давали 17% рыночной стоимости компаний индекса S&amp;P 500, в 2005-м — 79%, в 2025 году — около 92%.</w:t>
      </w:r>
    </w:p>
    <w:p>
      <w:pPr>
        <w:spacing w:after="120" w:line="360"/>
        <w:ind w:firstLine="709"/>
        <w:jc w:val="both"/>
      </w:pPr>
      <w:r>
        <w:t xml:space="preserve">В цифровой экономике к технологиям и брендам добавились данные, платформы и сетевые эффекты: чем больше пользователей, тем ценнее сервис. Такие ТНК выходят на зарубежные рынки почти без заводов и складов.</w:t>
      </w:r>
    </w:p>
    <w:p>
      <w:pPr>
        <w:pStyle w:val="Heading1"/>
        <w:keepNext/>
      </w:pPr>
      <w:r>
        <w:t xml:space="preserve">Слайд 13. Конкурентные преимущества российских корпораций</w:t>
      </w:r>
    </w:p>
    <w:p>
      <w:pPr>
        <w:spacing w:after="120" w:line="360"/>
        <w:ind w:firstLine="709"/>
        <w:jc w:val="both"/>
      </w:pPr>
      <w:r>
        <w:t xml:space="preserve">Российские корпорации опираются прежде всего на ресурсную базу, государственную поддержку и технологические ниши — атомную энергетику и кибербезопасность. После 2022 года они переориентировались на рынки Азии, Ближнего Востока и Африки и перешли на расчёты в национальных валютах.</w:t>
      </w:r>
    </w:p>
    <w:p>
      <w:pPr>
        <w:spacing w:after="120" w:line="360"/>
        <w:ind w:firstLine="709"/>
        <w:jc w:val="both"/>
      </w:pPr>
      <w:r>
        <w:t xml:space="preserve">Лучший пример — Росатом: портфель зарубежных заказов — 206 миллиардов долларов, в работе 41 энергоблок в 11 странах. Его преимущество — комплексное предложение: строительство, топливо на весь срок службы, подготовка кадров и финансирование. На АЭС «Аккую» в Турции Росатом сам строит станцию, владеет ею и эксплуатирует её.</w:t>
      </w:r>
    </w:p>
    <w:p>
      <w:pPr>
        <w:spacing w:after="120" w:line="360"/>
        <w:ind w:firstLine="709"/>
        <w:jc w:val="both"/>
      </w:pPr>
      <w:r>
        <w:t xml:space="preserve">Главная задача российских компаний — превращать ресурсные преимущества в технологические.</w:t>
      </w:r>
    </w:p>
    <w:p>
      <w:pPr>
        <w:pStyle w:val="Heading1"/>
        <w:keepNext/>
      </w:pPr>
      <w:r>
        <w:t xml:space="preserve">Слайд 14. Выводы</w:t>
      </w:r>
    </w:p>
    <w:p>
      <w:pPr>
        <w:spacing w:after="120" w:line="360"/>
        <w:ind w:firstLine="709"/>
        <w:jc w:val="both"/>
      </w:pPr>
      <w:r>
        <w:t xml:space="preserve">Подведу итоги.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t xml:space="preserve">Без конкурентных преимуществ ТНК не окупит издержки иностранности.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t xml:space="preserve">Источники удобно группировать по парадигме OLI, а сеть филиалов — отдельный источник.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t xml:space="preserve">Главным источником стали нематериальные активы: технологии, бренды, данные, платформы.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t xml:space="preserve">Преимущества концентрируются у немногих лидеров, но их размывают копирование технологий, антимонопольное регулирование, минимальный налог и санкции.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t xml:space="preserve">Геополитика меняет выбор стран размещения, а российским корпорациям важны ресурсы, господдержка и технологические ниши.</w:t>
      </w:r>
    </w:p>
    <w:p>
      <w:pPr>
        <w:pStyle w:val="Heading1"/>
        <w:keepNext/>
      </w:pPr>
      <w:r>
        <w:t xml:space="preserve">Слайд 15. Список источников</w:t>
      </w:r>
    </w:p>
    <w:p>
      <w:pPr>
        <w:spacing w:after="120" w:line="360"/>
        <w:ind w:firstLine="709"/>
        <w:jc w:val="both"/>
      </w:pPr>
      <w:r>
        <w:t xml:space="preserve">Спасибо за внимание. На последнем слайде — список источников: учебники и монографии из программы дисциплины, а также доклады ЮНКТАД, рейтинги и статьи, из которых взяты цифры. Готов ответить на вопросы.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09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Normal" w:default="1">
    <w:name w:val="Normal"/>
    <w:qFormat/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rPr>
      <w:rFonts w:ascii="Times New Roman" w:cs="Times New Roman" w:eastAsia="Times New Roman" w:hAnsi="Times New Roman"/>
      <w:b/>
      <w:bCs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Times New Roman" w:cs="Times New Roman" w:eastAsia="Times New Roman" w:hAnsi="Times New Roman"/>
      <w:b/>
      <w:bCs/>
      <w:color w:val="C41E16"/>
      <w:sz w:val="28"/>
      <w:szCs w:val="2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Текст выступления: источники конкурентных преимуществ ТНК</dc:title>
  <dc:creator>Аверьянов Н.Р.</dc:creator>
  <cp:lastModifiedBy>Un-named</cp:lastModifiedBy>
  <cp:revision>1</cp:revision>
  <dcterms:created xsi:type="dcterms:W3CDTF">2026-10-01T14:33:00.325Z</dcterms:created>
  <dcterms:modified xsi:type="dcterms:W3CDTF">2026-10-01T14:33:00.326Z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