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/>
        <w:ind w:firstLine="0"/>
        <w:jc w:val="center"/>
      </w:pPr>
      <w:r>
        <w:rPr>
          <w:b w:val="0"/>
          <w:i w:val="0"/>
        </w:rPr>
        <w:t>Наименование образовательной организации</w:t>
      </w:r>
    </w:p>
    <w:p>
      <w:pPr>
        <w:keepNext w:val="0"/>
        <w:spacing w:before="0" w:after="0"/>
        <w:ind w:firstLine="0"/>
      </w:pPr>
    </w:p>
    <w:p>
      <w:pPr>
        <w:keepNext w:val="0"/>
        <w:spacing w:before="0" w:after="0"/>
        <w:ind w:firstLine="0"/>
      </w:pPr>
    </w:p>
    <w:p>
      <w:pPr>
        <w:keepNext w:val="0"/>
        <w:spacing w:before="0" w:after="0"/>
        <w:ind w:firstLine="0"/>
      </w:pPr>
    </w:p>
    <w:p>
      <w:pPr>
        <w:keepNext w:val="0"/>
        <w:spacing w:before="0" w:after="0"/>
        <w:ind w:firstLine="0"/>
      </w:pPr>
    </w:p>
    <w:p>
      <w:pPr>
        <w:keepNext w:val="0"/>
        <w:spacing w:before="0" w:after="0"/>
        <w:ind w:firstLine="0"/>
      </w:pPr>
    </w:p>
    <w:p>
      <w:pPr>
        <w:keepNext w:val="0"/>
        <w:spacing w:before="0" w:after="0"/>
        <w:ind w:firstLine="0"/>
      </w:pPr>
    </w:p>
    <w:p>
      <w:pPr>
        <w:keepNext w:val="0"/>
        <w:spacing w:before="0" w:after="120"/>
        <w:ind w:firstLine="0"/>
        <w:jc w:val="center"/>
      </w:pPr>
      <w:r>
        <w:rPr>
          <w:b/>
          <w:i w:val="0"/>
          <w:sz w:val="32"/>
        </w:rPr>
        <w:t>ДОКЛАД</w:t>
      </w:r>
    </w:p>
    <w:p>
      <w:pPr>
        <w:keepNext w:val="0"/>
        <w:spacing w:before="0" w:after="360"/>
        <w:ind w:firstLine="0"/>
        <w:jc w:val="center"/>
      </w:pPr>
      <w:r>
        <w:rPr>
          <w:b w:val="0"/>
          <w:i w:val="0"/>
        </w:rPr>
        <w:t>для обсуждения и дискуссии</w:t>
      </w:r>
    </w:p>
    <w:p>
      <w:pPr>
        <w:keepNext w:val="0"/>
        <w:spacing w:before="0" w:after="120"/>
        <w:ind w:firstLine="0"/>
        <w:jc w:val="center"/>
      </w:pPr>
      <w:r>
        <w:rPr>
          <w:b w:val="0"/>
          <w:i w:val="0"/>
        </w:rPr>
        <w:t>на тему: «Четвёртая промышленная революция и “Великая перезагрузка”: взгляд из полицентричного мира»</w:t>
      </w:r>
    </w:p>
    <w:p>
      <w:pPr>
        <w:keepNext w:val="0"/>
        <w:spacing w:before="0" w:after="0"/>
        <w:ind w:firstLine="0"/>
        <w:jc w:val="center"/>
      </w:pPr>
      <w:r>
        <w:rPr>
          <w:b w:val="0"/>
          <w:i w:val="0"/>
        </w:rPr>
        <w:t>по дисциплине «Мировая экономика и международные экономические отношения»</w:t>
      </w:r>
    </w:p>
    <w:p>
      <w:pPr>
        <w:keepNext w:val="0"/>
        <w:spacing w:before="0" w:after="0"/>
        <w:ind w:firstLine="0"/>
      </w:pPr>
    </w:p>
    <w:p>
      <w:pPr>
        <w:keepNext w:val="0"/>
        <w:spacing w:before="0" w:after="0"/>
        <w:ind w:firstLine="0"/>
      </w:pPr>
    </w:p>
    <w:p>
      <w:pPr>
        <w:keepNext w:val="0"/>
        <w:spacing w:before="0" w:after="0"/>
        <w:ind w:firstLine="0"/>
      </w:pPr>
    </w:p>
    <w:p>
      <w:pPr>
        <w:keepNext w:val="0"/>
        <w:spacing w:before="0" w:after="0"/>
        <w:ind w:firstLine="0"/>
      </w:pPr>
    </w:p>
    <w:p>
      <w:pPr>
        <w:keepNext w:val="0"/>
        <w:spacing w:before="0" w:after="0"/>
        <w:ind w:firstLine="0"/>
        <w:jc w:val="right"/>
      </w:pPr>
      <w:r>
        <w:rPr>
          <w:b w:val="0"/>
          <w:i w:val="0"/>
        </w:rPr>
        <w:t>Выполнил(а): ________________________</w:t>
      </w:r>
    </w:p>
    <w:p>
      <w:pPr>
        <w:keepNext w:val="0"/>
        <w:spacing w:before="0" w:after="0"/>
        <w:ind w:firstLine="0"/>
        <w:jc w:val="right"/>
      </w:pPr>
      <w:r>
        <w:rPr>
          <w:b w:val="0"/>
          <w:i w:val="0"/>
        </w:rPr>
        <w:t>группа ______________________________</w:t>
      </w:r>
    </w:p>
    <w:p>
      <w:pPr>
        <w:keepNext w:val="0"/>
        <w:spacing w:before="0" w:after="0"/>
        <w:ind w:firstLine="0"/>
        <w:jc w:val="right"/>
      </w:pPr>
      <w:r>
        <w:rPr>
          <w:b w:val="0"/>
          <w:i w:val="0"/>
        </w:rPr>
        <w:t>Проверил(а): ________________________</w:t>
      </w:r>
    </w:p>
    <w:p>
      <w:pPr>
        <w:keepNext w:val="0"/>
        <w:spacing w:before="0" w:after="0"/>
        <w:ind w:firstLine="0"/>
      </w:pPr>
    </w:p>
    <w:p>
      <w:pPr>
        <w:keepNext w:val="0"/>
        <w:spacing w:before="0" w:after="0"/>
        <w:ind w:firstLine="0"/>
      </w:pPr>
    </w:p>
    <w:p>
      <w:pPr>
        <w:keepNext w:val="0"/>
        <w:spacing w:before="0" w:after="0"/>
        <w:ind w:firstLine="0"/>
      </w:pPr>
    </w:p>
    <w:p>
      <w:pPr>
        <w:keepNext w:val="0"/>
        <w:spacing w:before="0" w:after="0"/>
        <w:ind w:firstLine="0"/>
      </w:pPr>
    </w:p>
    <w:p>
      <w:pPr>
        <w:keepNext w:val="0"/>
        <w:spacing w:before="0" w:after="0"/>
        <w:ind w:firstLine="0"/>
        <w:jc w:val="center"/>
      </w:pPr>
      <w:r>
        <w:rPr>
          <w:b w:val="0"/>
          <w:i w:val="0"/>
        </w:rPr>
        <w:t>2026</w:t>
      </w:r>
    </w:p>
    <w:p>
      <w:r>
        <w:br w:type="page"/>
      </w:r>
    </w:p>
    <w:p>
      <w:pPr>
        <w:keepNext/>
        <w:spacing w:before="0" w:after="240"/>
        <w:ind w:firstLine="0"/>
        <w:jc w:val="center"/>
      </w:pPr>
      <w:r>
        <w:rPr>
          <w:b/>
          <w:i w:val="0"/>
        </w:rPr>
        <w:t>Четвёртая промышленная революция и «Великая перезагрузка» в оптике полицентризма</w:t>
      </w:r>
    </w:p>
    <w:p>
      <w:pPr>
        <w:keepNext/>
        <w:spacing w:before="280" w:after="120"/>
        <w:ind w:firstLine="0"/>
        <w:jc w:val="left"/>
      </w:pPr>
      <w:r>
        <w:rPr>
          <w:b/>
          <w:i w:val="0"/>
        </w:rPr>
        <w:t>1. Вопрос доклада</w:t>
      </w:r>
    </w:p>
    <w:p>
      <w:pPr>
        <w:keepNext w:val="0"/>
        <w:spacing w:before="0" w:after="0"/>
        <w:ind w:firstLine="709"/>
      </w:pPr>
      <w:r>
        <w:rPr>
          <w:b w:val="0"/>
          <w:i w:val="0"/>
        </w:rPr>
        <w:t>Уважаемые коллеги. Тема доклада объединяет два понятия, которые почти всегда произносят через запятую, хотя отвечают они на разные вопросы. «Четвёртая промышленная революция» описывает: что происходит с технологической базой производства. «Великая перезагрузка» предписывает: как мировому сообществу следует перестроить экономику и институты. Первое — диагноз, второе — программа лечения. Смешение этих двух планов и есть главный источник споров вокруг повестки Всемирного экономического форума.</w:t>
      </w:r>
    </w:p>
    <w:p>
      <w:pPr>
        <w:keepNext w:val="0"/>
        <w:spacing w:before="0" w:after="0"/>
        <w:ind w:firstLine="709"/>
      </w:pPr>
      <w:r>
        <w:rPr>
          <w:b w:val="0"/>
          <w:i w:val="0"/>
        </w:rPr>
        <w:t>Тезис, который я выношу на обсуждение: технологический сдвиг объективен и идёт независимо от чьей-либо воли, а проект его глобального управления — нет. Проект предполагает единый центр выработки правил, тогда как мировая экономика движется к полицентризму, где нормы рождаются из согласования национальных интересов, а не из универсального рецепта.</w:t>
      </w:r>
    </w:p>
    <w:p>
      <w:pPr>
        <w:keepNext w:val="0"/>
        <w:spacing w:before="0" w:after="0"/>
        <w:ind w:firstLine="709"/>
      </w:pPr>
      <w:r>
        <w:rPr>
          <w:b w:val="0"/>
          <w:i w:val="0"/>
        </w:rPr>
        <w:t>Доклад построен в три хода: что меняется, что предлагается сделать и выдерживает ли предложение проверку реальными данными.</w:t>
      </w:r>
    </w:p>
    <w:p>
      <w:pPr>
        <w:keepNext/>
        <w:spacing w:before="280" w:after="120"/>
        <w:ind w:firstLine="0"/>
        <w:jc w:val="left"/>
      </w:pPr>
      <w:r>
        <w:rPr>
          <w:b/>
          <w:i w:val="0"/>
        </w:rPr>
        <w:t>2. Хронология</w:t>
      </w:r>
    </w:p>
    <w:p>
      <w:pPr>
        <w:keepNext w:val="0"/>
        <w:spacing w:before="0" w:after="0"/>
        <w:ind w:firstLine="709"/>
      </w:pPr>
      <w:r>
        <w:rPr>
          <w:b w:val="0"/>
          <w:i w:val="0"/>
        </w:rPr>
        <w:t>Ни один из терминов не возник внезапно. Всемирный экономический форум основан Клаусом Швабом в 1971 году, и уже в первых его документах есть идея, что фирма отвечает не только перед акционерами. В 2011 году в Германии появляется концепция Industrie 4.0 — киберфизические системы и «умное» производство: это индустриальный прообраз будущей революции. В 2016 году Давос проходит под темой «Овладение четвёртой промышленной революцией», выходит одноимённая книга Шваба — термин выходит за пределы инженерии. В 2018 году в работе «Shaping the Fourth Industrial Revolution» акцент переносится с самих технологий на то, кто и как будет ими управлять. В декабре 2019 года принимается Давосский манифест, переопределяющий назначение компании. И в июне 2020 года, на фоне пандемии, Шваб объявляет «Великую перезагрузку»; в июле выходит книга «COVID-19: The Great Reset», написанная вместе с Тьерри Малльре.</w:t>
      </w:r>
    </w:p>
    <w:p>
      <w:pPr>
        <w:keepNext w:val="0"/>
        <w:spacing w:before="0" w:after="0"/>
        <w:ind w:firstLine="709"/>
      </w:pPr>
      <w:r>
        <w:rPr>
          <w:b w:val="0"/>
          <w:i w:val="0"/>
        </w:rPr>
        <w:t>Дальше история идёт не по плану. Уже в апреле 2022 года МВФ выпускает обзор с говорящим названием: «Война отбрасывает назад восстановление мировой экономики». Вместо скоординированной пересборки — санкционные режимы, разорванные логистические и платёжные контуры, фрагментация.</w:t>
      </w:r>
    </w:p>
    <w:p>
      <w:pPr>
        <w:keepNext/>
        <w:spacing w:before="280" w:after="120"/>
        <w:ind w:firstLine="0"/>
        <w:jc w:val="left"/>
      </w:pPr>
      <w:r>
        <w:rPr>
          <w:b/>
          <w:i w:val="0"/>
        </w:rPr>
        <w:t>3. Что такое Четвёртая промышленная революция</w:t>
      </w:r>
    </w:p>
    <w:p>
      <w:pPr>
        <w:keepNext w:val="0"/>
        <w:spacing w:before="0" w:after="0"/>
        <w:ind w:firstLine="709"/>
      </w:pPr>
      <w:r>
        <w:rPr>
          <w:b w:val="0"/>
          <w:i w:val="0"/>
        </w:rPr>
        <w:t>Шваб обосновывает революционность тремя признаками, и ни один из них не про конкретную технологию. Первый — скорость: изменения разворачиваются экспоненциально, технология распространяется быстрее, чем общество вырабатывает к ней правила. Второй — широта и глубина: сливаются цифровой, физический и биологический миры, меняется сам способ создания продукта. Третий — системность: преобразуются целые системы, отрасли, рынки труда, модели управления.</w:t>
      </w:r>
    </w:p>
    <w:p>
      <w:pPr>
        <w:keepNext w:val="0"/>
        <w:spacing w:before="0" w:after="0"/>
        <w:ind w:firstLine="709"/>
      </w:pPr>
      <w:r>
        <w:rPr>
          <w:b w:val="0"/>
          <w:i w:val="0"/>
        </w:rPr>
        <w:t>Технологическое наполнение обычно раскладывают на кластеры: цифровой — искусственный интеллект, большие данные, интернет вещей, распределённые реестры; физический — робототехника, аддитивное производство, новые материалы; биологический — геномное редактирование и биоинженерия; и энергетический контур, который служит технологической опорой «зелёной» части повестки.</w:t>
      </w:r>
    </w:p>
    <w:p>
      <w:pPr>
        <w:keepNext w:val="0"/>
        <w:spacing w:before="0" w:after="0"/>
        <w:ind w:firstLine="709"/>
      </w:pPr>
      <w:r>
        <w:rPr>
          <w:b w:val="0"/>
          <w:i w:val="0"/>
        </w:rPr>
        <w:t>Здесь необходимо назвать контраргумент. Если революция состоялась, она обязана проявиться в статистике производительности. Устойчивого ускорения в развитых экономиках пока не видно: темпы роста совокупной факторной производительности остаются ниже показателей второй половины XX века. Отсюда осторожная позиция части исследователей — происходящее есть зрелая фаза третьей, цифровой революции. Для нашей дискуссии это ключевая развилка: от ответа зависит, нужна ли экстренная перестройка институтов.</w:t>
      </w:r>
    </w:p>
    <w:p>
      <w:pPr>
        <w:keepNext/>
        <w:spacing w:before="280" w:after="120"/>
        <w:ind w:firstLine="0"/>
        <w:jc w:val="left"/>
      </w:pPr>
      <w:r>
        <w:rPr>
          <w:b/>
          <w:i w:val="0"/>
        </w:rPr>
        <w:t>4. Четыре среза воздействия</w:t>
      </w:r>
    </w:p>
    <w:p>
      <w:pPr>
        <w:keepNext w:val="0"/>
        <w:spacing w:before="0" w:after="0"/>
        <w:ind w:firstLine="709"/>
      </w:pPr>
      <w:r>
        <w:rPr>
          <w:b w:val="0"/>
          <w:i w:val="0"/>
        </w:rPr>
        <w:t>Шваб разбирает воздействие по четырём уровням, и на каждом выигрыш и риск создаются одним и тем же механизмом. В экономике автоматизация повышает производительность капитала и одновременно разрывает связь между ростом выпуска и ростом занятости. В бизнесе данные становятся активом, а платформа — способом присвоения ренты: барьером входа оказывается не капитал, а доступ к данным и вычислениям. На уровне государства скорость технологий обгоняет законодательный цикл, возникают вопросы юрисдикции данных и ответственности за решения алгоритма. На уровне человека — приватность, цифровое неравенство, изменение содержания труда.</w:t>
      </w:r>
    </w:p>
    <w:p>
      <w:pPr>
        <w:keepNext/>
        <w:spacing w:before="280" w:after="120"/>
        <w:ind w:firstLine="0"/>
        <w:jc w:val="left"/>
      </w:pPr>
      <w:r>
        <w:rPr>
          <w:b/>
          <w:i w:val="0"/>
        </w:rPr>
        <w:t>5. «Великая перезагрузка»: три компонента</w:t>
      </w:r>
    </w:p>
    <w:p>
      <w:pPr>
        <w:keepNext w:val="0"/>
        <w:spacing w:before="0" w:after="0"/>
        <w:ind w:firstLine="709"/>
      </w:pPr>
      <w:r>
        <w:rPr>
          <w:b w:val="0"/>
          <w:i w:val="0"/>
        </w:rPr>
        <w:t>Логика программы такова: пандемия остановила мировую экономику, а значит — открыла редкое окно, когда систему можно не чинить, а пересобрать. Компонентов три. Первый — направить рынок к более справедливым результатам: координация налоговой, регуляторной и торговой политики, переход к капитализму заинтересованных сторон как к норме. Второй — инвестиции в общие цели: государственные расходы направляются не на восстановление прежней структуры, а на равенство и устойчивость. Третий — использовать достижения Четвёртой промышленной революции для решения общественных задач. Именно здесь оба понятия сцепляются в одну конструкцию.</w:t>
      </w:r>
    </w:p>
    <w:p>
      <w:pPr>
        <w:keepNext w:val="0"/>
        <w:spacing w:before="0" w:after="0"/>
        <w:ind w:firstLine="709"/>
      </w:pPr>
      <w:r>
        <w:rPr>
          <w:b w:val="0"/>
          <w:i w:val="0"/>
        </w:rPr>
        <w:t>Разделим описание и предписание. Описание: пандемия усилила неравенство и обнажила хрупкость цепочек поставок — это проверяемые факты. Предписание: ответом должна стать скоординированная перестройка на основе единого набора принципов — это нормативный выбор, а не следствие из данных. И отсюда главный вопрос: кто субъект перезагрузки. У программы нет мандата: форум — площадка, а не орган с полномочиями. Дефицит процедуры породил и содержательную критику, и волну конспирологических трактовок, которая сама стала фактором восприятия повестки.</w:t>
      </w:r>
    </w:p>
    <w:p>
      <w:pPr>
        <w:keepNext/>
        <w:spacing w:before="280" w:after="120"/>
        <w:ind w:firstLine="0"/>
        <w:jc w:val="left"/>
      </w:pPr>
      <w:r>
        <w:rPr>
          <w:b/>
          <w:i w:val="0"/>
        </w:rPr>
        <w:t>6. Механика: стейкхолдерский капитализм и ESG</w:t>
      </w:r>
    </w:p>
    <w:p>
      <w:pPr>
        <w:keepNext w:val="0"/>
        <w:spacing w:before="0" w:after="0"/>
        <w:ind w:firstLine="709"/>
      </w:pPr>
      <w:r>
        <w:rPr>
          <w:b w:val="0"/>
          <w:i w:val="0"/>
        </w:rPr>
        <w:t>Экономическое ядро программы — смена критерия успеха фирмы. Вместо максимизации стоимости для акционеров предлагается устойчивое создание стоимости для всех заинтересованных сторон, а инструментом контроля становится нефинансовая отчётность. Принципиально, что контролирует здесь не государство напрямую, а инвесторы, рейтинговые агентства и банки — через стоимость и доступность финансирования. Регулирование переносится в контур частных стандартов.</w:t>
      </w:r>
    </w:p>
    <w:p>
      <w:pPr>
        <w:keepNext w:val="0"/>
        <w:spacing w:before="0" w:after="0"/>
        <w:ind w:firstLine="709"/>
      </w:pPr>
      <w:r>
        <w:rPr>
          <w:b w:val="0"/>
          <w:i w:val="0"/>
        </w:rPr>
        <w:t>Три возражения. Измеримость: единого стандарта нет, оценки одной компании у разных агентств расходятся кардинально. Издержки соответствия: стоимость отчётности и сертификации фиксирована и потому регрессивна — тяжелее ложится на компании развивающихся стран. И третье: экологические требования к импорту, включая углеродные корректировки, экономически работают как нетарифный барьер, независимо от их мотивации.</w:t>
      </w:r>
    </w:p>
    <w:p>
      <w:pPr>
        <w:keepNext/>
        <w:spacing w:before="280" w:after="120"/>
        <w:ind w:firstLine="0"/>
        <w:jc w:val="left"/>
      </w:pPr>
      <w:r>
        <w:rPr>
          <w:b/>
          <w:i w:val="0"/>
        </w:rPr>
        <w:t>7. Экономический фон</w:t>
      </w:r>
    </w:p>
    <w:p>
      <w:pPr>
        <w:keepNext w:val="0"/>
        <w:spacing w:before="0" w:after="0"/>
        <w:ind w:firstLine="709"/>
      </w:pPr>
      <w:r>
        <w:rPr>
          <w:b w:val="0"/>
          <w:i w:val="0"/>
        </w:rPr>
        <w:t>Теперь сверим программу с цифрами. По данным ВТО, мировой экспорт товаров и коммерческих услуг в 2022 году достиг исторического максимума — порядка 31,7 триллиона долларов. Но структура этого рекорда важнее его величины: стоимостные объёмы выросли примерно на 12 процентов, а физический объём торговли товарами — лишь на 2,7 процента. То есть рекорд в значительной мере ценовой, он сложился из-за роста цен на энергоносители и продовольствие. К 2023 году ЮНКТАД фиксирует сокращение товарной торговли при сохранении роста в услугах.</w:t>
      </w:r>
    </w:p>
    <w:p>
      <w:pPr>
        <w:keepNext w:val="0"/>
        <w:spacing w:before="0" w:after="0"/>
        <w:ind w:firstLine="709"/>
      </w:pPr>
      <w:r>
        <w:rPr>
          <w:b w:val="0"/>
          <w:i w:val="0"/>
        </w:rPr>
        <w:t>Вторая цифра — из апрельского обзора МВФ 2022 года: рост мировой экономики 6,1 процента в 2021 году сменяется прогнозом 3,6 процента на 2022 и 2023 годы, и прогноз понижен относительно январской оценки. Мировая экономика в этот момент решает не задачу пересборки на общих принципах, а задачу приспособления к разрыву прежних связей.</w:t>
      </w:r>
    </w:p>
    <w:p>
      <w:pPr>
        <w:keepNext/>
        <w:spacing w:before="280" w:after="120"/>
        <w:ind w:firstLine="0"/>
        <w:jc w:val="left"/>
      </w:pPr>
      <w:r>
        <w:rPr>
          <w:b/>
          <w:i w:val="0"/>
        </w:rPr>
        <w:t>8. Глобальные цепочки стоимости</w:t>
      </w:r>
    </w:p>
    <w:p>
      <w:pPr>
        <w:keepNext w:val="0"/>
        <w:spacing w:before="0" w:after="0"/>
        <w:ind w:firstLine="709"/>
      </w:pPr>
      <w:r>
        <w:rPr>
          <w:b w:val="0"/>
          <w:i w:val="0"/>
        </w:rPr>
        <w:t>Перская и Хомякова предлагают рассматривать глобальные цепочки стоимости как чувствительный индикатор трансформации: конфигурация цепочек показывает, по каким линиям идёт реальная интеграция, раньше, чем это фиксируют институты и декларации. Наблюдаются три сдвига. Регионализация — длинные цепочки укорачиваются, приоритет смещается от минимальных издержек к надёжности поставки. Политический отбор партнёра — размещение звена определяется принадлежностью к блоку, а не сравнительным преимуществом. И перенос добавленной стоимости в нематериальные звенья: разработку, данные, логистику, сервис.</w:t>
      </w:r>
    </w:p>
    <w:p>
      <w:pPr>
        <w:keepNext w:val="0"/>
        <w:spacing w:before="0" w:after="0"/>
        <w:ind w:firstLine="709"/>
      </w:pPr>
      <w:r>
        <w:rPr>
          <w:b w:val="0"/>
          <w:i w:val="0"/>
        </w:rPr>
        <w:t>Вывод, который я предлагаю: фрагментация цепочек — не сбой, который «перезагрузка» должна устранить, а способ адаптации национальных экономик к возросшим рискам.</w:t>
      </w:r>
    </w:p>
    <w:p>
      <w:pPr>
        <w:keepNext/>
        <w:spacing w:before="280" w:after="120"/>
        <w:ind w:firstLine="0"/>
        <w:jc w:val="left"/>
      </w:pPr>
      <w:r>
        <w:rPr>
          <w:b/>
          <w:i w:val="0"/>
        </w:rPr>
        <w:t>9. Риски и критика</w:t>
      </w:r>
    </w:p>
    <w:p>
      <w:pPr>
        <w:keepNext w:val="0"/>
        <w:spacing w:before="0" w:after="0"/>
        <w:ind w:firstLine="709"/>
      </w:pPr>
      <w:r>
        <w:rPr>
          <w:b w:val="0"/>
          <w:i w:val="0"/>
        </w:rPr>
        <w:t>Часть рисков Шваб называет сам: рынок труда, где автоматизация вымывает середину квалификационного распределения; цифровой разрыв, где технологическая рента концентрируется в нескольких юрисдикциях; правовой вакуум в управлении данными; кибербезопасность критической инфраструктуры. Но два риска повестка не проблематизирует. Первый — цена энергоперехода: для экономик с энергоёмкой структурой ускоренный переход означает списание действующих активов, и без механизма компенсации это перераспределение издержек, а не общая цель. Второй — легитимность: программу формулирует площадка без представительного мандата.</w:t>
      </w:r>
    </w:p>
    <w:p>
      <w:pPr>
        <w:keepNext/>
        <w:spacing w:before="280" w:after="120"/>
        <w:ind w:firstLine="0"/>
        <w:jc w:val="left"/>
      </w:pPr>
      <w:r>
        <w:rPr>
          <w:b/>
          <w:i w:val="0"/>
        </w:rPr>
        <w:t>10. Рамка полицентризма</w:t>
      </w:r>
    </w:p>
    <w:p>
      <w:pPr>
        <w:keepNext w:val="0"/>
        <w:spacing w:before="0" w:after="0"/>
        <w:ind w:firstLine="709"/>
      </w:pPr>
      <w:r>
        <w:rPr>
          <w:b w:val="0"/>
          <w:i w:val="0"/>
        </w:rPr>
        <w:t>В работах Перской и Эскиндарова полицентризм описан не как простое умножение центров силы, а как иной способ производства правил: нормы возникают из согласования национальных интересов через институты. Сравним две конструкции. Источник норм: в перезагрузке — универсальные принципы, выработанные экспертной средой и крупным бизнесом; в полицентризме — компромисс национальных интересов, закреплённый в договорах. Роль государства: исполнитель согласованной повестки против самостоятельного субъекта развития. Механизм: стандарты, рейтинги и условия финансирования против реформы неспециализированных международных организаций — ООН и ШОС — и региональных интеграционных контуров.</w:t>
      </w:r>
    </w:p>
    <w:p>
      <w:pPr>
        <w:keepNext w:val="0"/>
        <w:spacing w:before="0" w:after="0"/>
        <w:ind w:firstLine="709"/>
      </w:pPr>
      <w:r>
        <w:rPr>
          <w:b w:val="0"/>
          <w:i w:val="0"/>
        </w:rPr>
        <w:t>Отдельно отмечу тезис авторов о призрачности биполярности: попытка разложить мир на два лагеря не описывает поведение участников, у которых интересы пересекаются по разным осям — торговой, технологической, энергетической, валютной.</w:t>
      </w:r>
    </w:p>
    <w:p>
      <w:pPr>
        <w:keepNext/>
        <w:spacing w:before="280" w:after="120"/>
        <w:ind w:firstLine="0"/>
        <w:jc w:val="left"/>
      </w:pPr>
      <w:r>
        <w:rPr>
          <w:b/>
          <w:i w:val="0"/>
        </w:rPr>
        <w:t>11. Следствия для России</w:t>
      </w:r>
    </w:p>
    <w:p>
      <w:pPr>
        <w:keepNext w:val="0"/>
        <w:spacing w:before="0" w:after="0"/>
        <w:ind w:firstLine="709"/>
      </w:pPr>
      <w:r>
        <w:rPr>
          <w:b w:val="0"/>
          <w:i w:val="0"/>
        </w:rPr>
        <w:t>Если технологический сдвиг объективен, а единый сценарий управления им — нет, позиция состоит в раздельной работе с описанием и предписанием. Отсюда шесть направлений: технологический суверенитет как контроль над критическими звеньями, а не автаркия; развитие региональных контуров торговли — ЕАЭС, ШОС, БРИКС — с собственными расчётными и стандартизационными механизмами; участие в климатической повестке на условиях взаимного признания методик учёта; подготовка кадров под новую технологическую базу; участие в разработке международных стандартов в области данных и искусственного интеллекта, пока они пишутся; и удержание внутри страны звеньев с высокой добавленной стоимостью.</w:t>
      </w:r>
    </w:p>
    <w:p>
      <w:pPr>
        <w:keepNext/>
        <w:spacing w:before="280" w:after="120"/>
        <w:ind w:firstLine="0"/>
        <w:jc w:val="left"/>
      </w:pPr>
      <w:r>
        <w:rPr>
          <w:b/>
          <w:i w:val="0"/>
        </w:rPr>
        <w:t>12. Выводы</w:t>
      </w:r>
    </w:p>
    <w:p>
      <w:pPr>
        <w:keepNext w:val="0"/>
        <w:spacing w:before="0" w:after="0"/>
        <w:ind w:firstLine="709"/>
      </w:pPr>
      <w:r>
        <w:rPr>
          <w:b w:val="0"/>
          <w:i w:val="0"/>
        </w:rPr>
        <w:t>Первое. Четвёртая промышленная революция — рабочая рамка описания, но её революционность пока не подтверждена динамикой производительности. Второе. «Великая перезагрузка» — нормативный проект, а не прогноз: диагноз в значительной части верен, но переход от диагноза к единому рецепту не вытекает из данных и не обеспечен мандатом. Третье. Статистика 2022–2023 годов описывает фрагментацию и регионализацию, а не скоординированную пересборку. Четвёртое. В полицентричной конфигурации реалистичный сценарий — не одна перезагрузка, а конкуренция и взаимная подгонка нескольких национальных моделей освоения одних и тех же технологий.</w:t>
      </w:r>
    </w:p>
    <w:p>
      <w:pPr>
        <w:keepNext/>
        <w:spacing w:before="280" w:after="120"/>
        <w:ind w:firstLine="0"/>
        <w:jc w:val="left"/>
      </w:pPr>
      <w:r>
        <w:rPr>
          <w:b/>
          <w:i w:val="0"/>
        </w:rPr>
        <w:t>13. Вопросы к аудитории</w:t>
      </w:r>
    </w:p>
    <w:p>
      <w:pPr>
        <w:keepNext w:val="0"/>
        <w:spacing w:before="0" w:after="0"/>
        <w:ind w:firstLine="0"/>
      </w:pPr>
      <w:r>
        <w:rPr>
          <w:b w:val="0"/>
          <w:i w:val="0"/>
        </w:rPr>
        <w:t>1. Считать ли происходящее самостоятельной революцией — или зрелой фазой третьей, цифровой?</w:t>
      </w:r>
    </w:p>
    <w:p>
      <w:pPr>
        <w:keepNext w:val="0"/>
        <w:spacing w:before="0" w:after="0"/>
        <w:ind w:firstLine="0"/>
      </w:pPr>
      <w:r>
        <w:rPr>
          <w:b w:val="0"/>
          <w:i w:val="0"/>
        </w:rPr>
        <w:t>2. Кто вправе формулировать глобальную повестку при отсутствии представительного мандата?</w:t>
      </w:r>
    </w:p>
    <w:p>
      <w:pPr>
        <w:keepNext w:val="0"/>
        <w:spacing w:before="0" w:after="0"/>
        <w:ind w:firstLine="0"/>
      </w:pPr>
      <w:r>
        <w:rPr>
          <w:b w:val="0"/>
          <w:i w:val="0"/>
        </w:rPr>
        <w:t>3. Стейкхолдерский капитализм ограничивает власть капитала — или расширяет её за счёт функций государства?</w:t>
      </w:r>
    </w:p>
    <w:p>
      <w:pPr>
        <w:keepNext w:val="0"/>
        <w:spacing w:before="0" w:after="0"/>
        <w:ind w:firstLine="0"/>
      </w:pPr>
      <w:r>
        <w:rPr>
          <w:b w:val="0"/>
          <w:i w:val="0"/>
        </w:rPr>
        <w:t>4. Совместима ли ускоренная климатическая повестка с правом развивающихся экономик на индустриализацию?</w:t>
      </w:r>
    </w:p>
    <w:p>
      <w:pPr>
        <w:keepNext w:val="0"/>
        <w:spacing w:before="0" w:after="0"/>
        <w:ind w:firstLine="0"/>
      </w:pPr>
      <w:r>
        <w:rPr>
          <w:b w:val="0"/>
          <w:i w:val="0"/>
        </w:rPr>
        <w:t>5. Фрагментация торговли — временный сбой или новая устойчивая конфигурация?</w:t>
      </w:r>
    </w:p>
    <w:p>
      <w:pPr>
        <w:keepNext w:val="0"/>
        <w:spacing w:before="0" w:after="0"/>
        <w:ind w:firstLine="0"/>
      </w:pPr>
      <w:r>
        <w:rPr>
          <w:b w:val="0"/>
          <w:i w:val="0"/>
        </w:rPr>
        <w:t>6. Возможна ли общая технологическая повестка без единого центра и какие институты способны её удерживать?</w:t>
      </w:r>
    </w:p>
    <w:p>
      <w:pPr>
        <w:keepNext w:val="0"/>
        <w:spacing w:before="0" w:after="0"/>
        <w:ind w:firstLine="709"/>
      </w:pPr>
      <w:r>
        <w:rPr>
          <w:b w:val="0"/>
          <w:i w:val="0"/>
        </w:rPr>
        <w:t>Благодарю за внимание.</w:t>
      </w:r>
    </w:p>
    <w:p>
      <w:r>
        <w:br w:type="page"/>
      </w:r>
    </w:p>
    <w:p>
      <w:pPr>
        <w:keepNext/>
        <w:spacing w:before="0" w:after="200"/>
        <w:ind w:firstLine="0"/>
        <w:jc w:val="center"/>
      </w:pPr>
      <w:r>
        <w:rPr>
          <w:b/>
          <w:i w:val="0"/>
        </w:rPr>
        <w:t>Список использованных источников</w:t>
      </w:r>
    </w:p>
    <w:p>
      <w:pPr>
        <w:keepNext w:val="0"/>
        <w:spacing w:before="0" w:after="120"/>
        <w:ind w:firstLine="0"/>
        <w:jc w:val="left"/>
      </w:pPr>
      <w:r>
        <w:rPr>
          <w:b w:val="0"/>
          <w:i w:val="0"/>
        </w:rPr>
        <w:t>1. Шваб К. О Четвёртой промышленной революции и Великой перезагрузке: доклад для обсуждения и дискуссии. Тексты и выступления Всемирного экономического форума, 2016—2021.</w:t>
      </w:r>
    </w:p>
    <w:p>
      <w:pPr>
        <w:keepNext w:val="0"/>
        <w:spacing w:before="0" w:after="120"/>
        <w:ind w:firstLine="0"/>
        <w:jc w:val="left"/>
      </w:pPr>
      <w:r>
        <w:rPr>
          <w:b w:val="0"/>
          <w:i w:val="0"/>
        </w:rPr>
        <w:t>2. Schwab K. The Fourth Industrial Revolution. — Geneva: World Economic Forum, 2016.</w:t>
      </w:r>
    </w:p>
    <w:p>
      <w:pPr>
        <w:keepNext w:val="0"/>
        <w:spacing w:before="0" w:after="120"/>
        <w:ind w:firstLine="0"/>
        <w:jc w:val="left"/>
      </w:pPr>
      <w:r>
        <w:rPr>
          <w:b w:val="0"/>
          <w:i w:val="0"/>
        </w:rPr>
        <w:t>3. Schwab K. Now is the time for a “Great Reset”. — World Economic Forum, 3 June 2020.</w:t>
      </w:r>
    </w:p>
    <w:p>
      <w:pPr>
        <w:keepNext w:val="0"/>
        <w:spacing w:before="0" w:after="120"/>
        <w:ind w:firstLine="0"/>
        <w:jc w:val="left"/>
      </w:pPr>
      <w:r>
        <w:rPr>
          <w:b w:val="0"/>
          <w:i w:val="0"/>
        </w:rPr>
        <w:t>4. Schwab K., Malleret T. COVID-19: The Great Reset. — Geneva: Forum Publishing, 2020.</w:t>
      </w:r>
    </w:p>
    <w:p>
      <w:pPr>
        <w:keepNext w:val="0"/>
        <w:spacing w:before="0" w:after="120"/>
        <w:ind w:firstLine="0"/>
        <w:jc w:val="left"/>
      </w:pPr>
      <w:r>
        <w:rPr>
          <w:b w:val="0"/>
          <w:i w:val="0"/>
        </w:rPr>
        <w:t>5. Перская В. В., Эскиндаров М. А. Многополярность: институты и механизмы согласования национальных интересов. — М.: КНОРУС, 2018. — 538 с.</w:t>
      </w:r>
    </w:p>
    <w:p>
      <w:pPr>
        <w:keepNext w:val="0"/>
        <w:spacing w:before="0" w:after="120"/>
        <w:ind w:firstLine="0"/>
        <w:jc w:val="left"/>
      </w:pPr>
      <w:r>
        <w:rPr>
          <w:b w:val="0"/>
          <w:i w:val="0"/>
        </w:rPr>
        <w:t>6. Перская В. В., Эскиндаров М. А. Неизбежность изменений в условиях полицентризма. Призрачность биполярности и реформа неспециализированных международных организаций (ШОС и ООН). — М.: Курс, 2021. — 392 с.</w:t>
      </w:r>
    </w:p>
    <w:p>
      <w:pPr>
        <w:keepNext w:val="0"/>
        <w:spacing w:before="0" w:after="120"/>
        <w:ind w:firstLine="0"/>
        <w:jc w:val="left"/>
      </w:pPr>
      <w:r>
        <w:rPr>
          <w:b w:val="0"/>
          <w:i w:val="0"/>
        </w:rPr>
        <w:t>7. Перская В. В., Эскиндаров М. А. Полицентризм. — М.: Курс, 2023. — 288 с.</w:t>
      </w:r>
    </w:p>
    <w:p>
      <w:pPr>
        <w:keepNext w:val="0"/>
        <w:spacing w:before="0" w:after="120"/>
        <w:ind w:firstLine="0"/>
        <w:jc w:val="left"/>
      </w:pPr>
      <w:r>
        <w:rPr>
          <w:b w:val="0"/>
          <w:i w:val="0"/>
        </w:rPr>
        <w:t>8. Perskaya V. V., Khomyakova L. I. Global Value Chains as a Transformational Indicator of Changes in the Global Economy. DOI: 10.2991/aebmr.k.210218.004. URL: https://www.atlantis-press.com/proceedings/ermi-21/125952854</w:t>
      </w:r>
    </w:p>
    <w:p>
      <w:pPr>
        <w:keepNext w:val="0"/>
        <w:spacing w:before="0" w:after="120"/>
        <w:ind w:firstLine="0"/>
        <w:jc w:val="left"/>
      </w:pPr>
      <w:r>
        <w:rPr>
          <w:b w:val="0"/>
          <w:i w:val="0"/>
        </w:rPr>
        <w:t>9. World Trade Statistical Review 2023. — The World Trade Organization, 2023. URL: https://www.wto.org/english/res_e/booksp_e/wtsr_2023_e.pdf</w:t>
      </w:r>
    </w:p>
    <w:p>
      <w:pPr>
        <w:keepNext w:val="0"/>
        <w:spacing w:before="0" w:after="120"/>
        <w:ind w:firstLine="0"/>
        <w:jc w:val="left"/>
      </w:pPr>
      <w:r>
        <w:rPr>
          <w:b w:val="0"/>
          <w:i w:val="0"/>
        </w:rPr>
        <w:t>10. World Economic Outlook: War Sets Back the Global Recovery. — International Monetary Fund, April 2022.</w:t>
      </w:r>
    </w:p>
    <w:p>
      <w:pPr>
        <w:keepNext w:val="0"/>
        <w:spacing w:before="0" w:after="120"/>
        <w:ind w:firstLine="0"/>
        <w:jc w:val="left"/>
      </w:pPr>
      <w:r>
        <w:rPr>
          <w:b w:val="0"/>
          <w:i w:val="0"/>
        </w:rPr>
        <w:t>11. Global Trade Update, June 2023. — UNCTAD, 2023. URL: https://unctad.org/publication/global-trade-update-june-2023</w:t>
      </w:r>
    </w:p>
    <w:p>
      <w:pPr>
        <w:keepNext w:val="0"/>
        <w:spacing w:before="0" w:after="120"/>
        <w:ind w:firstLine="0"/>
        <w:jc w:val="left"/>
      </w:pPr>
      <w:r>
        <w:rPr>
          <w:b w:val="0"/>
          <w:i w:val="0"/>
        </w:rPr>
        <w:t>12. International trade: What you need to know this month. — World Economic Forum, August 2023. URL: https://www.weforum.org/agenda/2023/08/international-trade-what-you-need-to-know-august-2023/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