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Web Appendix: Concreteness Measure — Definition, Normalization, and Properties</w:t>
      </w:r>
    </w:p>
    <w:p>
      <w:pPr>
        <w:pStyle w:val="Heading1"/>
      </w:pPr>
      <w:r>
        <w:rPr>
          <w:rFonts w:ascii="Times New Roman" w:hAnsi="Times New Roman"/>
          <w:color w:val="000000"/>
        </w:rPr>
        <w:t>WA.1  Definition of the Concreteness Measure</w:t>
      </w:r>
    </w:p>
    <w:p>
      <w:r>
        <w:t>We define a concreteness measure for text based on the semantic specificity of its constituent words, as captured by the WordNet hypernym hierarchy (Miller 1995; Fellbaum 1998). The measure operates on content words — nouns, verbs, adjectives, and adverbs — each of which is mapped to a noun lemma through morphological derivation and WordNet relations. The depth of each noun lemma in the hypernym tree serves as a proxy for its concreteness: deeper words (e.g., "dachshund" at depth 13) are more specific and concrete than shallower words (e.g., "entity" at depth 0).</w:t>
      </w:r>
    </w:p>
    <w:p>
      <w:r>
        <w:t>For a text containing K content words (with non-zero concreteness), let d_i denote the hypernym depth of word i and f_i its frequency (number of occurrences). When repetitions are counted (the default), the raw concreteness score is:</w:t>
      </w:r>
    </w:p>
    <w:p>
      <w:pPr>
        <w:jc w:val="center"/>
      </w:pPr>
      <w:r>
        <w:rPr>
          <w:rFonts w:ascii="Times New Roman" w:hAnsi="Times New Roman"/>
          <w:i/>
          <w:sz w:val="22"/>
        </w:rPr>
        <w:t>C(text) = ∑ᵢ log C(dᵢ + fᵢ, fᵢ)</w:t>
      </w:r>
    </w:p>
    <w:p>
      <w:r>
        <w:t>where C(n, k) = n! / [k!(n−k)!] is the binomial coefficient, and the summation runs over all unique word types i = 1, ..., K that have a non-zero hypernym depth (dᵢ &gt; 0). Note that the depth value used in the formula is incremented by 1 relative to the raw hypernym count, so the effective argument is (dᵢ + 1 + fᵢ − 1) = (dᵢ + fᵢ).</w:t>
      </w:r>
    </w:p>
    <w:p>
      <w:r>
        <w:t>When a word appears exactly once (fᵢ = 1), its contribution simplifies to log(dᵢ + 1). When repetitions are disabled, each unique noun lemma is counted once regardless of how many different wordforms map to it.</w:t>
      </w:r>
    </w:p>
    <w:p>
      <w:pPr>
        <w:pStyle w:val="Heading1"/>
      </w:pPr>
      <w:r>
        <w:rPr>
          <w:rFonts w:ascii="Times New Roman" w:hAnsi="Times New Roman"/>
          <w:color w:val="000000"/>
        </w:rPr>
        <w:t>WA.2  Normalization</w:t>
      </w:r>
    </w:p>
    <w:p>
      <w:r>
        <w:t>The raw concreteness score C(text) is additive in the number of contributing words: longer texts mechanically receive higher scores. To obtain a length-independent measure, we normalize by the normalization count N, defined as the total number of word tokens that contribute a non-zero amount to the concreteness sum. Crucially, words whose hypernym depth is zero (or that cannot be mapped to a WordNet noun) are excluded from both the numerator and the denominator:</w:t>
      </w:r>
    </w:p>
    <w:p>
      <w:pPr>
        <w:jc w:val="center"/>
      </w:pPr>
      <w:r>
        <w:rPr>
          <w:rFonts w:ascii="Times New Roman" w:hAnsi="Times New Roman"/>
          <w:i/>
          <w:sz w:val="22"/>
        </w:rPr>
        <w:t>C̄(text) = C(text) / N</w:t>
      </w:r>
    </w:p>
    <w:p>
      <w:r>
        <w:t>where N = ∑ᵢ fᵢ counts only the word tokens (including repetitions) whose concreteness contribution is strictly positive. This ensures that function words, stopwords, and content words not found in WordNet do not dilute the normalized measure.</w:t>
      </w:r>
    </w:p>
    <w:p>
      <w:r>
        <w:t>The library provides this normalization count (N) alongside the raw score for each part-of-speech category (nouns, verbs, adjectives, adverbs, cardinal numbers) as well as the aggregate total. Additionally, the library reports the total word count and content-word counts per POS category, enabling researchers to compute alternative normalizations if desired.</w:t>
      </w:r>
    </w:p>
    <w:p>
      <w:pPr>
        <w:pStyle w:val="Heading1"/>
      </w:pPr>
      <w:r>
        <w:rPr>
          <w:rFonts w:ascii="Times New Roman" w:hAnsi="Times New Roman"/>
          <w:color w:val="000000"/>
        </w:rPr>
        <w:t>WA.3  Effect of Word Repetitions on the Concreteness Measure</w:t>
      </w:r>
    </w:p>
    <w:p>
      <w:r>
        <w:t>The binomial-coefficient formulation creates a specific interaction between hypernym depth and word frequency. We analyze how repetitions of the same word affect both the raw and normalized scores.</w:t>
      </w:r>
    </w:p>
    <w:p>
      <w:pPr>
        <w:pStyle w:val="Heading2"/>
      </w:pPr>
      <w:r>
        <w:rPr>
          <w:rFonts w:ascii="Times New Roman" w:hAnsi="Times New Roman"/>
          <w:color w:val="000000"/>
        </w:rPr>
        <w:t>WA.3.1  The Logarithmic Contribution</w:t>
      </w:r>
    </w:p>
    <w:p>
      <w:r>
        <w:t>For a single word with depth d appearing f times, its contribution is:</w:t>
      </w:r>
    </w:p>
    <w:p>
      <w:pPr>
        <w:jc w:val="center"/>
      </w:pPr>
      <w:r>
        <w:rPr>
          <w:rFonts w:ascii="Times New Roman" w:hAnsi="Times New Roman"/>
          <w:i/>
          <w:sz w:val="22"/>
        </w:rPr>
        <w:t>c(d, f) = log C(d + f, f) = log [(d + f)! / (f! · d!)]</w:t>
      </w:r>
    </w:p>
    <w:p>
      <w:r>
        <w:t>Using Stirling's approximation for large arguments, this behaves as:</w:t>
      </w:r>
    </w:p>
    <w:p>
      <w:pPr>
        <w:ind w:left="720"/>
      </w:pPr>
      <w:r>
        <w:rPr>
          <w:b/>
        </w:rPr>
        <w:t xml:space="preserve">(i)  f = 1: </w:t>
      </w:r>
      <w:r>
        <w:t>c(d, 1) = log(d + 1). The contribution is simply the logarithm of (depth + 1), growing slowly with depth.</w:t>
        <w:br/>
      </w:r>
      <w:r>
        <w:rPr>
          <w:b/>
        </w:rPr>
        <w:t xml:space="preserve">(ii) f ≫ d: </w:t>
      </w:r>
      <w:r>
        <w:t>c(d, f) ≈ d · log(f). The contribution grows logarithmically with frequency, scaled by the depth. Repeating a concrete word many times yields diminishing marginal returns.</w:t>
        <w:br/>
      </w:r>
      <w:r>
        <w:rPr>
          <w:b/>
        </w:rPr>
        <w:t xml:space="preserve">(iii) d ≫ f: </w:t>
      </w:r>
      <w:r>
        <w:t>c(d, f) ≈ f · log(d). The contribution grows linearly in frequency but only logarithmically in depth.</w:t>
      </w:r>
    </w:p>
    <w:p>
      <w:r>
        <w:t>Table WA.1 illustrates these properties for a word with hypernym depth d = 5.</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rFonts w:ascii="Times New Roman" w:hAnsi="Times New Roman"/>
                <w:b/>
                <w:sz w:val="18"/>
              </w:rPr>
              <w:t>Frequency (f)</w:t>
            </w:r>
          </w:p>
        </w:tc>
        <w:tc>
          <w:tcPr>
            <w:tcW w:type="dxa" w:w="2340"/>
          </w:tcPr>
          <w:p>
            <w:pPr>
              <w:jc w:val="center"/>
            </w:pPr>
            <w:r/>
            <w:r>
              <w:rPr>
                <w:rFonts w:ascii="Times New Roman" w:hAnsi="Times New Roman"/>
                <w:b/>
                <w:sz w:val="18"/>
              </w:rPr>
              <w:t>C(d+f, f)</w:t>
            </w:r>
          </w:p>
        </w:tc>
        <w:tc>
          <w:tcPr>
            <w:tcW w:type="dxa" w:w="2340"/>
          </w:tcPr>
          <w:p>
            <w:pPr>
              <w:jc w:val="center"/>
            </w:pPr>
            <w:r/>
            <w:r>
              <w:rPr>
                <w:rFonts w:ascii="Times New Roman" w:hAnsi="Times New Roman"/>
                <w:b/>
                <w:sz w:val="18"/>
              </w:rPr>
              <w:t>log C(d+f, f)</w:t>
            </w:r>
          </w:p>
        </w:tc>
        <w:tc>
          <w:tcPr>
            <w:tcW w:type="dxa" w:w="2340"/>
          </w:tcPr>
          <w:p>
            <w:pPr>
              <w:jc w:val="center"/>
            </w:pPr>
            <w:r/>
            <w:r>
              <w:rPr>
                <w:rFonts w:ascii="Times New Roman" w:hAnsi="Times New Roman"/>
                <w:b/>
                <w:sz w:val="18"/>
              </w:rPr>
              <w:t>Per-word: log C / f</w:t>
            </w:r>
          </w:p>
        </w:tc>
      </w:tr>
      <w:tr>
        <w:tc>
          <w:tcPr>
            <w:tcW w:type="dxa" w:w="2340"/>
          </w:tcPr>
          <w:p>
            <w:pPr>
              <w:jc w:val="center"/>
            </w:pPr>
            <w:r/>
            <w:r>
              <w:rPr>
                <w:rFonts w:ascii="Times New Roman" w:hAnsi="Times New Roman"/>
                <w:b w:val="0"/>
                <w:sz w:val="18"/>
              </w:rPr>
              <w:t>1</w:t>
            </w:r>
          </w:p>
        </w:tc>
        <w:tc>
          <w:tcPr>
            <w:tcW w:type="dxa" w:w="2340"/>
          </w:tcPr>
          <w:p>
            <w:pPr>
              <w:jc w:val="center"/>
            </w:pPr>
            <w:r/>
            <w:r>
              <w:rPr>
                <w:rFonts w:ascii="Times New Roman" w:hAnsi="Times New Roman"/>
                <w:b w:val="0"/>
                <w:sz w:val="18"/>
              </w:rPr>
              <w:t>6</w:t>
            </w:r>
          </w:p>
        </w:tc>
        <w:tc>
          <w:tcPr>
            <w:tcW w:type="dxa" w:w="2340"/>
          </w:tcPr>
          <w:p>
            <w:pPr>
              <w:jc w:val="center"/>
            </w:pPr>
            <w:r/>
            <w:r>
              <w:rPr>
                <w:rFonts w:ascii="Times New Roman" w:hAnsi="Times New Roman"/>
                <w:b w:val="0"/>
                <w:sz w:val="18"/>
              </w:rPr>
              <w:t>1.7918</w:t>
            </w:r>
          </w:p>
        </w:tc>
        <w:tc>
          <w:tcPr>
            <w:tcW w:type="dxa" w:w="2340"/>
          </w:tcPr>
          <w:p>
            <w:pPr>
              <w:jc w:val="center"/>
            </w:pPr>
            <w:r/>
            <w:r>
              <w:rPr>
                <w:rFonts w:ascii="Times New Roman" w:hAnsi="Times New Roman"/>
                <w:b w:val="0"/>
                <w:sz w:val="18"/>
              </w:rPr>
              <w:t>1.7918</w:t>
            </w:r>
          </w:p>
        </w:tc>
      </w:tr>
      <w:tr>
        <w:tc>
          <w:tcPr>
            <w:tcW w:type="dxa" w:w="2340"/>
          </w:tcPr>
          <w:p>
            <w:pPr>
              <w:jc w:val="center"/>
            </w:pPr>
            <w:r/>
            <w:r>
              <w:rPr>
                <w:rFonts w:ascii="Times New Roman" w:hAnsi="Times New Roman"/>
                <w:b w:val="0"/>
                <w:sz w:val="18"/>
              </w:rPr>
              <w:t>2</w:t>
            </w:r>
          </w:p>
        </w:tc>
        <w:tc>
          <w:tcPr>
            <w:tcW w:type="dxa" w:w="2340"/>
          </w:tcPr>
          <w:p>
            <w:pPr>
              <w:jc w:val="center"/>
            </w:pPr>
            <w:r/>
            <w:r>
              <w:rPr>
                <w:rFonts w:ascii="Times New Roman" w:hAnsi="Times New Roman"/>
                <w:b w:val="0"/>
                <w:sz w:val="18"/>
              </w:rPr>
              <w:t>21</w:t>
            </w:r>
          </w:p>
        </w:tc>
        <w:tc>
          <w:tcPr>
            <w:tcW w:type="dxa" w:w="2340"/>
          </w:tcPr>
          <w:p>
            <w:pPr>
              <w:jc w:val="center"/>
            </w:pPr>
            <w:r/>
            <w:r>
              <w:rPr>
                <w:rFonts w:ascii="Times New Roman" w:hAnsi="Times New Roman"/>
                <w:b w:val="0"/>
                <w:sz w:val="18"/>
              </w:rPr>
              <w:t>3.0445</w:t>
            </w:r>
          </w:p>
        </w:tc>
        <w:tc>
          <w:tcPr>
            <w:tcW w:type="dxa" w:w="2340"/>
          </w:tcPr>
          <w:p>
            <w:pPr>
              <w:jc w:val="center"/>
            </w:pPr>
            <w:r/>
            <w:r>
              <w:rPr>
                <w:rFonts w:ascii="Times New Roman" w:hAnsi="Times New Roman"/>
                <w:b w:val="0"/>
                <w:sz w:val="18"/>
              </w:rPr>
              <w:t>1.5223</w:t>
            </w:r>
          </w:p>
        </w:tc>
      </w:tr>
      <w:tr>
        <w:tc>
          <w:tcPr>
            <w:tcW w:type="dxa" w:w="2340"/>
          </w:tcPr>
          <w:p>
            <w:pPr>
              <w:jc w:val="center"/>
            </w:pPr>
            <w:r/>
            <w:r>
              <w:rPr>
                <w:rFonts w:ascii="Times New Roman" w:hAnsi="Times New Roman"/>
                <w:b w:val="0"/>
                <w:sz w:val="18"/>
              </w:rPr>
              <w:t>3</w:t>
            </w:r>
          </w:p>
        </w:tc>
        <w:tc>
          <w:tcPr>
            <w:tcW w:type="dxa" w:w="2340"/>
          </w:tcPr>
          <w:p>
            <w:pPr>
              <w:jc w:val="center"/>
            </w:pPr>
            <w:r/>
            <w:r>
              <w:rPr>
                <w:rFonts w:ascii="Times New Roman" w:hAnsi="Times New Roman"/>
                <w:b w:val="0"/>
                <w:sz w:val="18"/>
              </w:rPr>
              <w:t>56</w:t>
            </w:r>
          </w:p>
        </w:tc>
        <w:tc>
          <w:tcPr>
            <w:tcW w:type="dxa" w:w="2340"/>
          </w:tcPr>
          <w:p>
            <w:pPr>
              <w:jc w:val="center"/>
            </w:pPr>
            <w:r/>
            <w:r>
              <w:rPr>
                <w:rFonts w:ascii="Times New Roman" w:hAnsi="Times New Roman"/>
                <w:b w:val="0"/>
                <w:sz w:val="18"/>
              </w:rPr>
              <w:t>4.0254</w:t>
            </w:r>
          </w:p>
        </w:tc>
        <w:tc>
          <w:tcPr>
            <w:tcW w:type="dxa" w:w="2340"/>
          </w:tcPr>
          <w:p>
            <w:pPr>
              <w:jc w:val="center"/>
            </w:pPr>
            <w:r/>
            <w:r>
              <w:rPr>
                <w:rFonts w:ascii="Times New Roman" w:hAnsi="Times New Roman"/>
                <w:b w:val="0"/>
                <w:sz w:val="18"/>
              </w:rPr>
              <w:t>1.3418</w:t>
            </w:r>
          </w:p>
        </w:tc>
      </w:tr>
      <w:tr>
        <w:tc>
          <w:tcPr>
            <w:tcW w:type="dxa" w:w="2340"/>
          </w:tcPr>
          <w:p>
            <w:pPr>
              <w:jc w:val="center"/>
            </w:pPr>
            <w:r/>
            <w:r>
              <w:rPr>
                <w:rFonts w:ascii="Times New Roman" w:hAnsi="Times New Roman"/>
                <w:b w:val="0"/>
                <w:sz w:val="18"/>
              </w:rPr>
              <w:t>5</w:t>
            </w:r>
          </w:p>
        </w:tc>
        <w:tc>
          <w:tcPr>
            <w:tcW w:type="dxa" w:w="2340"/>
          </w:tcPr>
          <w:p>
            <w:pPr>
              <w:jc w:val="center"/>
            </w:pPr>
            <w:r/>
            <w:r>
              <w:rPr>
                <w:rFonts w:ascii="Times New Roman" w:hAnsi="Times New Roman"/>
                <w:b w:val="0"/>
                <w:sz w:val="18"/>
              </w:rPr>
              <w:t>252</w:t>
            </w:r>
          </w:p>
        </w:tc>
        <w:tc>
          <w:tcPr>
            <w:tcW w:type="dxa" w:w="2340"/>
          </w:tcPr>
          <w:p>
            <w:pPr>
              <w:jc w:val="center"/>
            </w:pPr>
            <w:r/>
            <w:r>
              <w:rPr>
                <w:rFonts w:ascii="Times New Roman" w:hAnsi="Times New Roman"/>
                <w:b w:val="0"/>
                <w:sz w:val="18"/>
              </w:rPr>
              <w:t>5.5294</w:t>
            </w:r>
          </w:p>
        </w:tc>
        <w:tc>
          <w:tcPr>
            <w:tcW w:type="dxa" w:w="2340"/>
          </w:tcPr>
          <w:p>
            <w:pPr>
              <w:jc w:val="center"/>
            </w:pPr>
            <w:r/>
            <w:r>
              <w:rPr>
                <w:rFonts w:ascii="Times New Roman" w:hAnsi="Times New Roman"/>
                <w:b w:val="0"/>
                <w:sz w:val="18"/>
              </w:rPr>
              <w:t>1.1059</w:t>
            </w:r>
          </w:p>
        </w:tc>
      </w:tr>
      <w:tr>
        <w:tc>
          <w:tcPr>
            <w:tcW w:type="dxa" w:w="2340"/>
          </w:tcPr>
          <w:p>
            <w:pPr>
              <w:jc w:val="center"/>
            </w:pPr>
            <w:r/>
            <w:r>
              <w:rPr>
                <w:rFonts w:ascii="Times New Roman" w:hAnsi="Times New Roman"/>
                <w:b w:val="0"/>
                <w:sz w:val="18"/>
              </w:rPr>
              <w:t>10</w:t>
            </w:r>
          </w:p>
        </w:tc>
        <w:tc>
          <w:tcPr>
            <w:tcW w:type="dxa" w:w="2340"/>
          </w:tcPr>
          <w:p>
            <w:pPr>
              <w:jc w:val="center"/>
            </w:pPr>
            <w:r/>
            <w:r>
              <w:rPr>
                <w:rFonts w:ascii="Times New Roman" w:hAnsi="Times New Roman"/>
                <w:b w:val="0"/>
                <w:sz w:val="18"/>
              </w:rPr>
              <w:t>3003</w:t>
            </w:r>
          </w:p>
        </w:tc>
        <w:tc>
          <w:tcPr>
            <w:tcW w:type="dxa" w:w="2340"/>
          </w:tcPr>
          <w:p>
            <w:pPr>
              <w:jc w:val="center"/>
            </w:pPr>
            <w:r/>
            <w:r>
              <w:rPr>
                <w:rFonts w:ascii="Times New Roman" w:hAnsi="Times New Roman"/>
                <w:b w:val="0"/>
                <w:sz w:val="18"/>
              </w:rPr>
              <w:t>8.0074</w:t>
            </w:r>
          </w:p>
        </w:tc>
        <w:tc>
          <w:tcPr>
            <w:tcW w:type="dxa" w:w="2340"/>
          </w:tcPr>
          <w:p>
            <w:pPr>
              <w:jc w:val="center"/>
            </w:pPr>
            <w:r/>
            <w:r>
              <w:rPr>
                <w:rFonts w:ascii="Times New Roman" w:hAnsi="Times New Roman"/>
                <w:b w:val="0"/>
                <w:sz w:val="18"/>
              </w:rPr>
              <w:t>0.8007</w:t>
            </w:r>
          </w:p>
        </w:tc>
      </w:tr>
      <w:tr>
        <w:tc>
          <w:tcPr>
            <w:tcW w:type="dxa" w:w="2340"/>
          </w:tcPr>
          <w:p>
            <w:pPr>
              <w:jc w:val="center"/>
            </w:pPr>
            <w:r/>
            <w:r>
              <w:rPr>
                <w:rFonts w:ascii="Times New Roman" w:hAnsi="Times New Roman"/>
                <w:b w:val="0"/>
                <w:sz w:val="18"/>
              </w:rPr>
              <w:t>20</w:t>
            </w:r>
          </w:p>
        </w:tc>
        <w:tc>
          <w:tcPr>
            <w:tcW w:type="dxa" w:w="2340"/>
          </w:tcPr>
          <w:p>
            <w:pPr>
              <w:jc w:val="center"/>
            </w:pPr>
            <w:r/>
            <w:r>
              <w:rPr>
                <w:rFonts w:ascii="Times New Roman" w:hAnsi="Times New Roman"/>
                <w:b w:val="0"/>
                <w:sz w:val="18"/>
              </w:rPr>
              <w:t>53130</w:t>
            </w:r>
          </w:p>
        </w:tc>
        <w:tc>
          <w:tcPr>
            <w:tcW w:type="dxa" w:w="2340"/>
          </w:tcPr>
          <w:p>
            <w:pPr>
              <w:jc w:val="center"/>
            </w:pPr>
            <w:r/>
            <w:r>
              <w:rPr>
                <w:rFonts w:ascii="Times New Roman" w:hAnsi="Times New Roman"/>
                <w:b w:val="0"/>
                <w:sz w:val="18"/>
              </w:rPr>
              <w:t>10.8805</w:t>
            </w:r>
          </w:p>
        </w:tc>
        <w:tc>
          <w:tcPr>
            <w:tcW w:type="dxa" w:w="2340"/>
          </w:tcPr>
          <w:p>
            <w:pPr>
              <w:jc w:val="center"/>
            </w:pPr>
            <w:r/>
            <w:r>
              <w:rPr>
                <w:rFonts w:ascii="Times New Roman" w:hAnsi="Times New Roman"/>
                <w:b w:val="0"/>
                <w:sz w:val="18"/>
              </w:rPr>
              <w:t>0.5440</w:t>
            </w:r>
          </w:p>
        </w:tc>
      </w:tr>
      <w:tr>
        <w:tc>
          <w:tcPr>
            <w:tcW w:type="dxa" w:w="2340"/>
          </w:tcPr>
          <w:p>
            <w:pPr>
              <w:jc w:val="center"/>
            </w:pPr>
            <w:r/>
            <w:r>
              <w:rPr>
                <w:rFonts w:ascii="Times New Roman" w:hAnsi="Times New Roman"/>
                <w:b w:val="0"/>
                <w:sz w:val="18"/>
              </w:rPr>
              <w:t>50</w:t>
            </w:r>
          </w:p>
        </w:tc>
        <w:tc>
          <w:tcPr>
            <w:tcW w:type="dxa" w:w="2340"/>
          </w:tcPr>
          <w:p>
            <w:pPr>
              <w:jc w:val="center"/>
            </w:pPr>
            <w:r/>
            <w:r>
              <w:rPr>
                <w:rFonts w:ascii="Times New Roman" w:hAnsi="Times New Roman"/>
                <w:b w:val="0"/>
                <w:sz w:val="18"/>
              </w:rPr>
              <w:t>3478761</w:t>
            </w:r>
          </w:p>
        </w:tc>
        <w:tc>
          <w:tcPr>
            <w:tcW w:type="dxa" w:w="2340"/>
          </w:tcPr>
          <w:p>
            <w:pPr>
              <w:jc w:val="center"/>
            </w:pPr>
            <w:r/>
            <w:r>
              <w:rPr>
                <w:rFonts w:ascii="Times New Roman" w:hAnsi="Times New Roman"/>
                <w:b w:val="0"/>
                <w:sz w:val="18"/>
              </w:rPr>
              <w:t>15.0622</w:t>
            </w:r>
          </w:p>
        </w:tc>
        <w:tc>
          <w:tcPr>
            <w:tcW w:type="dxa" w:w="2340"/>
          </w:tcPr>
          <w:p>
            <w:pPr>
              <w:jc w:val="center"/>
            </w:pPr>
            <w:r/>
            <w:r>
              <w:rPr>
                <w:rFonts w:ascii="Times New Roman" w:hAnsi="Times New Roman"/>
                <w:b w:val="0"/>
                <w:sz w:val="18"/>
              </w:rPr>
              <w:t>0.3012</w:t>
            </w:r>
          </w:p>
        </w:tc>
      </w:tr>
    </w:tbl>
    <w:p>
      <w:pPr>
        <w:jc w:val="center"/>
      </w:pPr>
      <w:r>
        <w:rPr>
          <w:rFonts w:ascii="Times New Roman" w:hAnsi="Times New Roman"/>
          <w:i/>
          <w:sz w:val="18"/>
        </w:rPr>
        <w:t>Table WA.1: Concreteness contribution for a word with depth d = 5.</w:t>
      </w:r>
    </w:p>
    <w:p>
      <w:pPr>
        <w:pStyle w:val="Heading2"/>
      </w:pPr>
      <w:r>
        <w:rPr>
          <w:rFonts w:ascii="Times New Roman" w:hAnsi="Times New Roman"/>
          <w:color w:val="000000"/>
        </w:rPr>
        <w:t>WA.3.2  Impact on the Normalized Concreteness</w:t>
      </w:r>
    </w:p>
    <w:p>
      <w:r>
        <w:t>When a word is repeated, both the raw score (numerator) and the normalization count (denominator) increase. However, the raw score grows sub-linearly (as log C(d + f, f)), while the normalization count grows linearly (as f). Therefore, the per-word normalized contribution c(d, f)/f is a strictly decreasing function of f. This has an important implication:</w:t>
      </w:r>
    </w:p>
    <w:p>
      <w:pPr>
        <w:ind w:left="720"/>
      </w:pPr>
      <w:r>
        <w:rPr>
          <w:rFonts w:ascii="Times New Roman" w:hAnsi="Times New Roman"/>
          <w:i/>
        </w:rPr>
        <w:t>Repeating the same word lowers the normalized concreteness score. A text with diverse, concrete vocabulary achieves a higher normalized concreteness than a text that repeats the same concrete word multiple times.</w:t>
      </w:r>
    </w:p>
    <w:p>
      <w:pPr>
        <w:pStyle w:val="Heading2"/>
      </w:pPr>
      <w:r>
        <w:rPr>
          <w:rFonts w:ascii="Times New Roman" w:hAnsi="Times New Roman"/>
          <w:color w:val="000000"/>
        </w:rPr>
        <w:t>WA.3.3  Limiting Cases</w:t>
      </w:r>
    </w:p>
    <w:p>
      <w:r>
        <w:t>We illustrate the behavior of the normalized concreteness measure with three limiting cases.</w:t>
      </w:r>
    </w:p>
    <w:p>
      <w:r>
        <w:rPr>
          <w:b/>
        </w:rPr>
        <w:t xml:space="preserve">Case 1: All unique words. </w:t>
      </w:r>
      <w:r>
        <w:t>Consider a text of K distinct content words, each appearing once (fᵢ = 1 for all i). The normalized concreteness is ∑ log(dᵢ + 1) / K, which is simply the average log-depth across the vocabulary. This represents the maximum normalized score achievable for a given set of word types.</w:t>
      </w:r>
    </w:p>
    <w:p>
      <w:r>
        <w:rPr>
          <w:b/>
        </w:rPr>
        <w:t xml:space="preserve">Case 2: Single word repeated N times. </w:t>
      </w:r>
      <w:r>
        <w:t>If a single word with depth d is repeated N times, the normalized score is log C(d + N, N) / N. As N → ∞, this approaches d · log(N) / N → 0. Thus, extreme repetition drives the normalized concreteness toward zero, regardless of how concrete the repeated word is.</w:t>
      </w:r>
    </w:p>
    <w:p>
      <w:r>
        <w:rPr>
          <w:b/>
        </w:rPr>
        <w:t xml:space="preserve">Case 3: Mixed text with some repeated words. </w:t>
      </w:r>
      <w:r>
        <w:t>In the general case, words with high frequency contribute less per-word than words with low frequency. This means the normalized measure naturally penalizes redundancy and rewards lexical diversity, which is a desirable property for measuring the richness of concrete language in text.</w:t>
      </w:r>
    </w:p>
    <w:p>
      <w:r>
        <w:t>Table WA.2 demonstrates these effects using the library's output for simple test phrases.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rFonts w:ascii="Times New Roman" w:hAnsi="Times New Roman"/>
                <w:b/>
                <w:sz w:val="18"/>
              </w:rPr>
              <w:t>Text</w:t>
            </w:r>
          </w:p>
        </w:tc>
        <w:tc>
          <w:tcPr>
            <w:tcW w:type="dxa" w:w="2340"/>
          </w:tcPr>
          <w:p>
            <w:pPr>
              <w:jc w:val="center"/>
            </w:pPr>
            <w:r/>
            <w:r>
              <w:rPr>
                <w:rFonts w:ascii="Times New Roman" w:hAnsi="Times New Roman"/>
                <w:b/>
                <w:sz w:val="18"/>
              </w:rPr>
              <w:t>Raw Score</w:t>
            </w:r>
          </w:p>
        </w:tc>
        <w:tc>
          <w:tcPr>
            <w:tcW w:type="dxa" w:w="2340"/>
          </w:tcPr>
          <w:p>
            <w:pPr>
              <w:jc w:val="center"/>
            </w:pPr>
            <w:r/>
            <w:r>
              <w:rPr>
                <w:rFonts w:ascii="Times New Roman" w:hAnsi="Times New Roman"/>
                <w:b/>
                <w:sz w:val="18"/>
              </w:rPr>
              <w:t>Norm. Count (N)</w:t>
            </w:r>
          </w:p>
        </w:tc>
        <w:tc>
          <w:tcPr>
            <w:tcW w:type="dxa" w:w="2340"/>
          </w:tcPr>
          <w:p>
            <w:pPr>
              <w:jc w:val="center"/>
            </w:pPr>
            <w:r/>
            <w:r>
              <w:rPr>
                <w:rFonts w:ascii="Times New Roman" w:hAnsi="Times New Roman"/>
                <w:b/>
                <w:sz w:val="18"/>
              </w:rPr>
              <w:t>Normalized Score</w:t>
            </w:r>
          </w:p>
        </w:tc>
      </w:tr>
      <w:tr>
        <w:tc>
          <w:tcPr>
            <w:tcW w:type="dxa" w:w="2340"/>
          </w:tcPr>
          <w:p>
            <w:pPr>
              <w:jc w:val="center"/>
            </w:pPr>
            <w:r/>
            <w:r>
              <w:rPr>
                <w:rFonts w:ascii="Times New Roman" w:hAnsi="Times New Roman"/>
                <w:b w:val="0"/>
                <w:sz w:val="18"/>
              </w:rPr>
              <w:t>"cat"</w:t>
            </w:r>
          </w:p>
        </w:tc>
        <w:tc>
          <w:tcPr>
            <w:tcW w:type="dxa" w:w="2340"/>
          </w:tcPr>
          <w:p>
            <w:pPr>
              <w:jc w:val="center"/>
            </w:pPr>
            <w:r/>
            <w:r>
              <w:rPr>
                <w:rFonts w:ascii="Times New Roman" w:hAnsi="Times New Roman"/>
                <w:b w:val="0"/>
                <w:sz w:val="18"/>
              </w:rPr>
              <w:t>2.6391</w:t>
            </w:r>
          </w:p>
        </w:tc>
        <w:tc>
          <w:tcPr>
            <w:tcW w:type="dxa" w:w="2340"/>
          </w:tcPr>
          <w:p>
            <w:pPr>
              <w:jc w:val="center"/>
            </w:pPr>
            <w:r/>
            <w:r>
              <w:rPr>
                <w:rFonts w:ascii="Times New Roman" w:hAnsi="Times New Roman"/>
                <w:b w:val="0"/>
                <w:sz w:val="18"/>
              </w:rPr>
              <w:t>1</w:t>
            </w:r>
          </w:p>
        </w:tc>
        <w:tc>
          <w:tcPr>
            <w:tcW w:type="dxa" w:w="2340"/>
          </w:tcPr>
          <w:p>
            <w:pPr>
              <w:jc w:val="center"/>
            </w:pPr>
            <w:r/>
            <w:r>
              <w:rPr>
                <w:rFonts w:ascii="Times New Roman" w:hAnsi="Times New Roman"/>
                <w:b w:val="0"/>
                <w:sz w:val="18"/>
              </w:rPr>
              <w:t>2.6391</w:t>
            </w:r>
          </w:p>
        </w:tc>
      </w:tr>
      <w:tr>
        <w:tc>
          <w:tcPr>
            <w:tcW w:type="dxa" w:w="2340"/>
          </w:tcPr>
          <w:p>
            <w:pPr>
              <w:jc w:val="center"/>
            </w:pPr>
            <w:r/>
            <w:r>
              <w:rPr>
                <w:rFonts w:ascii="Times New Roman" w:hAnsi="Times New Roman"/>
                <w:b w:val="0"/>
                <w:sz w:val="18"/>
              </w:rPr>
              <w:t>"cat cat cat"</w:t>
            </w:r>
          </w:p>
        </w:tc>
        <w:tc>
          <w:tcPr>
            <w:tcW w:type="dxa" w:w="2340"/>
          </w:tcPr>
          <w:p>
            <w:pPr>
              <w:jc w:val="center"/>
            </w:pPr>
            <w:r/>
            <w:r>
              <w:rPr>
                <w:rFonts w:ascii="Times New Roman" w:hAnsi="Times New Roman"/>
                <w:b w:val="0"/>
                <w:sz w:val="18"/>
              </w:rPr>
              <w:t>6.3279</w:t>
            </w:r>
          </w:p>
        </w:tc>
        <w:tc>
          <w:tcPr>
            <w:tcW w:type="dxa" w:w="2340"/>
          </w:tcPr>
          <w:p>
            <w:pPr>
              <w:jc w:val="center"/>
            </w:pPr>
            <w:r/>
            <w:r>
              <w:rPr>
                <w:rFonts w:ascii="Times New Roman" w:hAnsi="Times New Roman"/>
                <w:b w:val="0"/>
                <w:sz w:val="18"/>
              </w:rPr>
              <w:t>3</w:t>
            </w:r>
          </w:p>
        </w:tc>
        <w:tc>
          <w:tcPr>
            <w:tcW w:type="dxa" w:w="2340"/>
          </w:tcPr>
          <w:p>
            <w:pPr>
              <w:jc w:val="center"/>
            </w:pPr>
            <w:r/>
            <w:r>
              <w:rPr>
                <w:rFonts w:ascii="Times New Roman" w:hAnsi="Times New Roman"/>
                <w:b w:val="0"/>
                <w:sz w:val="18"/>
              </w:rPr>
              <w:t>2.1093</w:t>
            </w:r>
          </w:p>
        </w:tc>
      </w:tr>
      <w:tr>
        <w:tc>
          <w:tcPr>
            <w:tcW w:type="dxa" w:w="2340"/>
          </w:tcPr>
          <w:p>
            <w:pPr>
              <w:jc w:val="center"/>
            </w:pPr>
            <w:r/>
            <w:r>
              <w:rPr>
                <w:rFonts w:ascii="Times New Roman" w:hAnsi="Times New Roman"/>
                <w:b w:val="0"/>
                <w:sz w:val="18"/>
              </w:rPr>
              <w:t>"cat dog mouse"</w:t>
            </w:r>
          </w:p>
        </w:tc>
        <w:tc>
          <w:tcPr>
            <w:tcW w:type="dxa" w:w="2340"/>
          </w:tcPr>
          <w:p>
            <w:pPr>
              <w:jc w:val="center"/>
            </w:pPr>
            <w:r/>
            <w:r>
              <w:rPr>
                <w:rFonts w:ascii="Times New Roman" w:hAnsi="Times New Roman"/>
                <w:b w:val="0"/>
                <w:sz w:val="18"/>
              </w:rPr>
              <w:t>7.9121</w:t>
            </w:r>
          </w:p>
        </w:tc>
        <w:tc>
          <w:tcPr>
            <w:tcW w:type="dxa" w:w="2340"/>
          </w:tcPr>
          <w:p>
            <w:pPr>
              <w:jc w:val="center"/>
            </w:pPr>
            <w:r/>
            <w:r>
              <w:rPr>
                <w:rFonts w:ascii="Times New Roman" w:hAnsi="Times New Roman"/>
                <w:b w:val="0"/>
                <w:sz w:val="18"/>
              </w:rPr>
              <w:t>3</w:t>
            </w:r>
          </w:p>
        </w:tc>
        <w:tc>
          <w:tcPr>
            <w:tcW w:type="dxa" w:w="2340"/>
          </w:tcPr>
          <w:p>
            <w:pPr>
              <w:jc w:val="center"/>
            </w:pPr>
            <w:r/>
            <w:r>
              <w:rPr>
                <w:rFonts w:ascii="Times New Roman" w:hAnsi="Times New Roman"/>
                <w:b w:val="0"/>
                <w:sz w:val="18"/>
              </w:rPr>
              <w:t>2.6374</w:t>
            </w:r>
          </w:p>
        </w:tc>
      </w:tr>
      <w:tr>
        <w:tc>
          <w:tcPr>
            <w:tcW w:type="dxa" w:w="2340"/>
          </w:tcPr>
          <w:p>
            <w:pPr>
              <w:jc w:val="center"/>
            </w:pPr>
            <w:r/>
            <w:r>
              <w:rPr>
                <w:rFonts w:ascii="Times New Roman" w:hAnsi="Times New Roman"/>
                <w:b w:val="0"/>
                <w:sz w:val="18"/>
              </w:rPr>
              <w:t>"cat dog"</w:t>
            </w:r>
          </w:p>
        </w:tc>
        <w:tc>
          <w:tcPr>
            <w:tcW w:type="dxa" w:w="2340"/>
          </w:tcPr>
          <w:p>
            <w:pPr>
              <w:jc w:val="center"/>
            </w:pPr>
            <w:r/>
            <w:r>
              <w:rPr>
                <w:rFonts w:ascii="Times New Roman" w:hAnsi="Times New Roman"/>
                <w:b w:val="0"/>
                <w:sz w:val="18"/>
              </w:rPr>
              <w:t>5.3471</w:t>
            </w:r>
          </w:p>
        </w:tc>
        <w:tc>
          <w:tcPr>
            <w:tcW w:type="dxa" w:w="2340"/>
          </w:tcPr>
          <w:p>
            <w:pPr>
              <w:jc w:val="center"/>
            </w:pPr>
            <w:r/>
            <w:r>
              <w:rPr>
                <w:rFonts w:ascii="Times New Roman" w:hAnsi="Times New Roman"/>
                <w:b w:val="0"/>
                <w:sz w:val="18"/>
              </w:rPr>
              <w:t>2</w:t>
            </w:r>
          </w:p>
        </w:tc>
        <w:tc>
          <w:tcPr>
            <w:tcW w:type="dxa" w:w="2340"/>
          </w:tcPr>
          <w:p>
            <w:pPr>
              <w:jc w:val="center"/>
            </w:pPr>
            <w:r/>
            <w:r>
              <w:rPr>
                <w:rFonts w:ascii="Times New Roman" w:hAnsi="Times New Roman"/>
                <w:b w:val="0"/>
                <w:sz w:val="18"/>
              </w:rPr>
              <w:t>2.6736</w:t>
            </w:r>
          </w:p>
        </w:tc>
      </w:tr>
      <w:tr>
        <w:tc>
          <w:tcPr>
            <w:tcW w:type="dxa" w:w="2340"/>
          </w:tcPr>
          <w:p>
            <w:pPr>
              <w:jc w:val="center"/>
            </w:pPr>
            <w:r/>
            <w:r>
              <w:rPr>
                <w:rFonts w:ascii="Times New Roman" w:hAnsi="Times New Roman"/>
                <w:b w:val="0"/>
                <w:sz w:val="18"/>
              </w:rPr>
              <w:t>"cat cat"</w:t>
            </w:r>
          </w:p>
        </w:tc>
        <w:tc>
          <w:tcPr>
            <w:tcW w:type="dxa" w:w="2340"/>
          </w:tcPr>
          <w:p>
            <w:pPr>
              <w:jc w:val="center"/>
            </w:pPr>
            <w:r/>
            <w:r>
              <w:rPr>
                <w:rFonts w:ascii="Times New Roman" w:hAnsi="Times New Roman"/>
                <w:b w:val="0"/>
                <w:sz w:val="18"/>
              </w:rPr>
              <w:t>4.6540</w:t>
            </w:r>
          </w:p>
        </w:tc>
        <w:tc>
          <w:tcPr>
            <w:tcW w:type="dxa" w:w="2340"/>
          </w:tcPr>
          <w:p>
            <w:pPr>
              <w:jc w:val="center"/>
            </w:pPr>
            <w:r/>
            <w:r>
              <w:rPr>
                <w:rFonts w:ascii="Times New Roman" w:hAnsi="Times New Roman"/>
                <w:b w:val="0"/>
                <w:sz w:val="18"/>
              </w:rPr>
              <w:t>2</w:t>
            </w:r>
          </w:p>
        </w:tc>
        <w:tc>
          <w:tcPr>
            <w:tcW w:type="dxa" w:w="2340"/>
          </w:tcPr>
          <w:p>
            <w:pPr>
              <w:jc w:val="center"/>
            </w:pPr>
            <w:r/>
            <w:r>
              <w:rPr>
                <w:rFonts w:ascii="Times New Roman" w:hAnsi="Times New Roman"/>
                <w:b w:val="0"/>
                <w:sz w:val="18"/>
              </w:rPr>
              <w:t>2.3270</w:t>
            </w:r>
          </w:p>
        </w:tc>
      </w:tr>
    </w:tbl>
    <w:p>
      <w:pPr>
        <w:jc w:val="center"/>
      </w:pPr>
      <w:r>
        <w:rPr>
          <w:rFonts w:ascii="Times New Roman" w:hAnsi="Times New Roman"/>
          <w:i/>
          <w:sz w:val="18"/>
        </w:rPr>
        <w:t>Table WA.2: Concreteness scores for example phrases. Note that "cat dog" (diverse) achieves a higher normalized score than "cat cat" (repeated).</w:t>
      </w:r>
    </w:p>
    <w:p>
      <w:pPr>
        <w:pStyle w:val="Heading1"/>
      </w:pPr>
      <w:r>
        <w:rPr>
          <w:rFonts w:ascii="Times New Roman" w:hAnsi="Times New Roman"/>
          <w:color w:val="000000"/>
        </w:rPr>
        <w:t>WA.4  Library Output Specification</w:t>
      </w:r>
    </w:p>
    <w:p>
      <w:r>
        <w:t>The compute_concreteness() function returns a dictionary with the following structure for each POS category and the aggregate total:</w:t>
      </w:r>
    </w:p>
    <w:p>
      <w:pPr>
        <w:ind w:left="720"/>
      </w:pPr>
      <w:r>
        <w:rPr>
          <w:b/>
        </w:rPr>
        <w:t>score</w:t>
      </w:r>
      <w:r>
        <w:t xml:space="preserve"> — The raw (unnormalized) concreteness sum: ∑ log C(dᵢ + fᵢ, fᵢ).</w:t>
        <w:br/>
      </w:r>
      <w:r>
        <w:rPr>
          <w:b/>
        </w:rPr>
        <w:t>count</w:t>
      </w:r>
      <w:r>
        <w:t xml:space="preserve"> — The normalization count N: total number of word tokens with non-zero concreteness contribution.</w:t>
        <w:br/>
      </w:r>
      <w:r>
        <w:rPr>
          <w:b/>
        </w:rPr>
        <w:t>normalized_score</w:t>
      </w:r>
      <w:r>
        <w:t xml:space="preserve"> — The normalized concreteness: score / count (0 when count = 0).</w:t>
        <w:br/>
      </w:r>
      <w:r>
        <w:rPr>
          <w:b/>
        </w:rPr>
        <w:t>word_count</w:t>
      </w:r>
      <w:r>
        <w:t xml:space="preserve"> (total only) — Total number of word tokens in the text.</w:t>
        <w:br/>
      </w:r>
      <w:r>
        <w:rPr>
          <w:b/>
        </w:rPr>
        <w:t>content_word_counts</w:t>
      </w:r>
      <w:r>
        <w:t xml:space="preserve"> (total only) — Dictionary of word counts per content POS category (NN, VB, JJ, RB, CD), counting all words of that POS regardless of whether they contribute to concreteness.</w:t>
        <w:br/>
      </w:r>
    </w:p>
    <w:p>
      <w:r>
        <w:t>Additionally, the count_words() function provides standalone access to the word count and per-POS content word counts without computing concreteness scores.</w:t>
      </w:r>
    </w:p>
    <w:p>
      <w:pPr>
        <w:pStyle w:val="Heading1"/>
      </w:pPr>
      <w:r>
        <w:rPr>
          <w:rFonts w:ascii="Times New Roman" w:hAnsi="Times New Roman"/>
          <w:color w:val="000000"/>
        </w:rPr>
        <w:t>WA.5  Mathematical Properties</w:t>
      </w:r>
    </w:p>
    <w:p>
      <w:r>
        <w:t>The concreteness measure has the following desirable mathematical properties:</w:t>
      </w:r>
    </w:p>
    <w:p>
      <w:pPr>
        <w:ind w:left="432"/>
      </w:pPr>
      <w:r>
        <w:rPr>
          <w:b/>
        </w:rPr>
        <w:t xml:space="preserve">Non-negativity. </w:t>
      </w:r>
      <w:r>
        <w:t>C(text) ≥ 0, with equality when the text contains no content words mappable to WordNet nouns.</w:t>
      </w:r>
    </w:p>
    <w:p>
      <w:pPr>
        <w:ind w:left="432"/>
      </w:pPr>
      <w:r>
        <w:rPr>
          <w:b/>
        </w:rPr>
        <w:t xml:space="preserve">Additivity. </w:t>
      </w:r>
      <w:r>
        <w:t>The raw score is additive across word types: C(text) = ∑ᵢ c(dᵢ, fᵢ). This allows decomposition by POS category.</w:t>
      </w:r>
    </w:p>
    <w:p>
      <w:pPr>
        <w:ind w:left="432"/>
      </w:pPr>
      <w:r>
        <w:rPr>
          <w:b/>
        </w:rPr>
        <w:t xml:space="preserve">Monotonicity in depth. </w:t>
      </w:r>
      <w:r>
        <w:t>For fixed frequency, c(d, f) is strictly increasing in d. More specific (deeper) words contribute more.</w:t>
      </w:r>
    </w:p>
    <w:p>
      <w:pPr>
        <w:ind w:left="432"/>
      </w:pPr>
      <w:r>
        <w:rPr>
          <w:b/>
        </w:rPr>
        <w:t xml:space="preserve">Sub-linearity in frequency. </w:t>
      </w:r>
      <w:r>
        <w:t>For fixed depth, c(d, f) grows sub-linearly in f (as Θ(d log f) for large f). Repeating a word yields diminishing marginal returns.</w:t>
      </w:r>
    </w:p>
    <w:p>
      <w:pPr>
        <w:ind w:left="432"/>
      </w:pPr>
      <w:r>
        <w:rPr>
          <w:b/>
        </w:rPr>
        <w:t xml:space="preserve">Diversity preference. </w:t>
      </w:r>
      <w:r>
        <w:t>The normalized score c(d, f)/f is strictly decreasing in f, so diverse vocabulary is rewarded over repetition.</w:t>
      </w:r>
    </w:p>
    <w:p>
      <w:pPr>
        <w:pStyle w:val="Heading1"/>
      </w:pPr>
      <w:r>
        <w:rPr>
          <w:rFonts w:ascii="Times New Roman" w:hAnsi="Times New Roman"/>
          <w:color w:val="000000"/>
        </w:rPr>
        <w:t>References</w:t>
      </w:r>
    </w:p>
    <w:p>
      <w:pPr>
        <w:ind w:left="720" w:hanging="720"/>
      </w:pPr>
      <w:r>
        <w:rPr>
          <w:rFonts w:ascii="Times New Roman" w:hAnsi="Times New Roman"/>
          <w:sz w:val="20"/>
        </w:rPr>
        <w:t>Fellbaum, C. (1998). WordNet: An Electronic Lexical Database. MIT Press, Cambridge, MA.</w:t>
      </w:r>
    </w:p>
    <w:p>
      <w:pPr>
        <w:ind w:left="720" w:hanging="720"/>
      </w:pPr>
      <w:r>
        <w:rPr>
          <w:rFonts w:ascii="Times New Roman" w:hAnsi="Times New Roman"/>
          <w:sz w:val="20"/>
        </w:rPr>
        <w:t>Miller, G. A. (1995). WordNet: A Lexical Database for English. Communications of the ACM, 38(11), 39–41.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