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цель-работы"/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МИНИСТЕРСТВО ЦИФРОВОГО РАЗВИТИЯ,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СВЯЗИ И МАССОВЫХ КОММУНИКАЦИЙ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Ордена Трудового Красного Знамени федеральное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государственное бюджетное образовательное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учреждение высшего образования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МОСКОВСКИЙ ТЕХНИЧЕСКИЙ УНИВЕРСИТЕТ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СВЯЗИ И ИНФОРМАТИКИ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Кафедра «Интеллектуальные системы в управлении и автоматизации»</w:t>
      </w:r>
    </w:p>
    <w:p>
      <w:pPr>
        <w:spacing w:line="360" w:lineRule="auto" w:before="72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ЛАБОРАТОРНАЯ РАБОТА №1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дисциплине «Классическая и современная теория управления»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 тему: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«Исследование разомкнутой линейной системы»</w:t>
      </w: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Вариант 4</w:t>
      </w:r>
    </w:p>
    <w:p>
      <w:pPr>
        <w:spacing w:line="360" w:lineRule="auto" w:before="48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Выполнила: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Ст. гр. ________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Фамилия И.О.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Проверил: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Должность кафедры ИСУиА</w:t>
      </w:r>
    </w:p>
    <w:p>
      <w:pPr>
        <w:spacing w:line="360" w:lineRule="auto" w:before="0" w:after="0"/>
        <w:ind w:firstLine="0" w:left="0"/>
        <w:jc w:val="right"/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yellow"/>
        </w:rPr>
        <w:t>Фамилия И.О.</w:t>
      </w:r>
    </w:p>
    <w:p>
      <w:pPr>
        <w:spacing w:line="360" w:lineRule="auto" w:before="960" w:after="0"/>
        <w:ind w:firstLine="0" w:left="0"/>
        <w:jc w:val="center"/>
      </w:pPr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Москва, 2026 г.</w:t>
      </w:r>
      <w:r>
        <w:br w:type="page"/>
      </w:r>
    </w:p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Цель работы: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Освоение методов анализа одномерной линейной непрерывной системы с помощью среды Scilab.</w:t>
      </w:r>
    </w:p>
    <w:bookmarkEnd w:id="20"/>
    <w:bookmarkStart w:id="21" w:name="исходные-данные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Исходные данные: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Вариант 4: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04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091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1909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0264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9091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Исследуется система, описываемая передаточной функцией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091</m:t>
              </m:r>
            </m:num>
            <m:den>
              <m:sSup>
                <m:e>
                  <m:r>
                    <m:t>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1909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0264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9091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Расчёты выполнены в Scilab 2024, код приведён в листинге 1.</w:t>
      </w:r>
    </w:p>
    <w:bookmarkEnd w:id="21"/>
    <w:bookmarkStart w:id="44" w:name="ход-работы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Ход работы:</w:t>
      </w:r>
    </w:p>
    <w:bookmarkStart w:id="22" w:name="ввод-передаточной-функции-пп.-15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Ввод передаточной функции (пп. 1–5)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f = syslin('c', n, d)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f  =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      0.091 +1.04s +1.3s^2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 -------------------------------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 0.9091 +2.0264s +2.1909s^2 +s^3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Числитель и знаменатель извлекаются как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f.num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f.den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(в Scilab 2024 функции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numer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denom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убраны) и совпадают с введёнными полиномами.</w:t>
      </w:r>
    </w:p>
    <w:bookmarkEnd w:id="22"/>
    <w:bookmarkStart w:id="23" w:name="нули-и-полюса-п.-6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Нули и полюса (п. 6)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z = roots(n)          --&gt; p = roots(d)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-0.7 + 0.i               -1.1000586 + 0.i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-0.1 + 0.i               -0.5454207 + 0.7272735i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                         -0.5454207 - 0.7272735i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Нули: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 Полюса: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100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545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727</m:t>
        </m:r>
        <m:r>
          <m:t>j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 Все полюса в левой полуплоскости, поэтому система устойчива.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Модель в форме «нули-полюса»: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091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826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bookmarkEnd w:id="23"/>
    <w:bookmarkStart w:id="24" w:name="статический-коэффициент-усиления-п.-7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Статический коэффициент усиления (п. 7)</w:t>
      </w:r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091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9091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.</m:t>
          </m:r>
        </m:oMath>
      </m:oMathPara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k = horner(f, 0)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k  =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 0.1000990</w:t>
      </w:r>
    </w:p>
    <w:bookmarkEnd w:id="24"/>
    <w:bookmarkStart w:id="25" w:name="модель-в-пространстве-состояний-пп.-811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Модель в пространстве состояний (пп. 8–11)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f_ss = tf2ss(f)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A = -1.8357693  -0.7971211   5.551D-17     B = -1.2156897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    2.163252    0.4646033  -0.1200067          0.6784704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   -1.4418748   0.2578133  -0.8197339         -0.7019804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C = -1.0693518  -1.110D-16  -2.776D-16     D =  0.</w:t>
      </w:r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836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797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163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465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120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442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820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216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678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702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069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После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f_ss.D = 1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: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k1 = horner(ss2tf(f_ss), 0)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k1  =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  1.1000990</w:t>
      </w:r>
    </w:p>
    <w:p>
      <w:pPr>
        <w:pStyle w:val="FirstParagraph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Связь объясняется тем, что статический коэффициент модели в пространстве состояний равен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−</m:t>
        </m:r>
        <m:r>
          <m:t>C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 Слагаемое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rPr>
            <m:sty m:val="p"/>
          </m:rPr>
          <m:t>−</m:t>
        </m:r>
        <m:r>
          <m:t>C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не изменилось, поэтому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больше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ровно на величину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bookmarkEnd w:id="25"/>
    <w:bookmarkStart w:id="26" w:name="X4eea1b663ff51c6a51e9e83b63d3ec95bfd7097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Переменные рабочего пространства (пп. 12–13)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Команда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who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выводит только имена переменных,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whos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выводит имена вместе с типом, размером и занимаемой памятью.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%e = 2.7182818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– основание натурального логарифма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e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718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color w:val="000000"/>
          <w:sz w:val="28"/>
        </w:rPr>
        <w:t xml:space="preserve">%pi = 3.1415927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– число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π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142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bookmarkEnd w:id="26"/>
    <w:bookmarkStart w:id="30" w:name="карта-нулей-и-полюсов-п.-14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Карта нулей и полюсов (п. 14)</w:t>
      </w:r>
    </w:p>
    <w:p>
      <w:pPr>
        <w:pStyle w:val="FirstParagraph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3425683"/>
            <wp:effectExtent b="0" l="0" r="0" t="0"/>
            <wp:docPr descr="chart" title="" id="28" name="Picture"/>
            <a:graphic>
              <a:graphicData uri="http://schemas.openxmlformats.org/drawingml/2006/picture">
                <pic:pic>
                  <pic:nvPicPr>
                    <pic:cNvPr descr="plz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2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1 – Расположение нулей (○) и полюсов (×) системы</w:t>
      </w:r>
    </w:p>
    <w:bookmarkEnd w:id="30"/>
    <w:bookmarkStart w:id="31" w:name="Xc833b09ca511681b54aa0cf7bc22652280522bc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Коэффициенты демпфирования и собственные частоты (п. 15)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[wc,ksi,pp] = damp(f)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wc  =  0.9090712   0.9090712   1.1000586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ksi =  0.5999758   0.5999758   1.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1 – Параметры элементарных звеньев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Полюс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Собственная частота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</w:t>
            </w:r>
            <m:oMath>
              <m:r>
                <m:t>ω</m:t>
              </m:r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, рад/с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Постоянная времени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ω</m:t>
              </m:r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, 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Коэффициент демпфирования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 </w:t>
            </w:r>
            <m:oMath>
              <m:r>
                <m:t>ξ</m:t>
              </m:r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545</m:t>
              </m:r>
              <m:r>
                <m:rPr>
                  <m:sty m:val="p"/>
                </m:rPr>
                <m:t>±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727</m:t>
              </m:r>
              <m:r>
                <m:t>j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0,909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1,100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0,600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1,100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0,909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</w:p>
        </w:tc>
      </w:tr>
    </w:tbl>
    <w:p>
      <w:pPr>
        <w:pStyle w:val="BodyText"/>
        <w:spacing w:line="360" w:lineRule="auto" w:before="16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Проверка: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909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826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2</m:t>
        </m:r>
        <m:r>
          <m:t>ξ</m:t>
        </m:r>
        <m: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909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091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совпадают с коэффициентами квадратного трёхчлена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091</m:t>
        </m:r>
        <m:r>
          <m:t>s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826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bookmarkEnd w:id="31"/>
    <w:bookmarkStart w:id="35" w:name="импульсные-характеристики-пп.-1618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 Импульсные характеристики (пп. 16–18)</w:t>
      </w:r>
    </w:p>
    <w:p>
      <w:pPr>
        <w:pStyle w:val="FirstParagraph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3425683"/>
            <wp:effectExtent b="0" l="0" r="0" t="0"/>
            <wp:docPr descr="chart" title="" id="33" name="Picture"/>
            <a:graphic>
              <a:graphicData uri="http://schemas.openxmlformats.org/drawingml/2006/picture">
                <pic:pic>
                  <pic:nvPicPr>
                    <pic:cNvPr descr="im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2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2 – Импульсные характеристики исходной (синяя) и модифицированной (красная) систем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Импульсная характеристика для модифицированной системы построена неправильно. При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входной дельта-импульс проходит на выход напрямую, и настоящая импульсная характеристика содержит слагаемое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D</m:t>
        </m:r>
        <m:r>
          <m:t> </m:t>
        </m:r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 бесконечное при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 Scilab вместо этого прибавляет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ко всем значениям, и график просто поднят на 1.</w:t>
      </w:r>
    </w:p>
    <w:bookmarkEnd w:id="35"/>
    <w:bookmarkStart w:id="39" w:name="переходные-характеристики-пп.-1926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9. Переходные характеристики (пп. 19–26)</w:t>
      </w:r>
    </w:p>
    <w:p>
      <w:pPr>
        <w:pStyle w:val="FirstParagraph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3425683"/>
            <wp:effectExtent b="0" l="0" r="0" t="0"/>
            <wp:docPr descr="chart" title="" id="37" name="Picture"/>
            <a:graphic>
              <a:graphicData uri="http://schemas.openxmlformats.org/drawingml/2006/picture">
                <pic:pic>
                  <pic:nvPicPr>
                    <pic:cNvPr descr="ste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2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3 – Переходные характеристики исходной (синяя) и модифицированной (красная) систем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Установившееся значение (теоретически):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для исходной системы 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100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для модифицированной.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ovr = max(yStep-yInf)/yInf*100     --&gt; ovr2 = ...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ovr  =  514.38298                       ovr2  =  46.804170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set_time = t(max(ind)+1)           --&gt; set_time2 = ...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set_time  =  10.3                       set_time2  =  5.95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Таблица 2 – Характеристики переходного процесса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Показатель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Исходная система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Модифицированная система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Установившееся значение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0,100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1,100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0,615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1,615</w:t>
            </w:r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Перерегулирование, %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615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100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100</m:t>
                  </m:r>
                </m:den>
              </m:f>
              <m:r>
                <m:rPr>
                  <m:sty m:val="p"/>
                </m:rPr>
                <m:t>⋅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514</m:t>
              </m:r>
              <m:r>
                <m:rPr>
                  <m:sty m:val="p"/>
                </m:rPr>
                <m:t>,</m:t>
              </m:r>
              <m:r>
                <m:t>383</m:t>
              </m:r>
            </m:oMath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615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100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100</m:t>
                  </m:r>
                </m:den>
              </m:f>
              <m:r>
                <m:rPr>
                  <m:sty m:val="p"/>
                </m:rPr>
                <m:t>⋅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46</m:t>
              </m:r>
              <m:r>
                <m:rPr>
                  <m:sty m:val="p"/>
                </m:rPr>
                <m:t>,</m:t>
              </m:r>
              <m:r>
                <m:t>804</m:t>
              </m:r>
            </m:oMath>
          </w:p>
        </w:tc>
      </w:tr>
      <w:tr>
        <w:tc>
          <w:tcPr/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Время переходного процесса (5 %), с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10,3</w:t>
            </w:r>
          </w:p>
        </w:tc>
        <w:tc>
          <w:tcPr/>
          <w:p>
            <w:pPr>
              <w:pStyle w:val="Compact"/>
              <w:spacing w:line="240" w:lineRule="auto" w:before="0" w:after="0"/>
              <w:ind w:firstLine="0" w:left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5,95</w:t>
            </w:r>
          </w:p>
        </w:tc>
      </w:tr>
    </w:tbl>
    <w:p>
      <w:pPr>
        <w:pStyle w:val="BodyText"/>
        <w:spacing w:line="360" w:lineRule="auto" w:before="16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Различие между переходными характеристиками состоит в том, что характеристика модифицированной системы совпадает по форме с исходной, но сдвинута вверх на 1 и в момент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скачком принимает значение 1. Это объясняется тем, что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D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: ступенька на входе сразу передаётся на выход с коэффициентом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 Перерегулирование и время переходного процесса отличаются, потому что считаются относительно разных установившихся значений: при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100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та же абсолютная величина выброса (0,515) составляет меньший процент, а коридор 5 % в 11 раз шире (±0,055 вместо ±0,005), и характеристика входит в него раньше.</w:t>
      </w:r>
    </w:p>
    <w:bookmarkEnd w:id="39"/>
    <w:bookmarkStart w:id="43" w:name="X3db14a496d53098eb59864a9bc9f4fb214c2e34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10. Амплитудная частотная характеристика (пп. 27–32)</w:t>
      </w:r>
    </w:p>
    <w:p>
      <w:pPr>
        <w:pStyle w:val="FirstParagraph"/>
        <w:keepNext/>
        <w:spacing w:line="240" w:lineRule="auto" w:before="120" w:after="120"/>
        <w:ind w:firstLine="0" w:left="0"/>
        <w:jc w:val="center"/>
      </w:pPr>
      <w:r>
        <w:drawing>
          <wp:inline>
            <wp:extent cx="5760000" cy="3425683"/>
            <wp:effectExtent b="0" l="0" r="0" t="0"/>
            <wp:docPr descr="chart" title="" id="41" name="Picture"/>
            <a:graphic>
              <a:graphicData uri="http://schemas.openxmlformats.org/drawingml/2006/picture">
                <pic:pic>
                  <pic:nvPicPr>
                    <pic:cNvPr descr="ach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2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360" w:lineRule="auto" w:before="0" w:after="120"/>
        <w:ind w:firstLine="0" w:left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Рисунок 4 – АЧХ исходной системы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--&gt; M = max(Aw) / Aw(1)        --&gt; B = max( w(ind) 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 M  =  9.6478533                B  =  17.073526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Показатель колебательности: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num>
          <m:den>
            <m:r>
              <m:t>A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den>
        </m:f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648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Статический коэффициент равен значению АЧХ на нулевой частоте, то есть левому краю графика: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≈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Полоса пропускания находится по АЧХ как наибольшая частота, на которой АЧХ ещё выше уровня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дБ от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 то есть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/</m:t>
            </m:r>
            <m:r>
              <m:t>20</m:t>
            </m:r>
          </m:sup>
        </m:sSup>
        <m:r>
          <m:rPr>
            <m:sty m:val="p"/>
          </m:rPr>
          <m:t>⋅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708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071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:</w:t>
      </w:r>
    </w:p>
    <w:p>
      <w:pPr>
        <w:pStyle w:val="BodyText"/>
        <w:spacing w:line="360" w:lineRule="auto" w:before="60" w:after="60"/>
        <w:ind w:firstLine="0" w:left="0"/>
        <w:jc w:val="center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17</m:t>
          </m:r>
          <m:r>
            <m:rPr>
              <m:sty m:val="p"/>
            </m:rPr>
            <m:t>,</m:t>
          </m:r>
          <m:r>
            <m:t>074</m:t>
          </m:r>
          <m:r>
            <m:rPr>
              <m:nor/>
              <m:sty m:val="p"/>
            </m:rPr>
            <m:t> рад/с</m:t>
          </m:r>
          <m:r>
            <m:rPr>
              <m:sty m:val="p"/>
            </m:rPr>
            <m:t>.</m:t>
          </m:r>
        </m:oMath>
      </m:oMathPara>
    </w:p>
    <w:bookmarkEnd w:id="43"/>
    <w:bookmarkEnd w:id="44"/>
    <w:bookmarkStart w:id="45" w:name="вывод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Вывод:</w:t>
      </w:r>
    </w:p>
    <w:p>
      <w:pPr>
        <w:pStyle w:val="FirstParagraph"/>
        <w:spacing w:line="360" w:lineRule="auto" w:before="0" w:after="0"/>
        <w:ind w:firstLine="709" w:left="0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Исследована устойчивая система третьего порядка с нулями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и полюсами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100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545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727</m:t>
        </m:r>
        <m:r>
          <m:t>j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 Статический коэффициент усиления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 комплексной паре полюсов соответствует колебательное звено с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909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рад/с 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ξ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600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. Переходная характеристика имеет большое перерегулирование 514,383 % при времени переходного процесса 10,3 с из-за нуля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 близкого к началу координат. Показатель колебательности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648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, полоса пропускания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074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рад/с. Добавление прямой передачи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  <w:color w:val="000000"/>
          <w:sz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</w:rPr>
        <w:t xml:space="preserve">увеличивает статический коэффициент на 1 и сдвигает переходную характеристику вверх на 1, а импульсную характеристику такой системы Scilab строит неправильно.</w:t>
      </w:r>
    </w:p>
    <w:bookmarkEnd w:id="45"/>
    <w:bookmarkStart w:id="46" w:name="листинг-программы"/>
    <w:p>
      <w:pPr>
        <w:keepNext/>
        <w:spacing w:line="360" w:lineRule="auto" w:before="120" w:after="0"/>
        <w:ind w:firstLine="709" w:left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Листинг программы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Листинг 1 – Код программы (Scilab)</w:t>
      </w:r>
    </w:p>
    <w:p>
      <w:pPr>
        <w:pStyle w:val="SourceCode"/>
        <w:spacing w:line="240" w:lineRule="auto" w:before="0" w:after="0"/>
        <w:ind w:firstLine="0" w:left="0"/>
        <w:jc w:val="left"/>
      </w:pP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// ЛР1, вариант 4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clear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clc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n = poly([0.091 1.04 1.3],'s','coeff')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d = poly([0.9091 2.0264 2.1909 1],'s','coeff')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f = syslin('c', n, d)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n1 = f.num   // в Scilab 2024 вместо numer(f)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d1 = f.den   // вместо denom(f)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z = roots(n)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p = roots(d)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k = horner(f, 0)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f_ss = tf2ss(f)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f_ss.D = 1;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k1 = horner(ss2tf(f_ss), 0)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%e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%pi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scf(0); plzr(f);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[wc,ksi,pp] = damp(f)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t = [0:0.05:30];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yImp = csim('impuls', t, f);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yImp2 = csim('impuls', t, f_ss);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scf(1); plot(t, yImp, 'b-'); plot(t, yImp2, 'r-'); xgrid();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legend(['f','f_ss']); xlabel('t, c'); ylabel('w(t)');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yStep = csim('step', t, f);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yInf = k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ovr = max(yStep-yInf)/yInf*100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err = abs(yStep-yInf);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ind = find(err &gt;= 0.05*yInf);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set_time = t(max(ind)+1)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yStep2 = csim('step', t, f_ss);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yInf2 = k1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max1 = max(yStep)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max2 = max(yStep2)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ovr2 = max(yStep2-yInf2)/yInf2*100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err2 = abs(yStep2-yInf2);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ind2 = find(err2 &gt;= 0.05*yInf2);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set_time2 = t(max(ind2)+1)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scf(2); plot(t, yStep, 'b-'); plot(t, yStep2, 'r-'); xgrid();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legend(['f','f_ss'],1); xlabel('t, c'); ylabel('h(t)');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w = logspace(-2, 2, 100);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fResp = repfreq(f, w/(2*%pi));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Aw = abs(fResp);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scf(3); plot2d("ln", w, Aw); xgrid(); xlabel('w, рад/с'); ylabel('A(w)');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M = max(Aw) / Aw(1)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Aw1 = Aw(1)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k3dB = 10^(-3/20);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ind = find(Aw &gt; k3dB*Aw(1));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B = max( w(ind) )</w:t>
      </w:r>
      <w:r>
        <w:rPr>
          <w:rFonts w:ascii="Courier New" w:hAnsi="Courier New" w:eastAsia="Courier New" w:cs="Courier New"/>
          <w:color w:val="000000"/>
          <w:sz w:val="20"/>
        </w:rPr>
        <w:br/>
      </w:r>
      <w:r>
        <w:rPr>
          <w:rStyle w:val="VerbatimChar"/>
          <w:rFonts w:ascii="Courier New" w:hAnsi="Courier New" w:eastAsia="Courier New" w:cs="Courier New"/>
          <w:color w:val="000000"/>
          <w:sz w:val="20"/>
        </w:rPr>
        <w:t xml:space="preserve">xs2png(0,'plzr.png'); xs2png(1,'imp.png'); xs2png(2,'step.png'); xs2png(3,'ach.png');</w:t>
      </w:r>
    </w:p>
    <w:bookmarkEnd w:id="46"/>
    <w:sectPr>
      <w:footerReference w:type="default" r:id="rId9"/>
      <w:pgSz w:h="16838" w:w="11906"/>
      <w:pgMar w:left="1701" w:right="850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0" Type="http://schemas.openxmlformats.org/officeDocument/2006/relationships/image" Target="media/rId40.png"/><Relationship Id="rId32" Type="http://schemas.openxmlformats.org/officeDocument/2006/relationships/image" Target="media/rId32.png"/><Relationship Id="rId27" Type="http://schemas.openxmlformats.org/officeDocument/2006/relationships/image" Target="media/rId27.png"/><Relationship Id="rId36" Type="http://schemas.openxmlformats.org/officeDocument/2006/relationships/image" Target="media/rId3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разомкнутой линейной системы</dc:title>
  <dc:creator>Mariia</dc:creator>
  <cp:keywords/>
  <dcterms:created xsi:type="dcterms:W3CDTF">2026-10-24T09:46:56Z</dcterms:created>
  <dcterms:modified xsi:type="dcterms:W3CDTF">2026-10-24T09:46:56Z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