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цель-работы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МИНИСТЕРСТВО ЦИФРОВОГО РАЗВИТИЯ,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СВЯЗИ И МАССОВЫХ КОММУНИКАЦИЙ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Ордена Трудового Красного Знамени федеральное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государственное бюджетное образовательное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учреждение высшего образования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МОСКОВСКИЙ ТЕХНИЧЕСКИЙ УНИВЕРСИТЕТ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СВЯЗИ И ИНФОРМАТИКИ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Кафедра «Интеллектуальные системы в управлении и автоматизации»</w:t>
      </w:r>
    </w:p>
    <w:p>
      <w:pPr>
        <w:spacing w:line="360" w:lineRule="auto" w:before="720" w:after="0"/>
        <w:ind w:firstLine="0" w:left="0"/>
        <w:jc w:val="center"/>
      </w:pP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ЛАБОРАТОРНАЯ РАБОТА №1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 дисциплине «Планирование экспериментов в задачах управления»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«Оценка фактической производительности автоматической письмосортировочной машины (АПСМ) в обычные дни и в дни с предпраздничной нагрузкой»</w:t>
      </w:r>
    </w:p>
    <w:p>
      <w:pPr>
        <w:spacing w:line="360" w:lineRule="auto" w:before="480" w:after="0"/>
        <w:ind w:firstLine="0" w:left="0"/>
        <w:jc w:val="center"/>
      </w:pP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Выполнила: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Ст. гр. ________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Фамилия И.О.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Проверил: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Должность кафедры ИСУиА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olor w:val="000000"/>
          <w:sz w:val="28"/>
          <w:highlight w:val="yellow"/>
        </w:rPr>
        <w:t>Фамилия И.О.</w:t>
      </w:r>
    </w:p>
    <w:p>
      <w:pPr>
        <w:spacing w:line="360" w:lineRule="auto" w:before="960" w:after="0"/>
        <w:ind w:firstLine="0" w:left="0"/>
        <w:jc w:val="center"/>
      </w:pP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Москва, 2026 г.</w:t>
      </w:r>
      <w:r>
        <w:br w:type="page"/>
      </w:r>
    </w:p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Цель работы:</w:t>
      </w:r>
    </w:p>
    <w:p>
      <w:pPr>
        <w:numPr>
          <w:ilvl w:val="0"/>
          <w:numId w:val="1001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Изучение статистических приёмов определения значимости различия значений технических характеристик машин в различных режимах эксплуатации.</w:t>
      </w:r>
    </w:p>
    <w:p>
      <w:pPr>
        <w:numPr>
          <w:ilvl w:val="0"/>
          <w:numId w:val="1001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Определение фактической производительности автоматической письмосортировочной машины (АПСМ) МАП-1 в обычные дни и в дни с предпраздничной нагрузкой.</w:t>
      </w:r>
    </w:p>
    <w:p>
      <w:pPr>
        <w:numPr>
          <w:ilvl w:val="0"/>
          <w:numId w:val="1001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Определение того, влияет ли (и если влияет, то как) увеличение доли почтовых карточек в предпраздничном потоке на фактическую производительность АПСМ.</w:t>
      </w:r>
    </w:p>
    <w:bookmarkEnd w:id="20"/>
    <w:bookmarkStart w:id="21" w:name="исходные-данные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Исходные данные: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Выборочные данные о фактической производительности АПСМ МАП-1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(писем в час) приведены в таблице 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Таблица 1 – Выборочные данные о фактической производительности МАП-1, писем/ч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Обычные дни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о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(13.03–18.04)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Предпраздничные дни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п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(21.04–07.05)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17981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15942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18694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15429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19205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16339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18698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17853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18753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17894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18880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17329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18661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17620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16844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16939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17707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15735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17535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17949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17972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16404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18584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15354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16351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17432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17947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17738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16160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15897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–</w:t>
            </w:r>
          </w:p>
        </w:tc>
      </w:tr>
    </w:tbl>
    <w:p>
      <w:pPr>
        <w:pStyle w:val="BodyText"/>
        <w:spacing w:line="360" w:lineRule="auto" w:before="16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Объём выборок: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(обычные дни),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(предпраздничные дни). Уровень значимости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Times New Roman" w:hAnsi="Times New Roman" w:eastAsia="Times New Roman" w:cs="Times New Roman"/>
          <w:color w:val="000000"/>
          <w:sz w:val="28"/>
        </w:rPr>
        <w:t xml:space="preserve">.</w:t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Расчёты выполнены в Python, код приведён в листинге 1.</w:t>
      </w:r>
    </w:p>
    <w:bookmarkEnd w:id="21"/>
    <w:bookmarkStart w:id="41" w:name="ход-работы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Ход работы:</w:t>
      </w:r>
    </w:p>
    <w:bookmarkStart w:id="25" w:name="статистические-характеристики-п.-3.1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Статистические характеристики (п. 3.1)</w:t>
      </w:r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о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321039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r>
            <m:t>17835</m:t>
          </m:r>
          <m:r>
            <m:rPr>
              <m:sty m:val="p"/>
            </m:rPr>
            <m:t>,</m:t>
          </m:r>
          <m:r>
            <m:t>50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о</m:t>
                  </m:r>
                </m:sup>
              </m:sSubSup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16614208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988</m:t>
          </m:r>
          <m:r>
            <m:rPr>
              <m:sty m:val="p"/>
            </m:rPr>
            <m:t>,</m:t>
          </m:r>
          <m:r>
            <m:t>59</m:t>
          </m:r>
          <m:r>
            <m:rPr>
              <m:nor/>
              <m:sty m:val="p"/>
            </m:rPr>
            <m:t> писем/ч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п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200787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r>
            <m:t>16732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п</m:t>
                  </m:r>
                </m:sup>
              </m:sSubSup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10752610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num>
                <m:den>
                  <m:r>
                    <m:t>11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988</m:t>
          </m:r>
          <m:r>
            <m:rPr>
              <m:sty m:val="p"/>
            </m:rPr>
            <m:t>,</m:t>
          </m:r>
          <m:r>
            <m:t>69</m:t>
          </m:r>
          <m:r>
            <m:rPr>
              <m:nor/>
              <m:sty m:val="p"/>
            </m:rPr>
            <m:t> писем/ч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8431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t1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43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c8ecfe781e0d12b16f8131f3e991957544f10e1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95% доверительные интервалы для средних (п. 3.2)</w:t>
      </w:r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о</m:t>
              </m:r>
            </m:sup>
          </m:sSubSup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17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sSubSup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о</m:t>
                      </m:r>
                    </m:sup>
                  </m:sSubSup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17835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±</m:t>
          </m:r>
          <m:r>
            <m:t>2</m:t>
          </m:r>
          <m:r>
            <m:rPr>
              <m:sty m:val="p"/>
            </m:rPr>
            <m:t>,</m:t>
          </m:r>
          <m:r>
            <m:t>11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988</m:t>
              </m:r>
              <m:r>
                <m:rPr>
                  <m:sty m:val="p"/>
                </m:rPr>
                <m:t>,</m:t>
              </m:r>
              <m:r>
                <m:t>59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17835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±</m:t>
          </m:r>
          <m:r>
            <m:t>491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п</m:t>
              </m:r>
            </m:sup>
          </m:sSubSup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11</m:t>
              </m:r>
            </m:sub>
          </m:sSub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sSubSup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п</m:t>
                      </m:r>
                    </m:sup>
                  </m:sSubSup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16732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±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988</m:t>
              </m:r>
              <m:r>
                <m:rPr>
                  <m:sty m:val="p"/>
                </m:rPr>
                <m:t>,</m:t>
              </m:r>
              <m:r>
                <m:t>69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16732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±</m:t>
          </m:r>
          <m:r>
            <m:t>627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r>
            <m:t>17343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&lt;</m:t>
          </m:r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о</m:t>
              </m:r>
            </m:sup>
          </m:sSubSup>
          <m:r>
            <m:rPr>
              <m:sty m:val="p"/>
            </m:rPr>
            <m:t>&lt;</m:t>
          </m:r>
          <m:r>
            <m:t>18327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r>
            <m:t>16104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&lt;</m:t>
          </m:r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п</m:t>
              </m:r>
            </m:sup>
          </m:sSubSup>
          <m:r>
            <m:rPr>
              <m:sty m:val="p"/>
            </m:rPr>
            <m:t>&lt;</m:t>
          </m:r>
          <m:r>
            <m:t>17360</m:t>
          </m:r>
          <m:r>
            <m:rPr>
              <m:sty m:val="p"/>
            </m:rPr>
            <m:t>,</m:t>
          </m:r>
          <m:r>
            <m:t>2</m:t>
          </m:r>
          <m:r>
            <m:rPr>
              <m:nor/>
              <m:sty m:val="p"/>
            </m:rPr>
            <m:t> писем/ч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102872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1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028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X855f53c47cbacc522fa55a37213687ceac5b46f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 Пересечение доверительных интервалов (п. 3.3)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Интервалы пересекаются: 17 360,2 &gt; 17 343,8 (примерно на 16 писем/ч). Поэтому по п. 3.3.2 рассчитывается доверительный интервал для разности средних.</w:t>
      </w:r>
    </w:p>
    <w:p>
      <w:pPr>
        <w:pStyle w:val="BodyText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64473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1_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64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4320000"/>
            <wp:effectExtent b="0" l="0" r="0" t="0"/>
            <wp:docPr descr="chart" title="" id="34" name="Picture"/>
            <a:graphic>
              <a:graphicData uri="http://schemas.openxmlformats.org/drawingml/2006/picture">
                <pic:pic>
                  <pic:nvPicPr>
                    <pic:cNvPr descr="prak1_c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Рисунок 1 – Производительность МАП-1 и 95% доверительные интервалы</w:t>
      </w:r>
    </w:p>
    <w:bookmarkEnd w:id="36"/>
    <w:bookmarkStart w:id="40" w:name="Xc00a892b4933f8b6cd9342d457af204ed0012b7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Доверительный интервал для разности средних (п. 3.3.2)</w:t>
      </w:r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bSup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о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п</m:t>
                  </m:r>
                </m:sup>
              </m:sSubSup>
            </m:e>
          </m:d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28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о</m:t>
                          </m:r>
                        </m:sup>
                      </m:sSubSup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п</m:t>
                          </m:r>
                        </m:sup>
                      </m:sSubSup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17</m:t>
                  </m:r>
                  <m:r>
                    <m:rPr>
                      <m:sty m:val="p"/>
                    </m:rPr>
                    <m:t>⋅</m:t>
                  </m:r>
                  <m:r>
                    <m:t>988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59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⋅</m:t>
                  </m:r>
                  <m:r>
                    <m:t>988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69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28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988</m:t>
          </m:r>
          <m:r>
            <m:rPr>
              <m:sty m:val="p"/>
            </m:rPr>
            <m:t>,</m:t>
          </m:r>
          <m:r>
            <m:t>63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17835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16732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  <m:r>
            <m:rPr>
              <m:sty m:val="p"/>
            </m:rPr>
            <m:t>±</m:t>
          </m:r>
          <m:r>
            <m:t>2</m:t>
          </m:r>
          <m:r>
            <m:rPr>
              <m:sty m:val="p"/>
            </m:rPr>
            <m:t>,</m:t>
          </m:r>
          <m:r>
            <m:t>048</m:t>
          </m:r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216</m:t>
                  </m:r>
                </m:den>
              </m:f>
            </m:e>
          </m:rad>
          <m:r>
            <m:rPr>
              <m:sty m:val="p"/>
            </m:rPr>
            <m:t>⋅</m:t>
          </m:r>
          <m:r>
            <m:t>988</m:t>
          </m:r>
          <m:r>
            <m:rPr>
              <m:sty m:val="p"/>
            </m:rPr>
            <m:t>,</m:t>
          </m:r>
          <m:r>
            <m:t>63</m:t>
          </m:r>
          <m:r>
            <m:rPr>
              <m:sty m:val="p"/>
            </m:rPr>
            <m:t>=</m:t>
          </m:r>
          <m:r>
            <m:t>1103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±</m:t>
          </m:r>
          <m:r>
            <m:t>754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spacing w:line="360" w:lineRule="auto" w:before="60" w:after="60"/>
        <w:ind w:firstLine="0" w:left="0"/>
        <w:jc w:val="center"/>
      </w:pPr>
      <m:oMathPara>
        <m:oMathParaPr>
          <m:jc m:val="center"/>
        </m:oMathParaPr>
        <m:oMath>
          <m:r>
            <m:t>348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&lt;</m:t>
          </m:r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о</m:t>
              </m:r>
            </m:sup>
          </m:sSubSup>
          <m:r>
            <m:rPr>
              <m:sty m:val="p"/>
            </m:rPr>
            <m:t>−</m:t>
          </m:r>
          <m:sSub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1</m:t>
              </m:r>
            </m:sub>
            <m:sup>
              <m:r>
                <m:t>п</m:t>
              </m:r>
            </m:sup>
          </m:sSubSup>
          <m:r>
            <m:rPr>
              <m:sty m:val="p"/>
            </m:rPr>
            <m:t>&lt;</m:t>
          </m:r>
          <m:r>
            <m:t>1857</m:t>
          </m:r>
          <m:r>
            <m:rPr>
              <m:sty m:val="p"/>
            </m:rPr>
            <m:t>,</m:t>
          </m:r>
          <m:r>
            <m:t>8</m:t>
          </m:r>
          <m:r>
            <m:rPr>
              <m:nor/>
              <m:sty m:val="p"/>
            </m:rPr>
            <m:t> писем/ч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keepNext/>
        <w:spacing w:line="240" w:lineRule="auto" w:before="120" w:after="120"/>
        <w:ind w:firstLine="0" w:left="0"/>
        <w:jc w:val="center"/>
      </w:pPr>
      <w:r>
        <w:drawing>
          <wp:inline>
            <wp:extent cx="5760000" cy="12038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t1_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203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Интервал не содержит 0, следовательно, различие производительности значимо.</w:t>
      </w:r>
    </w:p>
    <w:bookmarkEnd w:id="40"/>
    <w:bookmarkEnd w:id="41"/>
    <w:bookmarkStart w:id="42" w:name="вывод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Вывод:</w:t>
      </w:r>
    </w:p>
    <w:p>
      <w:pPr>
        <w:numPr>
          <w:ilvl w:val="0"/>
          <w:numId w:val="1002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Фактическая производительность МАП-1 в обычные дни – 17 835,5 писем/ч (17 343,8–18 327,2), в предпраздничные – 16 732,25 писем/ч (16 104,3–17 360,2). Различие значимо: в предпраздничные дни производительность ниже на 1103 писем/ч (≈ 6 %).</w:t>
      </w:r>
    </w:p>
    <w:p>
      <w:pPr>
        <w:numPr>
          <w:ilvl w:val="0"/>
          <w:numId w:val="1002"/>
        </w:numPr>
        <w:pStyle w:val="Compact"/>
        <w:spacing w:line="360" w:lineRule="auto" w:before="0" w:after="0"/>
        <w:ind w:left="0" w:firstLine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Увеличение доли почтовых карточек в предпраздничном потоке снижает производительность АПСМ: тонкие нежёсткие карточки чаще дают сдвоенные подачи, застревания и остановки машины.</w:t>
      </w:r>
    </w:p>
    <w:bookmarkEnd w:id="42"/>
    <w:bookmarkStart w:id="43" w:name="рекомендации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Рекомендации:</w:t>
      </w:r>
    </w:p>
    <w:p>
      <w:pPr>
        <w:pStyle w:val="FirstParagraph"/>
        <w:spacing w:line="360" w:lineRule="auto" w:before="0" w:after="0"/>
        <w:ind w:firstLine="709" w:left="0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При планировании работы в предпраздничные дни закладывать производительность МАП-1 около 16,7 тыс. писем/ч, то есть предусматривать примерно на 6 % больше времени работы оборудования.</w:t>
      </w:r>
    </w:p>
    <w:bookmarkEnd w:id="43"/>
    <w:bookmarkStart w:id="44" w:name="листинг-программы"/>
    <w:p>
      <w:pPr>
        <w:keepNext/>
        <w:spacing w:line="360" w:lineRule="auto" w:before="120" w:after="0"/>
        <w:ind w:firstLine="709" w:left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Листинг программы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Листинг 1 – Код программы</w:t>
      </w:r>
    </w:p>
    <w:p>
      <w:pPr>
        <w:pStyle w:val="SourceCode"/>
        <w:spacing w:line="240" w:lineRule="auto" w:before="0" w:after="0"/>
        <w:ind w:firstLine="0" w:left="0"/>
        <w:jc w:val="left"/>
      </w:pP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import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numpy </w:t>
      </w: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as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import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matplotlib.pyplot </w:t>
      </w:r>
      <w:r>
        <w:rPr>
          <w:rStyle w:val="ImportTok"/>
          <w:rFonts w:ascii="Courier New" w:hAnsi="Courier New" w:eastAsia="Courier New" w:cs="Courier New"/>
          <w:color w:val="000000"/>
          <w:sz w:val="20"/>
        </w:rPr>
        <w:t xml:space="preserve">as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plt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Исходные данные: фактическая производительность МАП-1, писем в час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y_o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17981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18694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19205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18698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18753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18880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     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18661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16844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17707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17535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17972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18584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     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16351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17432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17947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17738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16160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15897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dtype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float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обычные дни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y_p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np.array([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15942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15429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16339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17853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17894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17329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         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17620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16939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15735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17949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16404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15354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dtype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float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предпраздничные дни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n1, n2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len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(y_o),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len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(y_p)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3.1. Среднее арифметическое и среднее квадратическое отклонение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def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characteristics(y):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mean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(y)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len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(y)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s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np.sqrt(np.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sum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((y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mean)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len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(y)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return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mean, s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mean_o, s_o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characteristics(y_o)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mean_p, s_p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characteristics(y_p)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"3.1. Статистические характеристики"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f"Обычные дни:         n1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n1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y_ср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mean_o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S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s_o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f"Предпраздничные дни: n2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n2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y_ср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mean_p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S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s_p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3.2. 95% доверительные интервалы для средних значений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2.11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табличное значение t(0,975; 17) из методички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табличное значение t(0,975; 11)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s_o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np.sqrt(n1)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s_p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np.sqrt(n2)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(mean_o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d_o, mean_o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d_o)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(mean_p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d_p, mean_p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d_p)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"3.2. 95% доверительные интервалы для средних"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f"t(0,975;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)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t_o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t(0,975;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n2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)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t_p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f"Обычные дни:        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mean_o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±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d_o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-&gt; [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ci_o[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;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ci_o[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]"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f"Предпраздничные дни: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mean_p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±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d_p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-&gt; [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ci_p[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;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ci_p[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]"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3.3. Проверка пересечения интервалов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overlap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ci_p[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ci_o[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"3.3. Пересечение доверительных интервалов"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if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overlap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f"Интервалы пересекаются, ширина пересечения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overlap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писем/ч"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else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: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</w:t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"Интервалы не пересекаются: различие значимо"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3.3.2. 95% доверительный интервал для разности средних, формула (1)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t_d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2.048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</w:t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табличное значение t(0,975; 28)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s_pool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np.sqrt(((n1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s_o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(n2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s_p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(n1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n2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diff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mean_o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mean_p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d_diff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t_d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np.sqrt((n1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n2)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/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(n1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n2))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s_pool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ci_diff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(diff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d_diff, diff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d_diff)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"3.3.2. Доверительный интервал для разности средних"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f"t(0,975;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n1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n2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)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t_d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, S_объед =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s_pool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f"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diff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±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d_diff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:.2f}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 -&gt; [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ci_diff[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; 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ci_diff[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</w:t>
      </w:r>
      <w:r>
        <w:rPr>
          <w:rStyle w:val="SpecialCharTok"/>
          <w:rFonts w:ascii="Courier New" w:hAnsi="Courier New" w:eastAsia="Courier New" w:cs="Courier New"/>
          <w:color w:val="000000"/>
          <w:sz w:val="20"/>
        </w:rPr>
        <w:t xml:space="preserve">:.1f}</w:t>
      </w:r>
      <w:r>
        <w:rPr>
          <w:rStyle w:val="SpecialStringTok"/>
          <w:rFonts w:ascii="Courier New" w:hAnsi="Courier New" w:eastAsia="Courier New" w:cs="Courier New"/>
          <w:color w:val="000000"/>
          <w:sz w:val="20"/>
        </w:rPr>
        <w:t xml:space="preserve">]"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BuiltInTok"/>
          <w:rFonts w:ascii="Courier New" w:hAnsi="Courier New" w:eastAsia="Courier New" w:cs="Courier New"/>
          <w:color w:val="000000"/>
          <w:sz w:val="20"/>
        </w:rPr>
        <w:t xml:space="preserve">print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"Интервал не содержит 0: различие значимо"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if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ci_diff[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KeywordTok"/>
          <w:rFonts w:ascii="Courier New" w:hAnsi="Courier New" w:eastAsia="Courier New" w:cs="Courier New"/>
          <w:color w:val="000000"/>
          <w:sz w:val="20"/>
        </w:rPr>
        <w:t xml:space="preserve">or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ci_diff[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&lt;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     </w:t>
      </w:r>
      <w:r>
        <w:rPr>
          <w:rStyle w:val="ControlFlowTok"/>
          <w:rFonts w:ascii="Courier New" w:hAnsi="Courier New" w:eastAsia="Courier New" w:cs="Courier New"/>
          <w:color w:val="000000"/>
          <w:sz w:val="20"/>
        </w:rPr>
        <w:t xml:space="preserve">else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"Интервал содержит 0: различие незначимо"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CommentTok"/>
          <w:rFonts w:ascii="Courier New" w:hAnsi="Courier New" w:eastAsia="Courier New" w:cs="Courier New"/>
          <w:color w:val="000000"/>
          <w:sz w:val="20"/>
        </w:rPr>
        <w:t xml:space="preserve"># График: исходные данные и доверительные интервалы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fig, ax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plt.subplots(figsize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rng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np.random.default_rng(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ax.scatter(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rng.uniform(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0.08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0.08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n1), y_o,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"tab:blue"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alpha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label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"Обычные дни"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ax.scatter(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 rng.uniform(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0.08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0.08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n2), y_p,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"tab:orange"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alpha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label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"Предпраздничные дни"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ax.errorbar([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1.25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[mean_o], yerr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[[d_o], [d_o]], fmt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"s"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"tab:blue"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capsize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label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"Среднее и 95% ДИ"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ax.errorbar([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2.25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[mean_p], yerr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[[d_p], [d_p]], fmt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"s"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"tab:orange"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capsize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8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ax.axhspan(ci_o[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ci_p[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color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"grey"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alpha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label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"Пересечение интервалов"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ax.set_xticks([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], [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"Обычные дни"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"Предпраздничные дни"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])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ax.set_xlim(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2.6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ax.set_ylabel(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"Производительность, писем/ч"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ax.set_title(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"Фактическая производительность АПСМ МАП-1"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ax.grid(</w:t>
      </w:r>
      <w:r>
        <w:rPr>
          <w:rStyle w:val="VariableTok"/>
          <w:rFonts w:ascii="Courier New" w:hAnsi="Courier New" w:eastAsia="Courier New" w:cs="Courier New"/>
          <w:color w:val="000000"/>
          <w:sz w:val="20"/>
        </w:rPr>
        <w:t xml:space="preserve">True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alpha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0.4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ax.legend(loc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"upper center"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bbox_to_anchor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0.5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-</w:t>
      </w:r>
      <w:r>
        <w:rPr>
          <w:rStyle w:val="FloatTok"/>
          <w:rFonts w:ascii="Courier New" w:hAnsi="Courier New" w:eastAsia="Courier New" w:cs="Courier New"/>
          <w:color w:val="000000"/>
          <w:sz w:val="20"/>
        </w:rPr>
        <w:t xml:space="preserve">0.1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), ncol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plt.tight_layout()</w:t>
      </w:r>
      <w:r>
        <w:rPr>
          <w:rFonts w:ascii="Courier New" w:hAnsi="Courier New" w:eastAsia="Courier New" w:cs="Courier New"/>
          <w:color w:val="000000"/>
          <w:sz w:val="20"/>
        </w:rPr>
        <w:br/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plt.savefig(</w:t>
      </w:r>
      <w:r>
        <w:rPr>
          <w:rStyle w:val="StringTok"/>
          <w:rFonts w:ascii="Courier New" w:hAnsi="Courier New" w:eastAsia="Courier New" w:cs="Courier New"/>
          <w:color w:val="000000"/>
          <w:sz w:val="20"/>
        </w:rPr>
        <w:t xml:space="preserve">"prak1_ci.png"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, dpi</w:t>
      </w:r>
      <w:r>
        <w:rPr>
          <w:rStyle w:val="OperatorTok"/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Style w:val="DecValTok"/>
          <w:rFonts w:ascii="Courier New" w:hAnsi="Courier New" w:eastAsia="Courier New" w:cs="Courier New"/>
          <w:color w:val="000000"/>
          <w:sz w:val="20"/>
        </w:rPr>
        <w:t xml:space="preserve">200</w:t>
      </w:r>
      <w:r>
        <w:rPr>
          <w:rStyle w:val="NormalTok"/>
          <w:rFonts w:ascii="Courier New" w:hAnsi="Courier New" w:eastAsia="Courier New" w:cs="Courier New"/>
          <w:color w:val="000000"/>
          <w:sz w:val="20"/>
        </w:rPr>
        <w:t xml:space="preserve">)</w:t>
      </w:r>
    </w:p>
    <w:bookmarkEnd w:id="44"/>
    <w:sectPr>
      <w:footerReference w:type="default" r:id="rId9"/>
      <w:pgSz w:h="16838" w:w="11906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7" Type="http://schemas.openxmlformats.org/officeDocument/2006/relationships/image" Target="media/rId3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Оценка фактической производительности автоматической письмосортировочной машины (АПСМ) в обычные дни и в дни с предпраздничной нагрузкой</dc:title>
  <dc:creator>Mariia</dc:creator>
  <cp:keywords/>
  <dcterms:created xsi:type="dcterms:W3CDTF">2026-10-23T21:29:26Z</dcterms:created>
  <dcterms:modified xsi:type="dcterms:W3CDTF">2026-10-23T21:29:26Z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