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40.png" ContentType="image/png"/>
  <Override PartName="/word/media/rId32.png" ContentType="image/png"/>
  <Override PartName="/word/media/rId27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лр4-на-пальцах-и-защита"/>
    <w:p>
      <w:pPr>
        <w:pStyle w:val="Heading1"/>
      </w:pPr>
      <w:r>
        <w:t xml:space="preserve">ЛР4 «на пальцах» и защита</w:t>
      </w:r>
    </w:p>
    <w:bookmarkStart w:id="20" w:name="суть"/>
    <w:p>
      <w:pPr>
        <w:pStyle w:val="Heading2"/>
      </w:pPr>
      <w:r>
        <w:t xml:space="preserve">Суть</w:t>
      </w:r>
    </w:p>
    <w:p>
      <w:pPr>
        <w:pStyle w:val="FirstParagraph"/>
      </w:pPr>
      <w:r>
        <w:t xml:space="preserve">Хотим понять, как 4 «ручки» (температура, скорость конвейера, поток воздуха, загрузка) влияют на влажность материала после сушки. Каждую ручку ставим в два положения: «минимум» (−1) и «максимум» (+1).</w:t>
      </w:r>
      <w:r>
        <w:t xml:space="preserve"> </w:t>
      </w:r>
      <w:r>
        <w:rPr>
          <w:bCs/>
          <w:b/>
        </w:rPr>
        <w:t xml:space="preserve">Полный факторный эксперимент (ПФЭ)</w:t>
      </w:r>
      <w:r>
        <w:t xml:space="preserve"> </w:t>
      </w:r>
      <w:r>
        <w:t xml:space="preserve">— перебор всех комбинаций: 2⁴ = 16 опытов. Каждый опыт повторяем 5 раз (m = 5), потому что измерения «шумят».</w:t>
      </w:r>
    </w:p>
    <w:bookmarkEnd w:id="20"/>
    <w:bookmarkStart w:id="21" w:name="шаги"/>
    <w:p>
      <w:pPr>
        <w:pStyle w:val="Heading2"/>
      </w:pPr>
      <w:r>
        <w:t xml:space="preserve">Шаги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Факторы и уровни.</w:t>
      </w:r>
      <w:r>
        <w:t xml:space="preserve"> </w:t>
      </w:r>
      <w:r>
        <w:t xml:space="preserve">Для каждого фактора нашли середину (нулевую точку) и шаг (интервал варьирования). Например, температура 80…120 °С даёт центр 100 и шаг 20. Кодируем: 80 → −1, 100 → 0, 120 → +1.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Матрица плана</w:t>
      </w:r>
      <w:r>
        <w:t xml:space="preserve"> </w:t>
      </w:r>
      <w:r>
        <w:t xml:space="preserve">— 16 строк со всеми сочетаниями «+» и «−». Её проверили по свойствам:</w:t>
      </w:r>
    </w:p>
    <w:p>
      <w:pPr>
        <w:numPr>
          <w:ilvl w:val="1"/>
          <w:numId w:val="1002"/>
        </w:numPr>
        <w:pStyle w:val="Compact"/>
      </w:pPr>
      <w:r>
        <w:rPr>
          <w:iCs/>
          <w:i/>
        </w:rPr>
        <w:t xml:space="preserve">ортогональность:</w:t>
      </w:r>
      <w:r>
        <w:t xml:space="preserve"> </w:t>
      </w:r>
      <w:r>
        <w:t xml:space="preserve">перемножили любые два столбца построчно и сложили, получился 0. Значит, влияния факторов оцениваются независимо друг от друга;</w:t>
      </w:r>
    </w:p>
    <w:p>
      <w:pPr>
        <w:numPr>
          <w:ilvl w:val="1"/>
          <w:numId w:val="1002"/>
        </w:numPr>
        <w:pStyle w:val="Compact"/>
      </w:pPr>
      <w:r>
        <w:rPr>
          <w:iCs/>
          <w:i/>
        </w:rPr>
        <w:t xml:space="preserve">симметричность:</w:t>
      </w:r>
      <w:r>
        <w:t xml:space="preserve"> </w:t>
      </w:r>
      <w:r>
        <w:t xml:space="preserve">в каждом столбце поровну плюсов и минусов (сумма 0), центр плана в нулевой точке;</w:t>
      </w:r>
    </w:p>
    <w:p>
      <w:pPr>
        <w:numPr>
          <w:ilvl w:val="1"/>
          <w:numId w:val="1002"/>
        </w:numPr>
        <w:pStyle w:val="Compact"/>
      </w:pPr>
      <w:r>
        <w:rPr>
          <w:iCs/>
          <w:i/>
        </w:rPr>
        <w:t xml:space="preserve">нормировка:</w:t>
      </w:r>
      <w:r>
        <w:t xml:space="preserve"> </w:t>
      </w:r>
      <w:r>
        <w:t xml:space="preserve">сумма квадратов в столбце равна 16 = N;</w:t>
      </w:r>
    </w:p>
    <w:p>
      <w:pPr>
        <w:numPr>
          <w:ilvl w:val="1"/>
          <w:numId w:val="1002"/>
        </w:numPr>
        <w:pStyle w:val="Compact"/>
      </w:pPr>
      <w:r>
        <w:rPr>
          <w:iCs/>
          <w:i/>
        </w:rPr>
        <w:t xml:space="preserve">ротатабельность:</w:t>
      </w:r>
      <w:r>
        <w:t xml:space="preserve"> </w:t>
      </w:r>
      <w:r>
        <w:t xml:space="preserve">все точки плана на одинаковом расстоянии от центра, поэтому точность одинакова во всех направлениях.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Среднее и дисперсия каждого опыта</w:t>
      </w:r>
      <w:r>
        <w:t xml:space="preserve"> </w:t>
      </w:r>
      <w:r>
        <w:t xml:space="preserve">по 5 наблюдениям: Ȳ показывает результат опыта, S² — его разброс.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Промахи.</w:t>
      </w:r>
      <w:r>
        <w:t xml:space="preserve"> </w:t>
      </w:r>
      <w:r>
        <w:t xml:space="preserve">Строим доверительный интервал Ȳ ± t·S/√m с t = 2,78 (P = 0,95, m = 5). Значения вне интервала считаем промахами, выбрасываем и пересчитываем Ȳ и S². Выброшено 9 значений.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Однородность дисперсий</w:t>
      </w:r>
      <w:r>
        <w:t xml:space="preserve"> </w:t>
      </w:r>
      <w:r>
        <w:t xml:space="preserve">— точность всех опытов должна быть примерно одинаковой:</w:t>
      </w:r>
    </w:p>
    <w:p>
      <w:pPr>
        <w:numPr>
          <w:ilvl w:val="1"/>
          <w:numId w:val="1003"/>
        </w:numPr>
        <w:pStyle w:val="Compact"/>
      </w:pPr>
      <w:r>
        <w:t xml:space="preserve">по Кохрену: самая большая дисперсия делённая на сумму всех. G = 1,2 / 7,533 = 0,159 &lt; 0,242, однородны;</w:t>
      </w:r>
    </w:p>
    <w:p>
      <w:pPr>
        <w:numPr>
          <w:ilvl w:val="1"/>
          <w:numId w:val="1003"/>
        </w:numPr>
        <w:pStyle w:val="Compact"/>
      </w:pPr>
      <w:r>
        <w:t xml:space="preserve">по Фишеру: самая большая дисперсия делённая на самую маленькую. F = 1,2 / 0,25 = 4,80 &lt; 6,39, однородны.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Дисперсия воспроизводимости</w:t>
      </w:r>
      <w:r>
        <w:t xml:space="preserve"> </w:t>
      </w:r>
      <w:r>
        <w:t xml:space="preserve">— средняя дисперсия по всем опытам: S²y = 7,533 / 16 = 0,471. Это «шум» всего эксперимента, он понадобится для проверки значимости коэффициентов модели.</w:t>
      </w:r>
    </w:p>
    <w:bookmarkEnd w:id="21"/>
    <w:bookmarkStart w:id="22" w:name="на-защите-30-секунд"/>
    <w:p>
      <w:pPr>
        <w:pStyle w:val="Heading2"/>
      </w:pPr>
      <w:r>
        <w:t xml:space="preserve">На защите (30 секунд)</w:t>
      </w:r>
    </w:p>
    <w:p>
      <w:pPr>
        <w:pStyle w:val="FirstParagraph"/>
      </w:pPr>
      <w:r>
        <w:t xml:space="preserve">«Объект — конвейерная линия сушки, выход — влажность. Выбрала 4 фактора, нашла нулевые точки и интервалы варьирования, составила план ПФЭ 2⁴ из 16 опытов и проверила его: он ортогонален, симметричен, нормирован и ротатабелен. По 5 наблюдениям в каждом опыте нашла средние и дисперсии, по доверительному интервалу с t = 2,78 исключила 9 промахов. Дисперсии однородны по Кохрену (0,159 &lt; 0,242) и Фишеру (4,80 &lt; 6,39). Дисперсия воспроизводимости 0,471».</w:t>
      </w:r>
    </w:p>
    <w:bookmarkEnd w:id="22"/>
    <w:bookmarkStart w:id="23" w:name="возможные-вопросы"/>
    <w:p>
      <w:pPr>
        <w:pStyle w:val="Heading2"/>
      </w:pPr>
      <w:r>
        <w:t xml:space="preserve">Возможные вопросы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Что такое фактор и уровень?</w:t>
      </w:r>
      <w:r>
        <w:t xml:space="preserve"> </w:t>
      </w:r>
      <w:r>
        <w:t xml:space="preserve">Фактор — управляемая независимая переменная, влияющая на объект. Уровень — конкретное значение фактора в опыте.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Почему 16 опытов?</w:t>
      </w:r>
      <w:r>
        <w:t xml:space="preserve"> </w:t>
      </w:r>
      <w:r>
        <w:t xml:space="preserve">N = Pᵏ, где P = 2 уровня, k = 4 фактора.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Зачем столбец X0?</w:t>
      </w:r>
      <w:r>
        <w:t xml:space="preserve"> </w:t>
      </w:r>
      <w:r>
        <w:t xml:space="preserve">Это фиктивная переменная, всегда +1. Она даёт свободный член b0 уравнения регрессии.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Зачем ортогональность?</w:t>
      </w:r>
      <w:r>
        <w:t xml:space="preserve"> </w:t>
      </w:r>
      <w:r>
        <w:t xml:space="preserve">Чтобы коэффициенты регрессии считались независимо, и незначимые факторы можно было отбросить, не пересчитывая остальные.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Что такое промах?</w:t>
      </w:r>
      <w:r>
        <w:t xml:space="preserve"> </w:t>
      </w:r>
      <w:r>
        <w:t xml:space="preserve">Грубая ошибка измерения, значение вне доверительного интервала. Её исключают.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Чем отличаются критерии Кохрена и Фишера?</w:t>
      </w:r>
      <w:r>
        <w:t xml:space="preserve"> </w:t>
      </w:r>
      <w:r>
        <w:t xml:space="preserve">Кохрен сравнивает максимальную дисперсию с суммой всех, Фишер — максимальную с минимальной. Однородно, если расчётное значение меньше табличного.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Зачем нужна однородность?</w:t>
      </w:r>
      <w:r>
        <w:t xml:space="preserve"> </w:t>
      </w:r>
      <w:r>
        <w:t xml:space="preserve">Это требование регрессионного анализа: только тогда дисперсии можно усреднить в одну дисперсию воспроизводимости.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Откуда t = 2,78?</w:t>
      </w:r>
      <w:r>
        <w:t xml:space="preserve"> </w:t>
      </w:r>
      <w:r>
        <w:t xml:space="preserve">Приложение Б, P = 0,95, m = 5.</w:t>
      </w:r>
    </w:p>
    <w:bookmarkEnd w:id="23"/>
    <w:bookmarkEnd w:id="24"/>
    <w:sectPr>
      <w:footerReference r:id="rId9" w:type="default"/>
      <w:pgSz w:h="16838" w:w="11906"/>
      <w:pgMar w:bottom="1134" w:left="1701" w:right="850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color w:val="000000"/>
        <w:sz w:val="24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color w:val="00000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/>
      <w:color w:val="00000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asciiTheme="majorHAnsi" w:cstheme="majorBidi" w:eastAsiaTheme="majorEastAsia" w:hAnsi="Times New Roman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asciiTheme="majorHAnsi" w:cstheme="majorBidi" w:eastAsiaTheme="majorEastAsia" w:hAnsi="Times New Roman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hAnsi="Times New Roman"/>
      <w:color w:val="000000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  <w:color w:val="000000"/>
    </w:rPr>
  </w:style>
  <w:style w:customStyle="1" w:styleId="Definition" w:type="paragraph">
    <w:name w:val="Definition"/>
    <w:basedOn w:val="Normal"/>
    <w:rPr>
      <w:rFonts w:ascii="Times New Roman" w:hAnsi="Times New Roma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/>
      <w:color w:val="000000"/>
    </w:rPr>
  </w:style>
  <w:style w:customStyle="1" w:styleId="ImageCaption" w:type="paragraph">
    <w:name w:val="Image Caption"/>
    <w:basedOn w:val="Caption"/>
    <w:rPr>
      <w:rFonts w:ascii="Times New Roman" w:hAnsi="Times New Roman"/>
      <w:color w:val="000000"/>
    </w:rPr>
  </w:style>
  <w:style w:customStyle="1" w:styleId="Figure" w:type="paragraph">
    <w:name w:val="Figure"/>
    <w:basedOn w:val="Normal"/>
    <w:rPr>
      <w:rFonts w:ascii="Times New Roman" w:hAnsi="Times New Roma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/>
      <w:color w:val="000000"/>
    </w:rPr>
  </w:style>
  <w:style w:customStyle="1" w:styleId="VerbatimChar" w:type="character">
    <w:name w:val="Verbatim Char"/>
    <w:basedOn w:val="BodyTextChar"/>
    <w:rPr>
      <w:rFonts w:ascii="Times New Roman" w:hAnsi="Times New Roman"/>
      <w:color w:val="000000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/>
      <w:color w:val="000000"/>
    </w:rPr>
  </w:style>
  <w:style w:styleId="FootnoteReference" w:type="character">
    <w:name w:val="Footnote Reference"/>
    <w:basedOn w:val="BodyTextChar"/>
    <w:rPr>
      <w:rFonts w:ascii="Times New Roman" w:hAnsi="Times New Roma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hAnsi="Times New Roma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asciiTheme="majorHAnsi" w:cstheme="majorBidi" w:eastAsiaTheme="majorEastAsia" w:hAnsi="Times New Roman" w:hAnsiTheme="majorHAnsi"/>
      <w:b w:val="0"/>
      <w:bCs w:val="0"/>
      <w:color w:val="000000"/>
    </w:rPr>
  </w:style>
  <w:style w:customStyle="1" w:styleId="SourceCode" w:type="paragraph">
    <w:name w:val="Source Code"/>
    <w:basedOn w:val="Normal"/>
    <w:link w:val="VerbatimChar"/>
    <w:pPr>
      <w:wordWrap w:val="off"/>
    </w:pPr>
    <w:rPr>
      <w:rFonts w:ascii="Times New Roman" w:hAnsi="Times New Roman"/>
      <w:color w:val="000000"/>
    </w:rPr>
  </w:style>
  <w:style w:customStyle="1" w:styleId="KeywordTok" w:type="character">
    <w:name w:val="KeywordTok"/>
    <w:basedOn w:val="VerbatimChar"/>
    <w:rPr>
      <w:rFonts w:ascii="Times New Roman" w:hAnsi="Times New Roman"/>
      <w:b/>
      <w:color w:val="000000"/>
    </w:rPr>
  </w:style>
  <w:style w:customStyle="1" w:styleId="DataTypeTok" w:type="character">
    <w:name w:val="DataTypeTok"/>
    <w:basedOn w:val="VerbatimChar"/>
    <w:rPr>
      <w:rFonts w:ascii="Times New Roman" w:hAnsi="Times New Roman"/>
      <w:color w:val="000000"/>
    </w:rPr>
  </w:style>
  <w:style w:customStyle="1" w:styleId="DecValTok" w:type="character">
    <w:name w:val="DecValTok"/>
    <w:basedOn w:val="VerbatimChar"/>
    <w:rPr>
      <w:rFonts w:ascii="Times New Roman" w:hAnsi="Times New Roman"/>
      <w:color w:val="000000"/>
    </w:rPr>
  </w:style>
  <w:style w:customStyle="1" w:styleId="BaseNTok" w:type="character">
    <w:name w:val="BaseNTok"/>
    <w:basedOn w:val="VerbatimChar"/>
    <w:rPr>
      <w:rFonts w:ascii="Times New Roman" w:hAnsi="Times New Roman"/>
      <w:color w:val="000000"/>
    </w:rPr>
  </w:style>
  <w:style w:customStyle="1" w:styleId="FloatTok" w:type="character">
    <w:name w:val="FloatTok"/>
    <w:basedOn w:val="VerbatimChar"/>
    <w:rPr>
      <w:rFonts w:ascii="Times New Roman" w:hAnsi="Times New Roman"/>
      <w:color w:val="000000"/>
    </w:rPr>
  </w:style>
  <w:style w:customStyle="1" w:styleId="ConstantTok" w:type="character">
    <w:name w:val="ConstantTok"/>
    <w:basedOn w:val="VerbatimChar"/>
    <w:rPr>
      <w:rFonts w:ascii="Times New Roman" w:hAnsi="Times New Roman"/>
      <w:color w:val="000000"/>
    </w:rPr>
  </w:style>
  <w:style w:customStyle="1" w:styleId="CharTok" w:type="character">
    <w:name w:val="CharTok"/>
    <w:basedOn w:val="VerbatimChar"/>
    <w:rPr>
      <w:rFonts w:ascii="Times New Roman" w:hAnsi="Times New Roman"/>
      <w:color w:val="000000"/>
    </w:rPr>
  </w:style>
  <w:style w:customStyle="1" w:styleId="SpecialCharTok" w:type="character">
    <w:name w:val="SpecialCharTok"/>
    <w:basedOn w:val="VerbatimChar"/>
    <w:rPr>
      <w:rFonts w:ascii="Times New Roman" w:hAnsi="Times New Roman"/>
      <w:color w:val="000000"/>
    </w:rPr>
  </w:style>
  <w:style w:customStyle="1" w:styleId="StringTok" w:type="character">
    <w:name w:val="StringTok"/>
    <w:basedOn w:val="VerbatimChar"/>
    <w:rPr>
      <w:rFonts w:ascii="Times New Roman" w:hAnsi="Times New Roman"/>
      <w:color w:val="000000"/>
    </w:rPr>
  </w:style>
  <w:style w:customStyle="1" w:styleId="VerbatimStringTok" w:type="character">
    <w:name w:val="VerbatimStringTok"/>
    <w:basedOn w:val="VerbatimChar"/>
    <w:rPr>
      <w:rFonts w:ascii="Times New Roman" w:hAnsi="Times New Roman"/>
      <w:color w:val="000000"/>
    </w:rPr>
  </w:style>
  <w:style w:customStyle="1" w:styleId="SpecialStringTok" w:type="character">
    <w:name w:val="SpecialStringTok"/>
    <w:basedOn w:val="VerbatimChar"/>
    <w:rPr>
      <w:rFonts w:ascii="Times New Roman" w:hAnsi="Times New Roman"/>
      <w:color w:val="000000"/>
    </w:rPr>
  </w:style>
  <w:style w:customStyle="1" w:styleId="ImportTok" w:type="character">
    <w:name w:val="ImportTok"/>
    <w:basedOn w:val="VerbatimChar"/>
    <w:rPr>
      <w:rFonts w:ascii="Times New Roman" w:hAnsi="Times New Roman"/>
      <w:b/>
      <w:color w:val="000000"/>
    </w:rPr>
  </w:style>
  <w:style w:customStyle="1" w:styleId="CommentTok" w:type="character">
    <w:name w:val="CommentTok"/>
    <w:basedOn w:val="VerbatimChar"/>
    <w:rPr>
      <w:rFonts w:ascii="Times New Roman" w:hAnsi="Times New Roman"/>
      <w:i/>
      <w:color w:val="000000"/>
    </w:rPr>
  </w:style>
  <w:style w:customStyle="1" w:styleId="DocumentationTok" w:type="character">
    <w:name w:val="DocumentationTok"/>
    <w:basedOn w:val="VerbatimChar"/>
    <w:rPr>
      <w:rFonts w:ascii="Times New Roman" w:hAnsi="Times New Roman"/>
      <w:i/>
      <w:color w:val="000000"/>
    </w:rPr>
  </w:style>
  <w:style w:customStyle="1" w:styleId="AnnotationTok" w:type="character">
    <w:name w:val="AnnotationTok"/>
    <w:basedOn w:val="VerbatimChar"/>
    <w:rPr>
      <w:rFonts w:ascii="Times New Roman" w:hAnsi="Times New Roman"/>
      <w:b/>
      <w:i/>
      <w:color w:val="000000"/>
    </w:rPr>
  </w:style>
  <w:style w:customStyle="1" w:styleId="CommentVarTok" w:type="character">
    <w:name w:val="CommentVarTok"/>
    <w:basedOn w:val="VerbatimChar"/>
    <w:rPr>
      <w:rFonts w:ascii="Times New Roman" w:hAnsi="Times New Roman"/>
      <w:b/>
      <w:i/>
      <w:color w:val="000000"/>
    </w:rPr>
  </w:style>
  <w:style w:customStyle="1" w:styleId="OtherTok" w:type="character">
    <w:name w:val="OtherTok"/>
    <w:basedOn w:val="VerbatimChar"/>
    <w:rPr>
      <w:rFonts w:ascii="Times New Roman" w:hAnsi="Times New Roman"/>
      <w:color w:val="000000"/>
    </w:rPr>
  </w:style>
  <w:style w:customStyle="1" w:styleId="FunctionTok" w:type="character">
    <w:name w:val="FunctionTok"/>
    <w:basedOn w:val="VerbatimChar"/>
    <w:rPr>
      <w:rFonts w:ascii="Times New Roman" w:hAnsi="Times New Roman"/>
      <w:color w:val="000000"/>
    </w:rPr>
  </w:style>
  <w:style w:customStyle="1" w:styleId="VariableTok" w:type="character">
    <w:name w:val="VariableTok"/>
    <w:basedOn w:val="VerbatimChar"/>
    <w:rPr>
      <w:rFonts w:ascii="Times New Roman" w:hAnsi="Times New Roman"/>
      <w:color w:val="000000"/>
    </w:rPr>
  </w:style>
  <w:style w:customStyle="1" w:styleId="ControlFlowTok" w:type="character">
    <w:name w:val="ControlFlowTok"/>
    <w:basedOn w:val="VerbatimChar"/>
    <w:rPr>
      <w:rFonts w:ascii="Times New Roman" w:hAnsi="Times New Roman"/>
      <w:b/>
      <w:color w:val="000000"/>
    </w:rPr>
  </w:style>
  <w:style w:customStyle="1" w:styleId="OperatorTok" w:type="character">
    <w:name w:val="OperatorTok"/>
    <w:basedOn w:val="VerbatimChar"/>
    <w:rPr>
      <w:rFonts w:ascii="Times New Roman" w:hAnsi="Times New Roman"/>
      <w:color w:val="000000"/>
    </w:rPr>
  </w:style>
  <w:style w:customStyle="1" w:styleId="BuiltInTok" w:type="character">
    <w:name w:val="BuiltInTok"/>
    <w:basedOn w:val="VerbatimChar"/>
    <w:rPr>
      <w:rFonts w:ascii="Times New Roman" w:hAnsi="Times New Roman"/>
      <w:color w:val="000000"/>
    </w:rPr>
  </w:style>
  <w:style w:customStyle="1" w:styleId="ExtensionTok" w:type="character">
    <w:name w:val="ExtensionTok"/>
    <w:basedOn w:val="VerbatimChar"/>
    <w:rPr>
      <w:rFonts w:ascii="Times New Roman" w:hAnsi="Times New Roman"/>
      <w:color w:val="000000"/>
    </w:rPr>
  </w:style>
  <w:style w:customStyle="1" w:styleId="PreprocessorTok" w:type="character">
    <w:name w:val="PreprocessorTok"/>
    <w:basedOn w:val="VerbatimChar"/>
    <w:rPr>
      <w:rFonts w:ascii="Times New Roman" w:hAnsi="Times New Roman"/>
      <w:color w:val="000000"/>
    </w:rPr>
  </w:style>
  <w:style w:customStyle="1" w:styleId="AttributeTok" w:type="character">
    <w:name w:val="AttributeTok"/>
    <w:basedOn w:val="VerbatimChar"/>
    <w:rPr>
      <w:rFonts w:ascii="Times New Roman" w:hAnsi="Times New Roman"/>
      <w:color w:val="000000"/>
    </w:rPr>
  </w:style>
  <w:style w:customStyle="1" w:styleId="RegionMarkerTok" w:type="character">
    <w:name w:val="RegionMarkerTok"/>
    <w:basedOn w:val="VerbatimChar"/>
    <w:rPr>
      <w:rFonts w:ascii="Times New Roman" w:hAnsi="Times New Roman"/>
      <w:color w:val="000000"/>
    </w:rPr>
  </w:style>
  <w:style w:customStyle="1" w:styleId="InformationTok" w:type="character">
    <w:name w:val="InformationTok"/>
    <w:basedOn w:val="VerbatimChar"/>
    <w:rPr>
      <w:rFonts w:ascii="Times New Roman" w:hAnsi="Times New Roman"/>
      <w:b/>
      <w:i/>
      <w:color w:val="000000"/>
    </w:rPr>
  </w:style>
  <w:style w:customStyle="1" w:styleId="WarningTok" w:type="character">
    <w:name w:val="WarningTok"/>
    <w:basedOn w:val="VerbatimChar"/>
    <w:rPr>
      <w:rFonts w:ascii="Times New Roman" w:hAnsi="Times New Roman"/>
      <w:b/>
      <w:i/>
      <w:color w:val="000000"/>
    </w:rPr>
  </w:style>
  <w:style w:customStyle="1" w:styleId="AlertTok" w:type="character">
    <w:name w:val="AlertTok"/>
    <w:basedOn w:val="VerbatimChar"/>
    <w:rPr>
      <w:rFonts w:ascii="Times New Roman" w:hAnsi="Times New Roman"/>
      <w:b/>
      <w:color w:val="000000"/>
    </w:rPr>
  </w:style>
  <w:style w:customStyle="1" w:styleId="ErrorTok" w:type="character">
    <w:name w:val="ErrorTok"/>
    <w:basedOn w:val="VerbatimChar"/>
    <w:rPr>
      <w:rFonts w:ascii="Times New Roman" w:hAnsi="Times New Roman"/>
      <w:b/>
      <w:color w:val="000000"/>
    </w:rPr>
  </w:style>
  <w:style w:customStyle="1" w:styleId="NormalTok" w:type="character">
    <w:name w:val="NormalTok"/>
    <w:basedOn w:val="VerbatimChar"/>
    <w:rPr>
      <w:rFonts w:ascii="Times New Roman" w:hAnsi="Times New Roman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2026-10-30T22:40:57Z</dcterms:created>
  <dcterms:modified xsi:type="dcterms:W3CDTF">2026-10-30T22:40:57Z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