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МИНИСТЕРСТВО ЦИФРОВОГО РАЗВИТИЯ,</w:t>
      </w:r>
      <w:r>
        <w:br/>
      </w:r>
      <w:r>
        <w:rPr>
          <w:bCs/>
          <w:b/>
        </w:rPr>
        <w:t xml:space="preserve">СВЯЗИ И МАССОВЫХ КОММУНИКАЦИЙ</w:t>
      </w:r>
    </w:p>
    <w:p>
      <w:pPr>
        <w:pStyle w:val="BodyText"/>
      </w:pPr>
      <w:r>
        <w:rPr>
          <w:bCs/>
          <w:b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BodyText"/>
      </w:pPr>
      <w:r>
        <w:rPr>
          <w:bCs/>
          <w:b/>
        </w:rPr>
        <w:t xml:space="preserve">МОСКОВСКИЙ ТЕХНИЧЕСКИЙ УНИВЕРСИТЕТ СВЯЗИ И ИНФОРМАТИКИ</w:t>
      </w:r>
    </w:p>
    <w:p>
      <w:pPr>
        <w:pStyle w:val="BodyText"/>
      </w:pPr>
      <w:r>
        <w:rPr>
          <w:bCs/>
          <w:b/>
        </w:rPr>
        <w:t xml:space="preserve">Кафедра «Интеллектуальные системы в управлении и автоматизации»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ЛАБОРАТОРНАЯ РАБОТА №4</w:t>
      </w:r>
    </w:p>
    <w:p>
      <w:pPr>
        <w:pStyle w:val="BodyText"/>
      </w:pPr>
      <w:r>
        <w:t xml:space="preserve">по дисциплине «Методология научных исследований и история интеллектуальной автоматизации»</w:t>
      </w:r>
    </w:p>
    <w:p>
      <w:pPr>
        <w:pStyle w:val="BodyText"/>
      </w:pPr>
      <w:r>
        <w:t xml:space="preserve">на тему:</w:t>
      </w:r>
    </w:p>
    <w:p>
      <w:pPr>
        <w:pStyle w:val="BodyText"/>
      </w:pPr>
      <w:r>
        <w:rPr>
          <w:bCs/>
          <w:b/>
        </w:rPr>
        <w:t xml:space="preserve">«Построение математической модели объекта управления»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Выполнила:</w:t>
      </w:r>
      <w:r>
        <w:br/>
      </w:r>
      <w:r>
        <w:rPr>
          <w:highlight w:val="yellow"/>
        </w:rPr>
        <w:t xml:space="preserve">Ст. гр. МФБ2631</w:t>
      </w:r>
      <w:r>
        <w:br/>
      </w:r>
      <w:r>
        <w:t xml:space="preserve">Гордеева Мария</w:t>
      </w:r>
    </w:p>
    <w:p>
      <w:pPr>
        <w:pStyle w:val="BodyText"/>
      </w:pPr>
      <w:r>
        <w:rPr>
          <w:bCs/>
          <w:b/>
        </w:rPr>
        <w:t xml:space="preserve">Проверил:</w:t>
      </w:r>
      <w:r>
        <w:br/>
      </w:r>
      <w:r>
        <w:rPr>
          <w:highlight w:val="yellow"/>
        </w:rPr>
        <w:t xml:space="preserve">профессор кафедры ИСУиА, д.т.н.</w:t>
      </w:r>
      <w:r>
        <w:br/>
      </w:r>
      <w:r>
        <w:rPr>
          <w:highlight w:val="yellow"/>
        </w:rPr>
        <w:t xml:space="preserve">Рожков С.А.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Москва, 2026 г.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Цель работы:</w:t>
      </w:r>
    </w:p>
    <w:p>
      <w:pPr>
        <w:pStyle w:val="BodyText"/>
      </w:pPr>
      <w:r>
        <w:t xml:space="preserve">На основе экспериментальных данных построить математическую модель объекта управления; составить план полного факторного эксперимента; проверить модель на ортогональность, ротатабельность, симметричность относительно центра эксперимента и соответствие уровню нормировки; провести статистический анализ результатов эксперимента.</w:t>
      </w:r>
    </w:p>
    <w:p>
      <w:pPr>
        <w:pStyle w:val="BodyText"/>
      </w:pPr>
      <w:r>
        <w:rPr>
          <w:bCs/>
          <w:b/>
        </w:rPr>
        <w:t xml:space="preserve">Ход работы:</w:t>
      </w:r>
    </w:p>
    <w:p>
      <w:pPr>
        <w:pStyle w:val="BodyText"/>
      </w:pPr>
      <w:r>
        <w:rPr>
          <w:bCs/>
          <w:b/>
        </w:rPr>
        <w:t xml:space="preserve">1. Выбор факторов, уровней их варьирования и нулевой точки</w:t>
      </w:r>
    </w:p>
    <w:p>
      <w:pPr>
        <w:pStyle w:val="BodyText"/>
      </w:pPr>
      <w:r>
        <w:t xml:space="preserve">Объект исследования — конвейерная линия сушки сыпучего материала. Выходной параметр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процент влажности материала. Входные параметры (факторы) приведены в табл. 1.</w:t>
      </w:r>
    </w:p>
    <w:p>
      <w:pPr>
        <w:pStyle w:val="BodyText"/>
      </w:pPr>
      <w:r>
        <w:t xml:space="preserve">Нулевая точка (4.1) и интервал варьирования (4.2) каждого фактора: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80</m:t>
            </m:r>
            <m:r>
              <m:rPr>
                <m:sty m:val="p"/>
              </m:rPr>
              <m:t>+</m:t>
            </m:r>
            <m:r>
              <m:t>120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120</m:t>
            </m:r>
            <m:r>
              <m:rPr>
                <m:sty m:val="p"/>
              </m:rPr>
              <m:t>−</m:t>
            </m:r>
            <m:r>
              <m:t>80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+</m:t>
            </m:r>
            <m:r>
              <m:t>60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35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60</m:t>
            </m:r>
            <m:r>
              <m:rPr>
                <m:sty m:val="p"/>
              </m:rPr>
              <m:t>−</m:t>
            </m:r>
            <m:r>
              <m:t>10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25</m:t>
        </m:r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+</m:t>
            </m:r>
            <m:r>
              <m:t>70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70</m:t>
            </m:r>
            <m:r>
              <m:rPr>
                <m:sty m:val="p"/>
              </m:rPr>
              <m:t>−</m:t>
            </m:r>
            <m:r>
              <m:t>30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40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+</m:t>
            </m:r>
            <m:r>
              <m:t>50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50</m:t>
            </m:r>
            <m:r>
              <m:rPr>
                <m:sty m:val="p"/>
              </m:rPr>
              <m:t>−</m:t>
            </m:r>
            <m:r>
              <m:t>10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p>
      <w:pPr>
        <w:pStyle w:val="BodyText"/>
      </w:pPr>
      <w:r>
        <w:t xml:space="preserve">Таблица 1 – Факторы и уровни их варьирования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Наименование и обозначение фактора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варьирования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Температура в рабочей зоне, °С 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конвейера, м/мин (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Поток воздуха в рабочей зоне, м³/мин (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ленты конвейера, кг/м² (</w:t>
            </w: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План полного факторного эксперимента</w:t>
      </w:r>
    </w:p>
    <w:p>
      <w:pPr>
        <w:pStyle w:val="BodyText"/>
      </w:pPr>
      <w:r>
        <w:t xml:space="preserve">Число опытов (4.4):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 Матрица планирования (столбцы X0–X4) приведена в табл. 2.</w:t>
      </w:r>
    </w:p>
    <w:p>
      <w:pPr>
        <w:pStyle w:val="BodyText"/>
      </w:pPr>
      <w:r>
        <w:t xml:space="preserve">Проверка свойств плана:</w:t>
      </w:r>
    </w:p>
    <w:p>
      <w:pPr>
        <w:numPr>
          <w:ilvl w:val="0"/>
          <w:numId w:val="1001"/>
        </w:numPr>
        <w:pStyle w:val="Compact"/>
      </w:pPr>
      <w:r>
        <w:t xml:space="preserve">ортогональность (4.5):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u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для всех 10 пар столбцов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.4</m:t>
        </m:r>
      </m:oMath>
      <w:r>
        <w:t xml:space="preserve">), выполняется;</w:t>
      </w:r>
    </w:p>
    <w:p>
      <w:pPr>
        <w:numPr>
          <w:ilvl w:val="0"/>
          <w:numId w:val="1001"/>
        </w:numPr>
        <w:pStyle w:val="Compact"/>
      </w:pPr>
      <w:r>
        <w:t xml:space="preserve">симметричность (4.6):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u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.4</m:t>
        </m:r>
      </m:oMath>
      <w:r>
        <w:t xml:space="preserve">, выполняется (в каждом столбце 8 «+» и 8 «−»);</w:t>
      </w:r>
    </w:p>
    <w:p>
      <w:pPr>
        <w:numPr>
          <w:ilvl w:val="0"/>
          <w:numId w:val="1001"/>
        </w:numPr>
        <w:pStyle w:val="Compact"/>
      </w:pPr>
      <w:r>
        <w:t xml:space="preserve">нормировка (4.7):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  <m:r>
                  <m:t>u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.4</m:t>
        </m:r>
      </m:oMath>
      <w:r>
        <w:t xml:space="preserve">, выполняется;</w:t>
      </w:r>
    </w:p>
    <w:p>
      <w:pPr>
        <w:numPr>
          <w:ilvl w:val="0"/>
          <w:numId w:val="1001"/>
        </w:numPr>
        <w:pStyle w:val="Compact"/>
      </w:pPr>
      <w:r>
        <w:t xml:space="preserve">ротатабельность: план ПФЭ первого порядка ортогонален, все точки равноудалены от центра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  <m:r>
                  <m:t>u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в каждом опыте), поэтому план ротатабелен.</w:t>
      </w:r>
    </w:p>
    <w:p>
      <w:pPr>
        <w:pStyle w:val="FirstParagraph"/>
      </w:pPr>
      <w:r>
        <w:rPr>
          <w:bCs/>
          <w:b/>
        </w:rPr>
        <w:t xml:space="preserve">3. Статистический анализ результатов эксперимента</w:t>
      </w:r>
    </w:p>
    <w:p>
      <w:pPr>
        <w:pStyle w:val="BodyText"/>
      </w:pPr>
      <w:r>
        <w:t xml:space="preserve">В каждом опыте выполнено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наблюдений. Среднее значение (4.8) и дисперсия ошибки опыта (4.9):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u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u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u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u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Доверительный интервал (4.10):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u</m:t>
            </m:r>
          </m:sub>
        </m:sSub>
        <m:r>
          <m:rPr>
            <m:sty m:val="p"/>
          </m:rPr>
          <m:t>−</m:t>
        </m:r>
        <m:r>
          <m:t>t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i</m:t>
            </m:r>
            <m:r>
              <m:t>u</m:t>
            </m:r>
          </m:sub>
        </m:sSub>
        <m:r>
          <m:rPr>
            <m:sty m:val="p"/>
          </m:rPr>
          <m:t>≤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78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).</w:t>
      </w:r>
    </w:p>
    <w:p>
      <w:pPr>
        <w:pStyle w:val="BodyText"/>
      </w:pPr>
      <w:r>
        <w:t xml:space="preserve">Пример для опыта 2: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24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+</m:t>
            </m:r>
            <m:r>
              <m:t>24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+</m:t>
            </m:r>
            <m:r>
              <m:t>22</m:t>
            </m:r>
          </m:e>
        </m:d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;</w:t>
      </w:r>
      <w:r>
        <w:t xml:space="preserve"> </w:t>
      </w:r>
      <m:oMath>
        <m:r>
          <m:t>t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78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225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236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52</m:t>
        </m:r>
      </m:oMath>
      <w:r>
        <w:t xml:space="preserve">; интервал</w:t>
      </w:r>
      <w:r>
        <w:t xml:space="preserve"> </w:t>
      </w:r>
      <m:oMath>
        <m:r>
          <m:t>22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÷</m:t>
        </m:r>
        <m:r>
          <m:t>25</m:t>
        </m:r>
        <m:r>
          <m:rPr>
            <m:sty m:val="p"/>
          </m:rPr>
          <m:t>,</m:t>
        </m:r>
        <m:r>
          <m:t>52</m:t>
        </m:r>
      </m:oMath>
      <w:r>
        <w:t xml:space="preserve">; значение</w:t>
      </w:r>
      <w:r>
        <w:t xml:space="preserve"> </w:t>
      </w:r>
      <m:oMath>
        <m:sSub>
          <m:e>
            <m:r>
              <m:t>Y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выходит за интервал, это промах.</w:t>
      </w:r>
    </w:p>
    <w:p>
      <w:pPr>
        <w:pStyle w:val="BodyText"/>
      </w:pPr>
      <w:r>
        <w:t xml:space="preserve">Таблица 2 – Матрица планирования, результаты наблюдений и вычислений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0"/>
        <w:gridCol w:w="510"/>
        <w:gridCol w:w="510"/>
        <w:gridCol w:w="510"/>
        <w:gridCol w:w="510"/>
        <w:gridCol w:w="510"/>
        <w:gridCol w:w="567"/>
        <w:gridCol w:w="567"/>
        <w:gridCol w:w="567"/>
        <w:gridCol w:w="567"/>
        <w:gridCol w:w="567"/>
        <w:gridCol w:w="963"/>
        <w:gridCol w:w="963"/>
      </w:tblGrid>
      <w:tr>
        <w:trPr>
          <w:tblHeader w:val="true"/>
        </w:trP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X3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Y5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u</m:t>
                  </m:r>
                </m:sub>
              </m:sSub>
            </m:oMath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13,00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24,00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9,60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0,800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21,60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13,60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25,80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0,700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11,60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23,60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0,800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10,60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22,20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0,700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8,40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19,20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12,40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24,40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10,20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0,700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21,60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1,300</w:t>
            </w:r>
          </w:p>
        </w:tc>
      </w:tr>
    </w:tbl>
    <w:p>
      <w:pPr>
        <w:pStyle w:val="BodyText"/>
      </w:pPr>
      <w:r>
        <w:t xml:space="preserve">Таблица 3 – Доверительные интервалы и промахи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Нижняя граница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Верхняя граница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Промахи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</w:tr>
    </w:tbl>
    <w:p>
      <w:pPr>
        <w:pStyle w:val="BodyText"/>
      </w:pPr>
      <w:r>
        <w:t xml:space="preserve">Промахи исключены, среднее значение и дисперсия пересчитаны (табл. 4).</w:t>
      </w:r>
    </w:p>
    <w:p>
      <w:pPr>
        <w:pStyle w:val="BodyText"/>
      </w:pPr>
      <w:r>
        <w:t xml:space="preserve">Таблица 4 – Результаты после исключения промахов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0"/>
        <w:gridCol w:w="510"/>
        <w:gridCol w:w="510"/>
        <w:gridCol w:w="510"/>
        <w:gridCol w:w="510"/>
        <w:gridCol w:w="510"/>
        <w:gridCol w:w="567"/>
        <w:gridCol w:w="567"/>
        <w:gridCol w:w="567"/>
        <w:gridCol w:w="567"/>
        <w:gridCol w:w="567"/>
        <w:gridCol w:w="963"/>
        <w:gridCol w:w="963"/>
      </w:tblGrid>
      <w:tr>
        <w:trPr>
          <w:tblHeader w:val="true"/>
        </w:trP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X0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X3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X4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Y5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u</m:t>
                  </m:r>
                </m:sub>
              </m:sSub>
            </m:oMath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13,00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24,50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0,333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9,25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0,250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21,60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14,00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0,667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25,50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0,333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11,60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23,25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0,250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11,00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0,667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22,50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0,333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8,40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19,20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12,40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24,40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0,300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10,50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0,333</w:t>
            </w:r>
          </w:p>
        </w:tc>
      </w:tr>
      <w:tr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10"/>
          </w:tcPr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22,00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0,667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Проверка однородности дисперсий по критерию Кохрена (4.11):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200</m:t>
              </m:r>
            </m:num>
            <m:den>
              <m:r>
                <m:t>7</m:t>
              </m:r>
              <m:r>
                <m:rPr>
                  <m:sty m:val="p"/>
                </m:rPr>
                <m:t>,</m:t>
              </m:r>
              <m:r>
                <m:t>533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159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т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242</m:t>
        </m:r>
      </m:oMath>
      <w:r>
        <w:t xml:space="preserve">.</w:t>
      </w:r>
      <w:r>
        <w:t xml:space="preserve"> </w:t>
      </w:r>
      <m:oMath>
        <m:sSub>
          <m:e>
            <m:r>
              <m:t>G</m:t>
            </m:r>
          </m:e>
          <m:sub>
            <m:r>
              <m:t>р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т</m:t>
            </m:r>
          </m:sub>
        </m:sSub>
      </m:oMath>
      <w:r>
        <w:t xml:space="preserve">, следовательно, дисперсии опытов однородны.</w:t>
      </w:r>
    </w:p>
    <w:p>
      <w:pPr>
        <w:pStyle w:val="BodyText"/>
      </w:pPr>
      <w:r>
        <w:rPr>
          <w:bCs/>
          <w:b/>
        </w:rPr>
        <w:t xml:space="preserve">Проверка по критерию Фишера (4.12):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u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u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200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250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80</m:t>
          </m:r>
          <m:r>
            <m:rPr>
              <m:sty m:val="p"/>
            </m:rPr>
            <m:t>.</m:t>
          </m:r>
          <m:r>
            <m:t>  </m:t>
          </m:r>
          <m:sSub>
            <m:e>
              <m:r>
                <m:t>F</m:t>
              </m:r>
            </m:e>
            <m:sub>
              <m:r>
                <m:t>т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39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р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т</m:t>
            </m:r>
          </m:sub>
        </m:sSub>
      </m:oMath>
      <w:r>
        <w:t xml:space="preserve">, условие однородности выполняется.</w:t>
      </w:r>
    </w:p>
    <w:p>
      <w:pPr>
        <w:pStyle w:val="BodyText"/>
      </w:pPr>
      <w:r>
        <w:rPr>
          <w:bCs/>
          <w:b/>
        </w:rPr>
        <w:t xml:space="preserve">Дисперсия воспроизводимости (4.13):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,</m:t>
              </m:r>
              <m:r>
                <m:t>533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471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Расчёты выполнены в Python, код приведён в листинге 1.</w:t>
      </w:r>
    </w:p>
    <w:p>
      <w:pPr>
        <w:pStyle w:val="BodyText"/>
      </w:pPr>
      <w:r>
        <w:rPr>
          <w:bCs/>
          <w:b/>
        </w:rPr>
        <w:t xml:space="preserve">Вывод:</w:t>
      </w:r>
    </w:p>
    <w:p>
      <w:pPr>
        <w:pStyle w:val="BodyText"/>
      </w:pPr>
      <w:r>
        <w:t xml:space="preserve">Для конвейерной линии сушки выбраны четыре фактора и составлен план ПФЭ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из 16 опытов. План ортогонален, симметричен относительно центра, удовлетворяет условию нормировки и ротатабелен. По результатам 5 наблюдений в каждом опыте с доверительной вероятностью 0,95 выявлено и исключено 9 промахов. Дисперсии опытов однородны по критериям Кохрена (</w:t>
      </w:r>
      <m:oMath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159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242</m:t>
        </m:r>
      </m:oMath>
      <w:r>
        <w:t xml:space="preserve">) и Фишера (</w:t>
      </w:r>
      <m:oMath>
        <m:r>
          <m:t>F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,</m:t>
        </m:r>
        <m:r>
          <m:t>39</m:t>
        </m:r>
      </m:oMath>
      <w:r>
        <w:t xml:space="preserve">). Дисперсия воспроизводимости</w:t>
      </w:r>
      <w:r>
        <w:t xml:space="preserve"> </w:t>
      </w:r>
      <m:oMath>
        <m:sSubSup>
          <m:e>
            <m:r>
              <m:t>S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471</m:t>
        </m:r>
      </m:oMath>
      <w:r>
        <w:t xml:space="preserve"> </w:t>
      </w:r>
      <w:r>
        <w:t xml:space="preserve">характеризует ошибку всего эксперимента и используется в последующем регрессионном анализе.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Листинг 1 – Расчёт в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План ПФЭ 2^4 в порядке табл. 4.2</w:t>
      </w:r>
      <w:r>
        <w:br/>
      </w:r>
      <w:r>
        <w:rPr>
          <w:rStyle w:val="NormalTok"/>
        </w:rPr>
        <w:t xml:space="preserve">N, k,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(N)])</w:t>
      </w:r>
      <w:r>
        <w:br/>
      </w:r>
      <w:r>
        <w:br/>
      </w:r>
      <w:r>
        <w:rPr>
          <w:rStyle w:val="CommentTok"/>
        </w:rPr>
        <w:t xml:space="preserve"># Проверка свойств плана (4.5)–(4.7)</w:t>
      </w:r>
      <w:r>
        <w:br/>
      </w:r>
      <w:r>
        <w:rPr>
          <w:rStyle w:val="NormalTok"/>
        </w:rPr>
        <w:t xml:space="preserve">orth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{(i, j):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(X[:, i]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X[:, j])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(X[:, i].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((X[:, i]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"ортогональность:"</w:t>
      </w:r>
      <w:r>
        <w:rPr>
          <w:rStyle w:val="NormalTok"/>
        </w:rPr>
        <w:t xml:space="preserve">, orth)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"симметричность:"</w:t>
      </w:r>
      <w:r>
        <w:rPr>
          <w:rStyle w:val="NormalTok"/>
        </w:rPr>
        <w:t xml:space="preserve">, sym, </w:t>
      </w:r>
      <w:r>
        <w:rPr>
          <w:rStyle w:val="StringTok"/>
        </w:rPr>
        <w:t xml:space="preserve">" нормировка:"</w:t>
      </w:r>
      <w:r>
        <w:rPr>
          <w:rStyle w:val="NormalTok"/>
        </w:rPr>
        <w:t xml:space="preserve">, norm)</w:t>
      </w:r>
      <w:r>
        <w:br/>
      </w:r>
      <w:r>
        <w:br/>
      </w:r>
      <w:r>
        <w:rPr>
          <w:rStyle w:val="CommentTok"/>
        </w:rPr>
        <w:t xml:space="preserve"># Результаты наблюдений (m = 5 повторений в каждом опыте), влажность материала, %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(true[:,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(N, m))).astype(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критерий Стьюдента, P = 0,95, m = 5 (Приложение Б)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mean_var(row):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np.isnan(row)]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v.mean(), v.var(ddof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Табл. 4.3: среднее (4.8) и дисперсия (4.9); доверительный интервал (4.10)</w:t>
      </w:r>
      <w:r>
        <w:br/>
      </w:r>
      <w:r>
        <w:rPr>
          <w:rStyle w:val="NormalTok"/>
        </w:rPr>
        <w:t xml:space="preserve">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Y.copy()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Табл. 4.3"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Yu,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mean_var(Y[u])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np.sqrt(S2)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np.sqrt(m)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(Yu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Y[u, 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Yu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d)]</w:t>
      </w:r>
      <w:r>
        <w:br/>
      </w:r>
      <w:r>
        <w:rPr>
          <w:rStyle w:val="NormalTok"/>
        </w:rPr>
        <w:t xml:space="preserve">    Y2[u, out]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Y[u].astype(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f"Yu=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Yu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S2=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int=[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 промахи=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Табл. 4.4: пересчёт после исключения промахов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Табл. 4.4"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np.array([mean_var(r)[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Y2])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np.array([mean_var(r)[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Y2])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Y2[u], </w:t>
      </w:r>
      <w:r>
        <w:rPr>
          <w:rStyle w:val="SpecialStringTok"/>
        </w:rPr>
        <w:t xml:space="preserve">f"Yu=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Ym[u]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S2=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S2[u]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Однородность дисперсий: Кохрен (4.11), Фишер (4.12); дисперсия воспроизводимости (4.13)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S2.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S2.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 S2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S2max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S2min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(Gт = 0,242), 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(Fт = 6,39), Sy2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2026-10-30T22:40:25Z</dcterms:created>
  <dcterms:modified xsi:type="dcterms:W3CDTF">2026-10-30T22:40:25Z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