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BCE1E" w14:textId="77777777" w:rsidR="002F01CF" w:rsidRPr="009C2873" w:rsidRDefault="002F01CF" w:rsidP="002F01CF">
      <w:pPr>
        <w:pStyle w:val="sectiontext"/>
        <w:tabs>
          <w:tab w:val="clear" w:pos="720"/>
        </w:tabs>
        <w:spacing w:after="0" w:line="240" w:lineRule="auto"/>
        <w:rPr>
          <w:rFonts w:ascii="Gill Sans" w:hAnsi="Gill Sans"/>
        </w:rPr>
      </w:pPr>
      <w:r w:rsidRPr="009C2873">
        <w:rPr>
          <w:rFonts w:ascii="Gill Sans" w:hAnsi="Gill Sans"/>
        </w:rPr>
        <w:t xml:space="preserve">THIS SERVICES AGREEMENT (this “Agreement”) is made effective </w:t>
      </w:r>
      <w:r w:rsidRPr="008211CF">
        <w:rPr>
          <w:rFonts w:ascii="Gill Sans" w:hAnsi="Gill Sans"/>
          <w:highlight w:val="yellow"/>
        </w:rPr>
        <w:t>as of the date of delivery by Client of an executed copy</w:t>
      </w:r>
      <w:r w:rsidRPr="009C2873">
        <w:rPr>
          <w:rFonts w:ascii="Gill Sans" w:hAnsi="Gill Sans"/>
        </w:rPr>
        <w:t xml:space="preserve"> (the “Effective Date”), by and between </w:t>
      </w:r>
      <w:r w:rsidRPr="00C011C9">
        <w:rPr>
          <w:rFonts w:ascii="Gill Sans" w:hAnsi="Gill Sans"/>
          <w:highlight w:val="yellow"/>
        </w:rPr>
        <w:t>ABC Consulting Firm</w:t>
      </w:r>
      <w:r w:rsidRPr="009C2873">
        <w:rPr>
          <w:rFonts w:ascii="Gill Sans" w:hAnsi="Gill Sans"/>
        </w:rPr>
        <w:t xml:space="preserve">, a </w:t>
      </w:r>
      <w:r w:rsidRPr="00D73383">
        <w:rPr>
          <w:rFonts w:ascii="Gill Sans" w:hAnsi="Gill Sans"/>
        </w:rPr>
        <w:t>company incorporated</w:t>
      </w:r>
      <w:r>
        <w:rPr>
          <w:rFonts w:ascii="Gill Sans" w:hAnsi="Gill Sans"/>
        </w:rPr>
        <w:t xml:space="preserve"> in the state of </w:t>
      </w:r>
      <w:r w:rsidRPr="00D73383">
        <w:rPr>
          <w:rFonts w:ascii="Gill Sans" w:hAnsi="Gill Sans"/>
          <w:highlight w:val="yellow"/>
        </w:rPr>
        <w:t>Maryland</w:t>
      </w:r>
      <w:r w:rsidRPr="009C2873">
        <w:rPr>
          <w:rFonts w:ascii="Gill Sans" w:hAnsi="Gill Sans"/>
        </w:rPr>
        <w:t xml:space="preserve"> (the “Consultant”), and the legal owner or authorized agent (the “Client”) of any property that is signified on any authoriz</w:t>
      </w:r>
      <w:r>
        <w:rPr>
          <w:rFonts w:ascii="Gill Sans" w:hAnsi="Gill Sans"/>
        </w:rPr>
        <w:t>ation letter (the “Property”), a list of such Property is provided on Exhibit A.</w:t>
      </w:r>
    </w:p>
    <w:p w14:paraId="192EFBF0" w14:textId="77777777" w:rsidR="002F01CF" w:rsidRPr="009C2873" w:rsidRDefault="002F01CF" w:rsidP="002F01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Gill Sans" w:hAnsi="Gill Sans"/>
          <w:snapToGrid w:val="0"/>
          <w:sz w:val="22"/>
        </w:rPr>
      </w:pPr>
    </w:p>
    <w:p w14:paraId="3A83F204" w14:textId="77777777" w:rsidR="002F01CF" w:rsidRDefault="002F01CF" w:rsidP="002F01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Gill Sans" w:hAnsi="Gill Sans"/>
          <w:sz w:val="22"/>
        </w:rPr>
      </w:pPr>
      <w:r>
        <w:rPr>
          <w:rFonts w:ascii="Gill Sans" w:hAnsi="Gill Sans"/>
          <w:snapToGrid w:val="0"/>
          <w:sz w:val="22"/>
        </w:rPr>
        <w:t xml:space="preserve">Consultant shall appeal, where warranted, </w:t>
      </w:r>
      <w:r w:rsidRPr="009C2873">
        <w:rPr>
          <w:rFonts w:ascii="Gill Sans" w:hAnsi="Gill Sans"/>
          <w:snapToGrid w:val="0"/>
          <w:sz w:val="22"/>
        </w:rPr>
        <w:t xml:space="preserve">the real estate value established by the </w:t>
      </w:r>
      <w:r>
        <w:rPr>
          <w:rFonts w:ascii="Gill Sans" w:hAnsi="Gill Sans"/>
          <w:snapToGrid w:val="0"/>
          <w:sz w:val="22"/>
        </w:rPr>
        <w:t>applicable assessing entity for any Property</w:t>
      </w:r>
      <w:r w:rsidRPr="009C2873">
        <w:rPr>
          <w:rFonts w:ascii="Gill Sans" w:hAnsi="Gill Sans"/>
          <w:snapToGrid w:val="0"/>
          <w:sz w:val="22"/>
        </w:rPr>
        <w:t xml:space="preserve"> for taxation purposes (the “Services”). </w:t>
      </w:r>
      <w:r>
        <w:rPr>
          <w:rFonts w:ascii="Gill Sans" w:hAnsi="Gill Sans"/>
          <w:sz w:val="22"/>
        </w:rPr>
        <w:t xml:space="preserve">Consultant shall keep confidential any Client information considered confidential by Client.  </w:t>
      </w:r>
      <w:r w:rsidRPr="009C2873">
        <w:rPr>
          <w:rFonts w:ascii="Gill Sans" w:hAnsi="Gill Sans"/>
          <w:sz w:val="22"/>
        </w:rPr>
        <w:t xml:space="preserve">Consultant shall attempt to lower the </w:t>
      </w:r>
      <w:r>
        <w:rPr>
          <w:rFonts w:ascii="Gill Sans" w:hAnsi="Gill Sans"/>
          <w:sz w:val="22"/>
        </w:rPr>
        <w:t>assessed</w:t>
      </w:r>
      <w:r w:rsidRPr="009C2873">
        <w:rPr>
          <w:rFonts w:ascii="Gill Sans" w:hAnsi="Gill Sans"/>
          <w:sz w:val="22"/>
        </w:rPr>
        <w:t xml:space="preserve"> real estate value, which will thereby reduce the real estate tax bill. </w:t>
      </w:r>
    </w:p>
    <w:p w14:paraId="72E85665" w14:textId="77777777" w:rsidR="002F01CF" w:rsidRDefault="002F01CF" w:rsidP="002F01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Gill Sans" w:hAnsi="Gill Sans"/>
          <w:sz w:val="22"/>
        </w:rPr>
      </w:pPr>
    </w:p>
    <w:p w14:paraId="564763D1" w14:textId="77777777" w:rsidR="002F01CF" w:rsidRPr="009C2873" w:rsidRDefault="002F01CF" w:rsidP="002F01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Gill Sans" w:hAnsi="Gill Sans"/>
          <w:sz w:val="22"/>
        </w:rPr>
      </w:pPr>
      <w:r w:rsidRPr="009C2873">
        <w:rPr>
          <w:rFonts w:ascii="Gill Sans" w:hAnsi="Gill Sans"/>
          <w:sz w:val="22"/>
        </w:rPr>
        <w:t xml:space="preserve">“Tax Savings” is the amount of taxes that would be owed prior to accounting for any reduction stemming from the Consultant’s appeal </w:t>
      </w:r>
      <w:r w:rsidRPr="00033DDA">
        <w:rPr>
          <w:rFonts w:ascii="Gill Sans" w:hAnsi="Gill Sans"/>
          <w:sz w:val="22"/>
          <w:u w:val="single"/>
        </w:rPr>
        <w:t>less</w:t>
      </w:r>
      <w:r w:rsidRPr="009C2873">
        <w:rPr>
          <w:rFonts w:ascii="Gill Sans" w:hAnsi="Gill Sans"/>
          <w:sz w:val="22"/>
        </w:rPr>
        <w:t xml:space="preserve"> the amount of taxes that is calculated after accounting for any reduction in value stem</w:t>
      </w:r>
      <w:r>
        <w:rPr>
          <w:rFonts w:ascii="Gill Sans" w:hAnsi="Gill Sans"/>
          <w:sz w:val="22"/>
        </w:rPr>
        <w:t>ming from the Consultant’s appeal</w:t>
      </w:r>
      <w:r w:rsidRPr="009C2873">
        <w:rPr>
          <w:rFonts w:ascii="Gill Sans" w:hAnsi="Gill Sans"/>
          <w:sz w:val="22"/>
        </w:rPr>
        <w:t xml:space="preserve">. </w:t>
      </w:r>
      <w:r>
        <w:rPr>
          <w:rFonts w:ascii="Gill Sans" w:hAnsi="Gill Sans"/>
          <w:sz w:val="22"/>
        </w:rPr>
        <w:t xml:space="preserve">“Net Tax Savings” is equal to the Tax Savings less any out-of-pocket costs (e.g., expert report, testimony, deposition, etc.), provided such costs are pre-approved in writing by Client at its sole discretion. Consultant shall present a cost-benefit analysis whenever requesting out-of-pocket expenditures. Legal fees are part of Consultant’s fee.  </w:t>
      </w:r>
      <w:r w:rsidRPr="009C2873">
        <w:rPr>
          <w:rFonts w:ascii="Gill Sans" w:hAnsi="Gill Sans"/>
          <w:sz w:val="22"/>
        </w:rPr>
        <w:t xml:space="preserve">Client agrees to pay to Consultant </w:t>
      </w:r>
      <w:r w:rsidRPr="004049E4">
        <w:rPr>
          <w:rFonts w:ascii="Gill Sans" w:hAnsi="Gill Sans"/>
          <w:sz w:val="22"/>
          <w:highlight w:val="yellow"/>
        </w:rPr>
        <w:t>twenty percent (20%)</w:t>
      </w:r>
      <w:r w:rsidRPr="009C2873">
        <w:rPr>
          <w:rFonts w:ascii="Gill Sans" w:hAnsi="Gill Sans"/>
          <w:sz w:val="22"/>
        </w:rPr>
        <w:t xml:space="preserve"> of the </w:t>
      </w:r>
      <w:r>
        <w:rPr>
          <w:rFonts w:ascii="Gill Sans" w:hAnsi="Gill Sans"/>
          <w:sz w:val="22"/>
        </w:rPr>
        <w:t xml:space="preserve">Net </w:t>
      </w:r>
      <w:r w:rsidRPr="009C2873">
        <w:rPr>
          <w:rFonts w:ascii="Gill Sans" w:hAnsi="Gill Sans"/>
          <w:sz w:val="22"/>
        </w:rPr>
        <w:t>Tax Savings.</w:t>
      </w:r>
      <w:r>
        <w:rPr>
          <w:rFonts w:ascii="Gill Sans" w:hAnsi="Gill Sans"/>
          <w:sz w:val="22"/>
        </w:rPr>
        <w:t xml:space="preserve">  </w:t>
      </w:r>
      <w:r w:rsidRPr="009C2873">
        <w:rPr>
          <w:rFonts w:ascii="Gill Sans" w:hAnsi="Gill Sans"/>
          <w:sz w:val="22"/>
        </w:rPr>
        <w:t>Client shall provide a customary agent authorization letter to make its authorization hereunder and this Agreement effective. Client shall arrange for such documentation and cooperation as required for the Consultant to discharge the Services.</w:t>
      </w:r>
    </w:p>
    <w:p w14:paraId="0BCD1DF9" w14:textId="77777777" w:rsidR="002F01CF" w:rsidRPr="009C2873" w:rsidRDefault="002F01CF" w:rsidP="002F01CF">
      <w:pPr>
        <w:jc w:val="both"/>
        <w:rPr>
          <w:rFonts w:ascii="Gill Sans" w:hAnsi="Gill Sans"/>
          <w:sz w:val="22"/>
        </w:rPr>
      </w:pPr>
    </w:p>
    <w:p w14:paraId="57039327" w14:textId="77777777" w:rsidR="002F01CF" w:rsidRPr="009C2873" w:rsidRDefault="002F01CF" w:rsidP="002F01CF">
      <w:pPr>
        <w:jc w:val="both"/>
        <w:rPr>
          <w:rFonts w:ascii="Gill Sans" w:hAnsi="Gill Sans"/>
          <w:sz w:val="22"/>
        </w:rPr>
      </w:pPr>
      <w:r w:rsidRPr="009C2873">
        <w:rPr>
          <w:rFonts w:ascii="Gill Sans" w:hAnsi="Gill Sans"/>
          <w:sz w:val="22"/>
        </w:rPr>
        <w:t xml:space="preserve">The tax years applicable to this Agreement for this Property shall be </w:t>
      </w:r>
      <w:r w:rsidRPr="004049E4">
        <w:rPr>
          <w:rFonts w:ascii="Gill Sans" w:hAnsi="Gill Sans"/>
          <w:sz w:val="22"/>
          <w:highlight w:val="yellow"/>
        </w:rPr>
        <w:t>2018</w:t>
      </w:r>
      <w:r w:rsidRPr="009C2873">
        <w:rPr>
          <w:rFonts w:ascii="Gill Sans" w:hAnsi="Gill Sans"/>
          <w:sz w:val="22"/>
        </w:rPr>
        <w:t xml:space="preserve">. The term of this Agreement shall </w:t>
      </w:r>
      <w:r>
        <w:rPr>
          <w:rFonts w:ascii="Gill Sans" w:hAnsi="Gill Sans"/>
          <w:sz w:val="22"/>
        </w:rPr>
        <w:t>be from the Effective Date until</w:t>
      </w:r>
      <w:r w:rsidRPr="009C2873">
        <w:rPr>
          <w:rFonts w:ascii="Gill Sans" w:hAnsi="Gill Sans"/>
          <w:sz w:val="22"/>
        </w:rPr>
        <w:t xml:space="preserve"> </w:t>
      </w:r>
      <w:r w:rsidRPr="00EB0ACC">
        <w:rPr>
          <w:rFonts w:ascii="Gill Sans" w:hAnsi="Gill Sans"/>
          <w:sz w:val="22"/>
          <w:highlight w:val="yellow"/>
        </w:rPr>
        <w:t xml:space="preserve">the later of either the appeal process is </w:t>
      </w:r>
      <w:proofErr w:type="gramStart"/>
      <w:r w:rsidRPr="00EB0ACC">
        <w:rPr>
          <w:rFonts w:ascii="Gill Sans" w:hAnsi="Gill Sans"/>
          <w:sz w:val="22"/>
          <w:highlight w:val="yellow"/>
        </w:rPr>
        <w:t>exhausted</w:t>
      </w:r>
      <w:proofErr w:type="gramEnd"/>
      <w:r w:rsidRPr="00EB0ACC">
        <w:rPr>
          <w:rFonts w:ascii="Gill Sans" w:hAnsi="Gill Sans"/>
          <w:sz w:val="22"/>
          <w:highlight w:val="yellow"/>
        </w:rPr>
        <w:t xml:space="preserve"> or the Tax Savings is zero</w:t>
      </w:r>
      <w:r w:rsidRPr="009C2873">
        <w:rPr>
          <w:rFonts w:ascii="Gill Sans" w:hAnsi="Gill Sans"/>
          <w:sz w:val="22"/>
        </w:rPr>
        <w:t xml:space="preserve">. The term shall be extended for applicable future years whenever a new agent authorization letter is provided. Any fee owed shall be paid on the date the tax bill is due (typically Sep 30), as this is the date Client experiences savings. In the event of a refund, </w:t>
      </w:r>
      <w:r>
        <w:rPr>
          <w:rFonts w:ascii="Gill Sans" w:hAnsi="Gill Sans"/>
          <w:sz w:val="22"/>
        </w:rPr>
        <w:t xml:space="preserve">the fee shall apply to the total refund and </w:t>
      </w:r>
      <w:r w:rsidRPr="009C2873">
        <w:rPr>
          <w:rFonts w:ascii="Gill Sans" w:hAnsi="Gill Sans"/>
          <w:sz w:val="22"/>
        </w:rPr>
        <w:t>payment is due promptly</w:t>
      </w:r>
      <w:r>
        <w:rPr>
          <w:rFonts w:ascii="Gill Sans" w:hAnsi="Gill Sans"/>
          <w:sz w:val="22"/>
        </w:rPr>
        <w:t xml:space="preserve"> upon receipt of refund.</w:t>
      </w:r>
    </w:p>
    <w:p w14:paraId="3F3113C3" w14:textId="77777777" w:rsidR="002F01CF" w:rsidRPr="009C2873" w:rsidRDefault="002F01CF" w:rsidP="002F01CF">
      <w:pPr>
        <w:rPr>
          <w:rFonts w:ascii="Gill Sans" w:hAnsi="Gill Sans"/>
          <w:sz w:val="22"/>
        </w:rPr>
      </w:pPr>
    </w:p>
    <w:p w14:paraId="58CFFC73" w14:textId="77777777" w:rsidR="002F01CF" w:rsidRPr="009C2873" w:rsidRDefault="002F01CF" w:rsidP="002F01CF">
      <w:pPr>
        <w:pStyle w:val="BodyTextIndent2"/>
        <w:spacing w:line="240" w:lineRule="auto"/>
        <w:ind w:right="0" w:firstLine="0"/>
        <w:rPr>
          <w:rFonts w:ascii="Gill Sans" w:hAnsi="Gill Sans"/>
        </w:rPr>
      </w:pPr>
      <w:r w:rsidRPr="009C2873">
        <w:rPr>
          <w:rFonts w:ascii="Gill Sans" w:hAnsi="Gill Sans"/>
        </w:rPr>
        <w:t xml:space="preserve">This Agreement sets forth in entirety the agreement and understanding between Client and Consultant. This Agreement shall be governed by the laws of the state of </w:t>
      </w:r>
      <w:r w:rsidRPr="00D73383">
        <w:rPr>
          <w:rFonts w:ascii="Gill Sans" w:hAnsi="Gill Sans"/>
          <w:highlight w:val="yellow"/>
        </w:rPr>
        <w:t>New York</w:t>
      </w:r>
      <w:r>
        <w:rPr>
          <w:rFonts w:ascii="Gill Sans" w:hAnsi="Gill Sans"/>
        </w:rPr>
        <w:t>.</w:t>
      </w:r>
      <w:r w:rsidRPr="009C2873">
        <w:rPr>
          <w:rFonts w:ascii="Gill Sans" w:hAnsi="Gill Sans"/>
        </w:rPr>
        <w:t xml:space="preserve"> This Agreement shall be binding upon and shall inure to the benefit of the parties hereto and to their successors and assigns and any purchaser of Property. This Agreement may be executed in any number of counterparts and have the same effect as if all the parties had signed the same document.  Facsimile and electronic scan counterparts shall be deemed to be original execution copies.  All counterparts shall be construed together and shall constitute one Agreement.  If a party hereto incurs costs and attorney’s fees in enforcing the terms of this Agreement, the prevailing party may recover such fees and costs from the party in default. The parties hereto have caused this Agreement to be executed under seal intending to be legally bound hereby as of the Effective Date.</w:t>
      </w:r>
    </w:p>
    <w:p w14:paraId="3E14B519" w14:textId="77777777" w:rsidR="002F01CF" w:rsidRPr="009C2873" w:rsidRDefault="002F01CF" w:rsidP="002F01CF">
      <w:pPr>
        <w:rPr>
          <w:rFonts w:ascii="Gill Sans" w:hAnsi="Gill Sans"/>
          <w:snapToGrid w:val="0"/>
          <w:sz w:val="22"/>
        </w:rPr>
      </w:pPr>
    </w:p>
    <w:p w14:paraId="3B745A72" w14:textId="77777777" w:rsidR="002F01CF" w:rsidRDefault="002F01CF" w:rsidP="002F01CF">
      <w:r w:rsidRPr="00DE07B8">
        <w:rPr>
          <w:u w:val="single"/>
        </w:rPr>
        <w:lastRenderedPageBreak/>
        <w:t>Client</w:t>
      </w:r>
      <w:r>
        <w:tab/>
      </w:r>
      <w:r>
        <w:tab/>
      </w:r>
      <w:r>
        <w:tab/>
      </w:r>
      <w:r>
        <w:tab/>
      </w:r>
      <w:r>
        <w:tab/>
      </w:r>
      <w:r>
        <w:tab/>
      </w:r>
      <w:r>
        <w:rPr>
          <w:u w:val="single"/>
        </w:rPr>
        <w:t>Consultant</w:t>
      </w:r>
    </w:p>
    <w:p w14:paraId="79BEA37F" w14:textId="77777777" w:rsidR="002F01CF" w:rsidRDefault="002F01CF" w:rsidP="002F01CF"/>
    <w:p w14:paraId="21934868" w14:textId="77777777" w:rsidR="002F01CF" w:rsidRDefault="002F01CF" w:rsidP="002F01CF">
      <w:r>
        <w:t>____________________________</w:t>
      </w:r>
      <w:r>
        <w:tab/>
      </w:r>
      <w:r>
        <w:tab/>
        <w:t>____________________________</w:t>
      </w:r>
    </w:p>
    <w:p w14:paraId="2A4D8EA1" w14:textId="77777777" w:rsidR="002F01CF" w:rsidRDefault="002F01CF" w:rsidP="002F01CF">
      <w:r>
        <w:t>Sign</w:t>
      </w:r>
      <w:r>
        <w:tab/>
      </w:r>
      <w:r>
        <w:tab/>
      </w:r>
      <w:r>
        <w:tab/>
      </w:r>
      <w:r>
        <w:tab/>
      </w:r>
      <w:r>
        <w:tab/>
      </w:r>
      <w:r>
        <w:tab/>
      </w:r>
      <w:proofErr w:type="spellStart"/>
      <w:r>
        <w:t>Sign</w:t>
      </w:r>
      <w:proofErr w:type="spellEnd"/>
    </w:p>
    <w:p w14:paraId="7C658FF3" w14:textId="77777777" w:rsidR="002F01CF" w:rsidRDefault="002F01CF" w:rsidP="002F01CF"/>
    <w:p w14:paraId="5F5058D5" w14:textId="77777777" w:rsidR="002F01CF" w:rsidRDefault="002F01CF" w:rsidP="002F01CF">
      <w:r>
        <w:t>____________________________</w:t>
      </w:r>
      <w:r>
        <w:tab/>
      </w:r>
      <w:r>
        <w:tab/>
        <w:t>____________________________</w:t>
      </w:r>
    </w:p>
    <w:p w14:paraId="286CD173" w14:textId="77777777" w:rsidR="002F01CF" w:rsidRDefault="002F01CF" w:rsidP="002F01CF">
      <w:r>
        <w:t>Print</w:t>
      </w:r>
      <w:r>
        <w:tab/>
      </w:r>
      <w:r>
        <w:tab/>
      </w:r>
      <w:r>
        <w:tab/>
      </w:r>
      <w:r>
        <w:tab/>
        <w:t>Date</w:t>
      </w:r>
      <w:r>
        <w:tab/>
      </w:r>
      <w:r>
        <w:tab/>
        <w:t>Print</w:t>
      </w:r>
      <w:r>
        <w:tab/>
      </w:r>
      <w:r>
        <w:tab/>
      </w:r>
      <w:r>
        <w:tab/>
      </w:r>
      <w:r>
        <w:tab/>
        <w:t>Date</w:t>
      </w:r>
    </w:p>
    <w:p w14:paraId="15A31555" w14:textId="77777777" w:rsidR="007C23AD" w:rsidRDefault="007C23AD">
      <w:bookmarkStart w:id="0" w:name="_GoBack"/>
      <w:bookmarkEnd w:id="0"/>
    </w:p>
    <w:sectPr w:rsidR="007C23AD" w:rsidSect="00DA1D38">
      <w:headerReference w:type="default" r:id="rId4"/>
      <w:footerReference w:type="default" r:id="rId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Sans">
    <w:panose1 w:val="00000000000000000000"/>
    <w:charset w:val="00"/>
    <w:family w:val="roman"/>
    <w:notTrueType/>
    <w:pitch w:val="default"/>
  </w:font>
  <w:font w:name="Gill Sans">
    <w:altName w:val="Segoe UI"/>
    <w:charset w:val="00"/>
    <w:family w:val="auto"/>
    <w:pitch w:val="variable"/>
    <w:sig w:usb0="00000000" w:usb1="00000000" w:usb2="00000000" w:usb3="00000000" w:csb0="000001F7" w:csb1="00000000"/>
  </w:font>
  <w:font w:name="Helvetica 35 Thin">
    <w:altName w:val="Times New Roman"/>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54485" w14:textId="77777777" w:rsidR="00932EFF" w:rsidRDefault="002F01CF">
    <w:pPr>
      <w:pStyle w:val="Footer"/>
    </w:pPr>
    <w:r>
      <w:rPr>
        <w:rFonts w:ascii="Helvetica 35 Thin" w:hAnsi="Helvetica 35 Thin"/>
        <w:color w:val="000080"/>
        <w:sz w:val="17"/>
        <w:szCs w:val="17"/>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BFC18" w14:textId="77777777" w:rsidR="00932EFF" w:rsidRDefault="002F01CF">
    <w:pPr>
      <w:pStyle w:val="Header"/>
    </w:pPr>
    <w:r>
      <w:t>Confidential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CF"/>
    <w:rsid w:val="002F01CF"/>
    <w:rsid w:val="007C23A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F4C3"/>
  <w15:chartTrackingRefBased/>
  <w15:docId w15:val="{560CB795-6911-48F1-9961-F0FD5BC4A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1CF"/>
    <w:pPr>
      <w:spacing w:after="0" w:line="240" w:lineRule="auto"/>
    </w:pPr>
    <w:rPr>
      <w:rFonts w:ascii="Times" w:eastAsia="Times"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F01CF"/>
    <w:pPr>
      <w:tabs>
        <w:tab w:val="center" w:pos="4320"/>
        <w:tab w:val="right" w:pos="8640"/>
      </w:tabs>
    </w:pPr>
  </w:style>
  <w:style w:type="character" w:customStyle="1" w:styleId="HeaderChar">
    <w:name w:val="Header Char"/>
    <w:basedOn w:val="DefaultParagraphFont"/>
    <w:link w:val="Header"/>
    <w:rsid w:val="002F01CF"/>
    <w:rPr>
      <w:rFonts w:ascii="Times" w:eastAsia="Times" w:hAnsi="Times" w:cs="Times New Roman"/>
      <w:sz w:val="24"/>
      <w:szCs w:val="20"/>
      <w:lang w:val="en-US"/>
    </w:rPr>
  </w:style>
  <w:style w:type="paragraph" w:styleId="Footer">
    <w:name w:val="footer"/>
    <w:basedOn w:val="Normal"/>
    <w:link w:val="FooterChar"/>
    <w:semiHidden/>
    <w:rsid w:val="002F01CF"/>
    <w:pPr>
      <w:tabs>
        <w:tab w:val="center" w:pos="4320"/>
        <w:tab w:val="right" w:pos="8640"/>
      </w:tabs>
    </w:pPr>
  </w:style>
  <w:style w:type="character" w:customStyle="1" w:styleId="FooterChar">
    <w:name w:val="Footer Char"/>
    <w:basedOn w:val="DefaultParagraphFont"/>
    <w:link w:val="Footer"/>
    <w:semiHidden/>
    <w:rsid w:val="002F01CF"/>
    <w:rPr>
      <w:rFonts w:ascii="Times" w:eastAsia="Times" w:hAnsi="Times" w:cs="Times New Roman"/>
      <w:sz w:val="24"/>
      <w:szCs w:val="20"/>
      <w:lang w:val="en-US"/>
    </w:rPr>
  </w:style>
  <w:style w:type="paragraph" w:customStyle="1" w:styleId="sectiontext">
    <w:name w:val="section text"/>
    <w:basedOn w:val="Normal"/>
    <w:rsid w:val="002F01CF"/>
    <w:pPr>
      <w:tabs>
        <w:tab w:val="left" w:pos="720"/>
      </w:tabs>
      <w:spacing w:after="140" w:line="300" w:lineRule="exact"/>
    </w:pPr>
    <w:rPr>
      <w:rFonts w:ascii="GillSans" w:eastAsia="Times New Roman" w:hAnsi="GillSans"/>
      <w:sz w:val="22"/>
    </w:rPr>
  </w:style>
  <w:style w:type="paragraph" w:styleId="BodyTextIndent2">
    <w:name w:val="Body Text Indent 2"/>
    <w:basedOn w:val="Normal"/>
    <w:link w:val="BodyTextIndent2Char"/>
    <w:rsid w:val="002F01CF"/>
    <w:pPr>
      <w:spacing w:line="290" w:lineRule="atLeast"/>
      <w:ind w:right="720" w:firstLine="720"/>
      <w:jc w:val="both"/>
    </w:pPr>
    <w:rPr>
      <w:rFonts w:ascii="Times New Roman" w:eastAsia="Times New Roman" w:hAnsi="Times New Roman"/>
      <w:sz w:val="22"/>
    </w:rPr>
  </w:style>
  <w:style w:type="character" w:customStyle="1" w:styleId="BodyTextIndent2Char">
    <w:name w:val="Body Text Indent 2 Char"/>
    <w:basedOn w:val="DefaultParagraphFont"/>
    <w:link w:val="BodyTextIndent2"/>
    <w:rsid w:val="002F01CF"/>
    <w:rPr>
      <w:rFonts w:ascii="Times New Roman" w:eastAsia="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Hamza</cp:lastModifiedBy>
  <cp:revision>1</cp:revision>
  <dcterms:created xsi:type="dcterms:W3CDTF">2018-02-20T06:26:00Z</dcterms:created>
  <dcterms:modified xsi:type="dcterms:W3CDTF">2018-02-20T06:27:00Z</dcterms:modified>
</cp:coreProperties>
</file>