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l3thqfgaap6a" w:id="0"/>
      <w:bookmarkEnd w:id="0"/>
      <w:r w:rsidDel="00000000" w:rsidR="00000000" w:rsidRPr="00000000">
        <w:rPr>
          <w:rtl w:val="0"/>
        </w:rPr>
        <w:t xml:space="preserve">Architecture Implementation Blueprint: Medallion Data Warehouse for Global Epidemiological Surveillance</w:t>
      </w:r>
    </w:p>
    <w:p w:rsidR="00000000" w:rsidDel="00000000" w:rsidP="00000000" w:rsidRDefault="00000000" w:rsidRPr="00000000" w14:paraId="00000002">
      <w:pPr>
        <w:pStyle w:val="Heading4"/>
        <w:rPr/>
      </w:pPr>
      <w:bookmarkStart w:colFirst="0" w:colLast="0" w:name="_jpqcmn67dn8j" w:id="1"/>
      <w:bookmarkEnd w:id="1"/>
      <w:r w:rsidDel="00000000" w:rsidR="00000000" w:rsidRPr="00000000">
        <w:rPr>
          <w:rtl w:val="0"/>
        </w:rPr>
        <w:t xml:space="preserve">1. Strategic Vision and the Case for Medallion Architecture</w:t>
      </w:r>
    </w:p>
    <w:p w:rsidR="00000000" w:rsidDel="00000000" w:rsidP="00000000" w:rsidRDefault="00000000" w:rsidRPr="00000000" w14:paraId="00000003">
      <w:pPr>
        <w:rPr/>
      </w:pPr>
      <w:r w:rsidDel="00000000" w:rsidR="00000000" w:rsidRPr="00000000">
        <w:rPr>
          <w:rtl w:val="0"/>
        </w:rPr>
        <w:t xml:space="preserve">Modern global health security is fundamentally compromised by fragmented legacy systems that perpetuate data silos and result in critical reporting delays. For international bodies such as the World Health Organization (WHO) and the Centers for Disease Control and Prevention (CDC), the inability to synchronize heterogeneous data formats in real-time limits the efficacy of outbreak responses. Architects must transition these organizations toward a structured Medallion architecture. This multi-layered framework ensures data quality, historical integrity, and advanced analytical readiness, moving public health informatics from reactive, flat-file reporting to a proactive, predictive ecosystem.</w:t>
      </w:r>
    </w:p>
    <w:p w:rsidR="00000000" w:rsidDel="00000000" w:rsidP="00000000" w:rsidRDefault="00000000" w:rsidRPr="00000000" w14:paraId="00000004">
      <w:pPr>
        <w:pStyle w:val="Heading5"/>
        <w:rPr/>
      </w:pPr>
      <w:bookmarkStart w:colFirst="0" w:colLast="0" w:name="_xrbgpn7skk8k" w:id="2"/>
      <w:bookmarkEnd w:id="2"/>
      <w:r w:rsidDel="00000000" w:rsidR="00000000" w:rsidRPr="00000000">
        <w:rPr>
          <w:rtl w:val="0"/>
        </w:rPr>
        <w:t xml:space="preserve">Comparative Analysis: Legacy Surveillance vs. Proposed Medallion Solution</w:t>
      </w:r>
    </w:p>
    <w:p w:rsidR="00000000" w:rsidDel="00000000" w:rsidP="00000000" w:rsidRDefault="00000000" w:rsidRPr="00000000" w14:paraId="00000005">
      <w:pPr>
        <w:rPr/>
      </w:pPr>
      <w:r w:rsidDel="00000000" w:rsidR="00000000" w:rsidRPr="00000000">
        <w:rPr>
          <w:rtl w:val="0"/>
        </w:rPr>
        <w:t xml:space="preserve">Feature,"Legacy Systems (e.g., WHO DHIS2, HealthMap)",Proposed Medallion Solution</w:t>
      </w:r>
    </w:p>
    <w:p w:rsidR="00000000" w:rsidDel="00000000" w:rsidP="00000000" w:rsidRDefault="00000000" w:rsidRPr="00000000" w14:paraId="00000006">
      <w:pPr>
        <w:rPr/>
      </w:pPr>
      <w:r w:rsidDel="00000000" w:rsidR="00000000" w:rsidRPr="00000000">
        <w:rPr>
          <w:rtl w:val="0"/>
        </w:rPr>
        <w:t xml:space="preserve">Data Architecture,Flat databases or disconnected data lakes,"Structured Multi-layered (Bronze, Silver, Gold)"</w:t>
      </w:r>
    </w:p>
    <w:p w:rsidR="00000000" w:rsidDel="00000000" w:rsidP="00000000" w:rsidRDefault="00000000" w:rsidRPr="00000000" w14:paraId="00000007">
      <w:pPr>
        <w:rPr/>
      </w:pPr>
      <w:r w:rsidDel="00000000" w:rsidR="00000000" w:rsidRPr="00000000">
        <w:rPr>
          <w:rtl w:val="0"/>
        </w:rPr>
        <w:t xml:space="preserve">Data Integration,"Manual, fragmented across agencies",Automated ETL with multi-source merging</w:t>
      </w:r>
    </w:p>
    <w:p w:rsidR="00000000" w:rsidDel="00000000" w:rsidP="00000000" w:rsidRDefault="00000000" w:rsidRPr="00000000" w14:paraId="00000008">
      <w:pPr>
        <w:rPr/>
      </w:pPr>
      <w:r w:rsidDel="00000000" w:rsidR="00000000" w:rsidRPr="00000000">
        <w:rPr>
          <w:rtl w:val="0"/>
        </w:rPr>
        <w:t xml:space="preserve">ML Integration,Minimal; typically external analysis,Unified LSTM (Trends) &amp; XGBoost (Risk)</w:t>
      </w:r>
    </w:p>
    <w:p w:rsidR="00000000" w:rsidDel="00000000" w:rsidP="00000000" w:rsidRDefault="00000000" w:rsidRPr="00000000" w14:paraId="00000009">
      <w:pPr>
        <w:rPr/>
      </w:pPr>
      <w:r w:rsidDel="00000000" w:rsidR="00000000" w:rsidRPr="00000000">
        <w:rPr>
          <w:rtl w:val="0"/>
        </w:rPr>
        <w:t xml:space="preserve">Quality Frameworks,Inconsistent coding; manual validation,Automated validation via Great Expectations</w:t>
      </w:r>
    </w:p>
    <w:p w:rsidR="00000000" w:rsidDel="00000000" w:rsidP="00000000" w:rsidRDefault="00000000" w:rsidRPr="00000000" w14:paraId="0000000A">
      <w:pPr>
        <w:rPr/>
      </w:pPr>
      <w:r w:rsidDel="00000000" w:rsidR="00000000" w:rsidRPr="00000000">
        <w:rPr>
          <w:rtl w:val="0"/>
        </w:rPr>
        <w:t xml:space="preserve">Reporting Speed,Static reports with high latency,Real-time ready with automated data marts</w:t>
      </w:r>
    </w:p>
    <w:p w:rsidR="00000000" w:rsidDel="00000000" w:rsidP="00000000" w:rsidRDefault="00000000" w:rsidRPr="00000000" w14:paraId="0000000B">
      <w:pPr>
        <w:rPr/>
      </w:pPr>
      <w:r w:rsidDel="00000000" w:rsidR="00000000" w:rsidRPr="00000000">
        <w:rPr>
          <w:rtl w:val="0"/>
        </w:rPr>
        <w:t xml:space="preserve">Scalability,Limited by monolithic architecture,"Cloud-native, high-throughput scalability"</w:t>
      </w:r>
    </w:p>
    <w:p w:rsidR="00000000" w:rsidDel="00000000" w:rsidP="00000000" w:rsidRDefault="00000000" w:rsidRPr="00000000" w14:paraId="0000000C">
      <w:pPr>
        <w:rPr/>
      </w:pPr>
      <w:r w:rsidDel="00000000" w:rsidR="00000000" w:rsidRPr="00000000">
        <w:rPr>
          <w:rtl w:val="0"/>
        </w:rPr>
        <w:t xml:space="preserve">The societal impact of this implementation is transformative. By consolidating raw case counts into a single source of truth, health authorities can shift toward evidence-based policy-making and resource optimization. This systematic approach facilitates the early detection of outbreaks and the targeted deployment of medical interventions, ultimately reducing global morbidity and mortality. This strategic ecosystem begins with a robust ingestion framework capable of capturing diverse health data.</w:t>
      </w:r>
    </w:p>
    <w:p w:rsidR="00000000" w:rsidDel="00000000" w:rsidP="00000000" w:rsidRDefault="00000000" w:rsidRPr="00000000" w14:paraId="0000000D">
      <w:pPr>
        <w:pStyle w:val="Heading4"/>
        <w:rPr/>
      </w:pPr>
      <w:bookmarkStart w:colFirst="0" w:colLast="0" w:name="_jpjj2rl65hlf" w:id="3"/>
      <w:bookmarkEnd w:id="3"/>
      <w:r w:rsidDel="00000000" w:rsidR="00000000" w:rsidRPr="00000000">
        <w:rPr>
          <w:rtl w:val="0"/>
        </w:rPr>
        <w:t xml:space="preserve">2. Multi-Source Data Ingestion Framework (The Extract Layer)</w:t>
      </w:r>
    </w:p>
    <w:p w:rsidR="00000000" w:rsidDel="00000000" w:rsidP="00000000" w:rsidRDefault="00000000" w:rsidRPr="00000000" w14:paraId="0000000E">
      <w:pPr>
        <w:rPr/>
      </w:pPr>
      <w:r w:rsidDel="00000000" w:rsidR="00000000" w:rsidRPr="00000000">
        <w:rPr>
          <w:rtl w:val="0"/>
        </w:rPr>
        <w:t xml:space="preserve">A heterogeneous data ingestion strategy is the bedrock of global health security. Architects must design pipelines that bridge the gap between national health portals and international repositories to provide a comprehensive view of disease movement across borders.</w:t>
      </w:r>
    </w:p>
    <w:p w:rsidR="00000000" w:rsidDel="00000000" w:rsidP="00000000" w:rsidRDefault="00000000" w:rsidRPr="00000000" w14:paraId="0000000F">
      <w:pPr>
        <w:pStyle w:val="Heading5"/>
        <w:rPr/>
      </w:pPr>
      <w:bookmarkStart w:colFirst="0" w:colLast="0" w:name="_g0rvwted96dm" w:id="4"/>
      <w:bookmarkEnd w:id="4"/>
      <w:r w:rsidDel="00000000" w:rsidR="00000000" w:rsidRPr="00000000">
        <w:rPr>
          <w:rtl w:val="0"/>
        </w:rPr>
        <w:t xml:space="preserve">Primary Data Sources and Extraction Focus</w:t>
      </w:r>
    </w:p>
    <w:p w:rsidR="00000000" w:rsidDel="00000000" w:rsidP="00000000" w:rsidRDefault="00000000" w:rsidRPr="00000000" w14:paraId="00000010">
      <w:pPr>
        <w:rPr/>
      </w:pPr>
      <w:r w:rsidDel="00000000" w:rsidR="00000000" w:rsidRPr="00000000">
        <w:rPr>
          <w:rtl w:val="0"/>
        </w:rPr>
        <w:t xml:space="preserve">The following sources are prioritized for the extraction of high-fidelity epidemiological datasets:</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WHO Global Health Observatory:</w:t>
      </w:r>
      <w:r w:rsidDel="00000000" w:rsidR="00000000" w:rsidRPr="00000000">
        <w:rPr>
          <w:rtl w:val="0"/>
        </w:rPr>
        <w:t xml:space="preserve">  Extraction of global disease burden statistics and SDG health indicators using standardized ICD-10 codes.</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CDC WONDER Platform:</w:t>
      </w:r>
      <w:r w:rsidDel="00000000" w:rsidR="00000000" w:rsidRPr="00000000">
        <w:rPr>
          <w:rtl w:val="0"/>
        </w:rPr>
        <w:t xml:space="preserve">  Retrieval of United States mortality and morbidity records, MMWR reports, and detailed demographic breakdowns.</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China CDC Weekly:</w:t>
      </w:r>
      <w:r w:rsidDel="00000000" w:rsidR="00000000" w:rsidRPr="00000000">
        <w:rPr>
          <w:rtl w:val="0"/>
        </w:rPr>
        <w:t xml:space="preserve">  Ingestion of granular data (2018–2022) covering 13 provinces and 1,000+ case-level records for eight specific communicable diseases:  </w:t>
      </w:r>
      <w:r w:rsidDel="00000000" w:rsidR="00000000" w:rsidRPr="00000000">
        <w:rPr>
          <w:b w:val="1"/>
          <w:bCs w:val="1"/>
          <w:rtl w:val="0"/>
        </w:rPr>
        <w:t xml:space="preserve">Influenza, Measles, Dengue, Tuberculosis (TB), Mumps, Malaria, Chickenpox, and Hepatitis.</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National Health Portals (e.g., NRHM, MoHFW):</w:t>
      </w:r>
      <w:r w:rsidDel="00000000" w:rsidR="00000000" w:rsidRPr="00000000">
        <w:rPr>
          <w:rtl w:val="0"/>
        </w:rPr>
        <w:t xml:space="preserve">  Extraction of state-level hospitalization data and laboratory confirmation records.</w:t>
      </w:r>
    </w:p>
    <w:p w:rsidR="00000000" w:rsidDel="00000000" w:rsidP="00000000" w:rsidRDefault="00000000" w:rsidRPr="00000000" w14:paraId="00000015">
      <w:pPr>
        <w:pStyle w:val="Heading5"/>
        <w:rPr/>
      </w:pPr>
      <w:bookmarkStart w:colFirst="0" w:colLast="0" w:name="_b47bcj9rifr8" w:id="5"/>
      <w:bookmarkEnd w:id="5"/>
      <w:r w:rsidDel="00000000" w:rsidR="00000000" w:rsidRPr="00000000">
        <w:rPr>
          <w:rtl w:val="0"/>
        </w:rPr>
        <w:t xml:space="preserve">Extraction Protocols</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API Integration:</w:t>
      </w:r>
      <w:r w:rsidDel="00000000" w:rsidR="00000000" w:rsidRPr="00000000">
        <w:rPr>
          <w:rtl w:val="0"/>
        </w:rPr>
        <w:t xml:space="preserve">  Lead Engineers should utilize the requests library for automated calls to WHO and CDC WONDER endpoints for real-time and batch retrieval.</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Database Loading:</w:t>
      </w:r>
      <w:r w:rsidDel="00000000" w:rsidR="00000000" w:rsidRPr="00000000">
        <w:rPr>
          <w:rtl w:val="0"/>
        </w:rPr>
        <w:t xml:space="preserve">  Use SQLAlchemy for robust loading into the landing zone.</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Format Parsing:</w:t>
      </w:r>
      <w:r w:rsidDel="00000000" w:rsidR="00000000" w:rsidRPr="00000000">
        <w:rPr>
          <w:rtl w:val="0"/>
        </w:rPr>
        <w:t xml:space="preserve">  Standardized ingestion of CSV and JSON formats to ensure compatibility.</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Multi-Source Merging:</w:t>
      </w:r>
      <w:r w:rsidDel="00000000" w:rsidR="00000000" w:rsidRPr="00000000">
        <w:rPr>
          <w:rtl w:val="0"/>
        </w:rPr>
        <w:t xml:space="preserve">  Algorithmic alignment of records to create a consolidated view of disease activity.Once these raw inputs are successfully ingested, they are transitioned into the first tier of the Medallion structure: the Bronze Layer.</w:t>
      </w:r>
    </w:p>
    <w:p w:rsidR="00000000" w:rsidDel="00000000" w:rsidP="00000000" w:rsidRDefault="00000000" w:rsidRPr="00000000" w14:paraId="0000001A">
      <w:pPr>
        <w:pStyle w:val="Heading4"/>
        <w:rPr/>
      </w:pPr>
      <w:bookmarkStart w:colFirst="0" w:colLast="0" w:name="_ut37jrez38zo" w:id="6"/>
      <w:bookmarkEnd w:id="6"/>
      <w:r w:rsidDel="00000000" w:rsidR="00000000" w:rsidRPr="00000000">
        <w:rPr>
          <w:rtl w:val="0"/>
        </w:rPr>
        <w:t xml:space="preserve">3. The Medallion Data Tiers: From Raw Ingestion to Analytics-Ready Gold</w:t>
      </w:r>
    </w:p>
    <w:p w:rsidR="00000000" w:rsidDel="00000000" w:rsidP="00000000" w:rsidRDefault="00000000" w:rsidRPr="00000000" w14:paraId="0000001B">
      <w:pPr>
        <w:rPr/>
      </w:pPr>
      <w:r w:rsidDel="00000000" w:rsidR="00000000" w:rsidRPr="00000000">
        <w:rPr>
          <w:rtl w:val="0"/>
        </w:rPr>
        <w:t xml:space="preserve">The Medallion design philosophy enforces strict data governance and lineage. Architects must configure the system to organize data into three distinct stages of refinement, ensuring every insight is traceable and mathematically sound.</w:t>
      </w:r>
    </w:p>
    <w:p w:rsidR="00000000" w:rsidDel="00000000" w:rsidP="00000000" w:rsidRDefault="00000000" w:rsidRPr="00000000" w14:paraId="0000001C">
      <w:pPr>
        <w:pStyle w:val="Heading5"/>
        <w:rPr/>
      </w:pPr>
      <w:bookmarkStart w:colFirst="0" w:colLast="0" w:name="_ffnfi9za6xaw" w:id="7"/>
      <w:bookmarkEnd w:id="7"/>
      <w:r w:rsidDel="00000000" w:rsidR="00000000" w:rsidRPr="00000000">
        <w:rPr>
          <w:rtl w:val="0"/>
        </w:rPr>
        <w:t xml:space="preserve">Bronze Layer (Raw Data Zone)</w:t>
      </w:r>
    </w:p>
    <w:p w:rsidR="00000000" w:rsidDel="00000000" w:rsidP="00000000" w:rsidRDefault="00000000" w:rsidRPr="00000000" w14:paraId="0000001D">
      <w:pPr>
        <w:rPr/>
      </w:pPr>
      <w:r w:rsidDel="00000000" w:rsidR="00000000" w:rsidRPr="00000000">
        <w:rPr>
          <w:rtl w:val="0"/>
        </w:rPr>
        <w:t xml:space="preserve">The Bronze Layer serves as the immutable landing zone. Architects must configure this layer to support a "schema-on-read" approach.</w:t>
      </w:r>
    </w:p>
    <w:p w:rsidR="00000000" w:rsidDel="00000000" w:rsidP="00000000" w:rsidRDefault="00000000" w:rsidRPr="00000000" w14:paraId="0000001E">
      <w:pPr>
        <w:numPr>
          <w:ilvl w:val="0"/>
          <w:numId w:val="8"/>
        </w:numPr>
        <w:ind w:left="720" w:hanging="360"/>
        <w:rPr>
          <w:u w:val="none"/>
        </w:rPr>
      </w:pPr>
      <w:r w:rsidDel="00000000" w:rsidR="00000000" w:rsidRPr="00000000">
        <w:rPr>
          <w:b w:val="1"/>
          <w:bCs w:val="1"/>
          <w:rtl w:val="0"/>
        </w:rPr>
        <w:t xml:space="preserve">Functional Requirements:</w:t>
      </w:r>
      <w:r w:rsidDel="00000000" w:rsidR="00000000" w:rsidRPr="00000000">
        <w:rPr>
          <w:rtl w:val="0"/>
        </w:rPr>
        <w:t xml:space="preserve">  Preservation of raw, non-transformed records to maintain a full historical archive. Duplicate records are retained here for auditing purposes.</w:t>
      </w:r>
    </w:p>
    <w:p w:rsidR="00000000" w:rsidDel="00000000" w:rsidP="00000000" w:rsidRDefault="00000000" w:rsidRPr="00000000" w14:paraId="0000001F">
      <w:pPr>
        <w:numPr>
          <w:ilvl w:val="0"/>
          <w:numId w:val="8"/>
        </w:numPr>
        <w:ind w:left="720" w:hanging="360"/>
        <w:rPr>
          <w:u w:val="none"/>
        </w:rPr>
      </w:pPr>
      <w:r w:rsidDel="00000000" w:rsidR="00000000" w:rsidRPr="00000000">
        <w:rPr>
          <w:b w:val="1"/>
          <w:bCs w:val="1"/>
          <w:rtl w:val="0"/>
        </w:rPr>
        <w:t xml:space="preserve">Lineage:</w:t>
      </w:r>
      <w:r w:rsidDel="00000000" w:rsidR="00000000" w:rsidRPr="00000000">
        <w:rPr>
          <w:rtl w:val="0"/>
        </w:rPr>
        <w:t xml:space="preserve">  Every record must be appended with timestamped ingestion logs to track data origin.</w:t>
      </w:r>
    </w:p>
    <w:p w:rsidR="00000000" w:rsidDel="00000000" w:rsidP="00000000" w:rsidRDefault="00000000" w:rsidRPr="00000000" w14:paraId="00000020">
      <w:pPr>
        <w:pStyle w:val="Heading5"/>
        <w:rPr/>
      </w:pPr>
      <w:bookmarkStart w:colFirst="0" w:colLast="0" w:name="_8akgiqhtklzv" w:id="8"/>
      <w:bookmarkEnd w:id="8"/>
      <w:r w:rsidDel="00000000" w:rsidR="00000000" w:rsidRPr="00000000">
        <w:rPr>
          <w:rtl w:val="0"/>
        </w:rPr>
        <w:t xml:space="preserve">Silver Layer (Cleaned &amp; Validated Zone)</w:t>
      </w:r>
    </w:p>
    <w:p w:rsidR="00000000" w:rsidDel="00000000" w:rsidP="00000000" w:rsidRDefault="00000000" w:rsidRPr="00000000" w14:paraId="00000021">
      <w:pPr>
        <w:rPr/>
      </w:pPr>
      <w:r w:rsidDel="00000000" w:rsidR="00000000" w:rsidRPr="00000000">
        <w:rPr>
          <w:rtl w:val="0"/>
        </w:rPr>
        <w:t xml:space="preserve">In the Silver Layer, engineers must implement rigorous transformation logic to harmonize disparate reporting standards.</w:t>
      </w:r>
    </w:p>
    <w:p w:rsidR="00000000" w:rsidDel="00000000" w:rsidP="00000000" w:rsidRDefault="00000000" w:rsidRPr="00000000" w14:paraId="00000022">
      <w:pPr>
        <w:numPr>
          <w:ilvl w:val="0"/>
          <w:numId w:val="7"/>
        </w:numPr>
        <w:ind w:left="720" w:hanging="360"/>
        <w:rPr>
          <w:u w:val="none"/>
        </w:rPr>
      </w:pPr>
      <w:r w:rsidDel="00000000" w:rsidR="00000000" w:rsidRPr="00000000">
        <w:rPr>
          <w:b w:val="1"/>
          <w:bCs w:val="1"/>
          <w:rtl w:val="0"/>
        </w:rPr>
        <w:t xml:space="preserve">Orchestration &amp; Validation:</w:t>
      </w:r>
      <w:r w:rsidDel="00000000" w:rsidR="00000000" w:rsidRPr="00000000">
        <w:rPr>
          <w:rtl w:val="0"/>
        </w:rPr>
        <w:t xml:space="preserve">  Utilize  </w:t>
      </w:r>
      <w:r w:rsidDel="00000000" w:rsidR="00000000" w:rsidRPr="00000000">
        <w:rPr>
          <w:b w:val="1"/>
          <w:bCs w:val="1"/>
          <w:rtl w:val="0"/>
        </w:rPr>
        <w:t xml:space="preserve">Apache Airflow</w:t>
      </w:r>
      <w:r w:rsidDel="00000000" w:rsidR="00000000" w:rsidRPr="00000000">
        <w:rPr>
          <w:rtl w:val="0"/>
        </w:rPr>
        <w:t xml:space="preserve">  for pipeline orchestration and  </w:t>
      </w:r>
      <w:r w:rsidDel="00000000" w:rsidR="00000000" w:rsidRPr="00000000">
        <w:rPr>
          <w:b w:val="1"/>
          <w:bCs w:val="1"/>
          <w:rtl w:val="0"/>
        </w:rPr>
        <w:t xml:space="preserve">Great Expectations</w:t>
      </w:r>
      <w:r w:rsidDel="00000000" w:rsidR="00000000" w:rsidRPr="00000000">
        <w:rPr>
          <w:rtl w:val="0"/>
        </w:rPr>
        <w:t xml:space="preserve">  for automated schema enforcement and data quality scoring.</w:t>
      </w:r>
    </w:p>
    <w:p w:rsidR="00000000" w:rsidDel="00000000" w:rsidP="00000000" w:rsidRDefault="00000000" w:rsidRPr="00000000" w14:paraId="00000023">
      <w:pPr>
        <w:numPr>
          <w:ilvl w:val="0"/>
          <w:numId w:val="7"/>
        </w:numPr>
        <w:ind w:left="720" w:hanging="360"/>
        <w:rPr>
          <w:u w:val="none"/>
        </w:rPr>
      </w:pPr>
      <w:r w:rsidDel="00000000" w:rsidR="00000000" w:rsidRPr="00000000">
        <w:rPr>
          <w:b w:val="1"/>
          <w:bCs w:val="1"/>
          <w:rtl w:val="0"/>
        </w:rPr>
        <w:t xml:space="preserve">Normalization:</w:t>
      </w:r>
      <w:r w:rsidDel="00000000" w:rsidR="00000000" w:rsidRPr="00000000">
        <w:rPr>
          <w:rtl w:val="0"/>
        </w:rPr>
        <w:t xml:space="preserve">  Mapping diverse naming conventions to standardized ICD-10 codes.</w:t>
      </w:r>
    </w:p>
    <w:p w:rsidR="00000000" w:rsidDel="00000000" w:rsidP="00000000" w:rsidRDefault="00000000" w:rsidRPr="00000000" w14:paraId="00000024">
      <w:pPr>
        <w:numPr>
          <w:ilvl w:val="0"/>
          <w:numId w:val="7"/>
        </w:numPr>
        <w:ind w:left="720" w:hanging="360"/>
        <w:rPr>
          <w:u w:val="none"/>
        </w:rPr>
      </w:pPr>
      <w:r w:rsidDel="00000000" w:rsidR="00000000" w:rsidRPr="00000000">
        <w:rPr>
          <w:b w:val="1"/>
          <w:bCs w:val="1"/>
          <w:rtl w:val="0"/>
        </w:rPr>
        <w:t xml:space="preserve">Demographic Enrichment:</w:t>
      </w:r>
      <w:r w:rsidDel="00000000" w:rsidR="00000000" w:rsidRPr="00000000">
        <w:rPr>
          <w:rtl w:val="0"/>
        </w:rPr>
        <w:t xml:space="preserve">  Merging case records with demographic data to enable high-resolution analysis of vulnerable populations.</w:t>
      </w:r>
    </w:p>
    <w:p w:rsidR="00000000" w:rsidDel="00000000" w:rsidP="00000000" w:rsidRDefault="00000000" w:rsidRPr="00000000" w14:paraId="00000025">
      <w:pPr>
        <w:numPr>
          <w:ilvl w:val="0"/>
          <w:numId w:val="7"/>
        </w:numPr>
        <w:ind w:left="720" w:hanging="360"/>
        <w:rPr>
          <w:u w:val="none"/>
        </w:rPr>
      </w:pPr>
      <w:r w:rsidDel="00000000" w:rsidR="00000000" w:rsidRPr="00000000">
        <w:rPr>
          <w:b w:val="1"/>
          <w:bCs w:val="1"/>
          <w:rtl w:val="0"/>
        </w:rPr>
        <w:t xml:space="preserve">Processing Logic:</w:t>
      </w:r>
      <w:r w:rsidDel="00000000" w:rsidR="00000000" w:rsidRPr="00000000">
        <w:rPr>
          <w:rtl w:val="0"/>
        </w:rPr>
        <w:t xml:space="preserve">  This stage includes null value imputation, outlier detection, and the initial application of the deduplication logic.</w:t>
      </w:r>
    </w:p>
    <w:p w:rsidR="00000000" w:rsidDel="00000000" w:rsidP="00000000" w:rsidRDefault="00000000" w:rsidRPr="00000000" w14:paraId="00000026">
      <w:pPr>
        <w:pStyle w:val="Heading5"/>
        <w:rPr/>
      </w:pPr>
      <w:bookmarkStart w:colFirst="0" w:colLast="0" w:name="_ebyorfmwnuij" w:id="9"/>
      <w:bookmarkEnd w:id="9"/>
      <w:r w:rsidDel="00000000" w:rsidR="00000000" w:rsidRPr="00000000">
        <w:rPr>
          <w:rtl w:val="0"/>
        </w:rPr>
        <w:t xml:space="preserve">Gold Layer (Analytics-Ready Zone)</w:t>
      </w:r>
    </w:p>
    <w:p w:rsidR="00000000" w:rsidDel="00000000" w:rsidP="00000000" w:rsidRDefault="00000000" w:rsidRPr="00000000" w14:paraId="00000027">
      <w:pPr>
        <w:rPr/>
      </w:pPr>
      <w:r w:rsidDel="00000000" w:rsidR="00000000" w:rsidRPr="00000000">
        <w:rPr>
          <w:rtl w:val="0"/>
        </w:rPr>
        <w:t xml:space="preserve">The Gold Layer represents the pinnacle of refinement, where data is organized into specialized "Data Marts" utilizing Star Schemas for high-performance querying.</w:t>
      </w:r>
    </w:p>
    <w:p w:rsidR="00000000" w:rsidDel="00000000" w:rsidP="00000000" w:rsidRDefault="00000000" w:rsidRPr="00000000" w14:paraId="00000028">
      <w:pPr>
        <w:numPr>
          <w:ilvl w:val="0"/>
          <w:numId w:val="6"/>
        </w:numPr>
        <w:ind w:left="720" w:hanging="360"/>
        <w:rPr>
          <w:u w:val="none"/>
        </w:rPr>
      </w:pPr>
      <w:r w:rsidDel="00000000" w:rsidR="00000000" w:rsidRPr="00000000">
        <w:rPr>
          <w:b w:val="1"/>
          <w:bCs w:val="1"/>
          <w:rtl w:val="0"/>
        </w:rPr>
        <w:t xml:space="preserve">KPI Calculation:</w:t>
      </w:r>
      <w:r w:rsidDel="00000000" w:rsidR="00000000" w:rsidRPr="00000000">
        <w:rPr>
          <w:rtl w:val="0"/>
        </w:rPr>
        <w:t xml:space="preserve">  Automated aggregation of critical metrics: Case Fatality Rate (CFR), Incidence Rate (per 100K), Prevalence Rate, and Attack Rate.</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Modeling Readiness:</w:t>
      </w:r>
      <w:r w:rsidDel="00000000" w:rsidR="00000000" w:rsidRPr="00000000">
        <w:rPr>
          <w:rtl w:val="0"/>
        </w:rPr>
        <w:t xml:space="preserve">  Preparation of feature-engineered matrices specifically optimized for the machine learning layer.These quality-controlled layers serve as the essential foundation for the dual-model predictive architecture.</w:t>
      </w:r>
    </w:p>
    <w:p w:rsidR="00000000" w:rsidDel="00000000" w:rsidP="00000000" w:rsidRDefault="00000000" w:rsidRPr="00000000" w14:paraId="0000002A">
      <w:pPr>
        <w:pStyle w:val="Heading4"/>
        <w:rPr/>
      </w:pPr>
      <w:bookmarkStart w:colFirst="0" w:colLast="0" w:name="_vj0zog3kd6r1" w:id="10"/>
      <w:bookmarkEnd w:id="10"/>
      <w:r w:rsidDel="00000000" w:rsidR="00000000" w:rsidRPr="00000000">
        <w:rPr>
          <w:rtl w:val="0"/>
        </w:rPr>
        <w:t xml:space="preserve">4. Data Preprocessing and Quality Engineering</w:t>
      </w:r>
    </w:p>
    <w:p w:rsidR="00000000" w:rsidDel="00000000" w:rsidP="00000000" w:rsidRDefault="00000000" w:rsidRPr="00000000" w14:paraId="0000002B">
      <w:pPr>
        <w:rPr/>
      </w:pPr>
      <w:r w:rsidDel="00000000" w:rsidR="00000000" w:rsidRPr="00000000">
        <w:rPr>
          <w:rtl w:val="0"/>
        </w:rPr>
        <w:t xml:space="preserve">Rigorous data engineering is the prerequisite for reliable epidemiological forecasting. Lead Engineers must enforce a standardized preprocessing protocol to maintain chronological and mathematical integrity.</w:t>
      </w:r>
    </w:p>
    <w:p w:rsidR="00000000" w:rsidDel="00000000" w:rsidP="00000000" w:rsidRDefault="00000000" w:rsidRPr="00000000" w14:paraId="0000002C">
      <w:pPr>
        <w:pStyle w:val="Heading5"/>
        <w:rPr/>
      </w:pPr>
      <w:bookmarkStart w:colFirst="0" w:colLast="0" w:name="_jbw1o36ptwoh" w:id="11"/>
      <w:bookmarkEnd w:id="11"/>
      <w:r w:rsidDel="00000000" w:rsidR="00000000" w:rsidRPr="00000000">
        <w:rPr>
          <w:rtl w:val="0"/>
        </w:rPr>
        <w:t xml:space="preserve">The 6-Step Preprocessing Protocol</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Missing Value Treatment:</w:t>
      </w:r>
      <w:r w:rsidDel="00000000" w:rsidR="00000000" w:rsidRPr="00000000">
        <w:rPr>
          <w:rtl w:val="0"/>
        </w:rPr>
        <w:t xml:space="preserve">  Apply median imputation for numerical data (cases/deaths) and mode imputation for categorical data (provinces/diseases).</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Hash-based Deduplication:</w:t>
      </w:r>
      <w:r w:rsidDel="00000000" w:rsidR="00000000" w:rsidRPr="00000000">
        <w:rPr>
          <w:rtl w:val="0"/>
        </w:rPr>
        <w:t xml:space="preserve">  Architects must enforce deduplication using a composite key consisting of:  </w:t>
      </w:r>
      <w:r w:rsidDel="00000000" w:rsidR="00000000" w:rsidRPr="00000000">
        <w:rPr>
          <w:b w:val="1"/>
          <w:bCs w:val="1"/>
          <w:rtl w:val="0"/>
        </w:rPr>
        <w:t xml:space="preserve">Disease, Province, Year, Month, Age_Group, Gender</w:t>
      </w:r>
      <w:r w:rsidDel="00000000" w:rsidR="00000000" w:rsidRPr="00000000">
        <w:rPr>
          <w:rtl w:val="0"/>
        </w:rPr>
        <w:t xml:space="preserve"> .</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Type Standardization:</w:t>
      </w:r>
      <w:r w:rsidDel="00000000" w:rsidR="00000000" w:rsidRPr="00000000">
        <w:rPr>
          <w:rtl w:val="0"/>
        </w:rPr>
        <w:t xml:space="preserve">  Parse all date columns to uniform datetime formats and apply label encoding to categorical variables.</w:t>
      </w:r>
    </w:p>
    <w:p w:rsidR="00000000" w:rsidDel="00000000" w:rsidP="00000000" w:rsidRDefault="00000000" w:rsidRPr="00000000" w14:paraId="00000030">
      <w:pPr>
        <w:numPr>
          <w:ilvl w:val="0"/>
          <w:numId w:val="1"/>
        </w:numPr>
        <w:ind w:left="720" w:hanging="360"/>
        <w:rPr>
          <w:u w:val="none"/>
        </w:rPr>
      </w:pPr>
      <w:r w:rsidDel="00000000" w:rsidR="00000000" w:rsidRPr="00000000">
        <w:rPr>
          <w:b w:val="1"/>
          <w:bCs w:val="1"/>
          <w:rtl w:val="0"/>
        </w:rPr>
        <w:t xml:space="preserve">Outlier Detection:</w:t>
      </w:r>
      <w:r w:rsidDel="00000000" w:rsidR="00000000" w:rsidRPr="00000000">
        <w:rPr>
          <w:rtl w:val="0"/>
        </w:rPr>
        <w:t xml:space="preserve">  Implement Interquartile Range (IQR) and 3-sigma methods to flag and cap extreme values in Reported Cases and CFR.</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Feature Engineering:</w:t>
      </w:r>
      <w:r w:rsidDel="00000000" w:rsidR="00000000" w:rsidRPr="00000000">
        <w:rPr>
          <w:rtl w:val="0"/>
        </w:rPr>
        <w:t xml:space="preserve">  Generate seasonal one-hot encodings, recovery rates, and rolling 3-month averages.</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Scaling:</w:t>
      </w:r>
      <w:r w:rsidDel="00000000" w:rsidR="00000000" w:rsidRPr="00000000">
        <w:rPr>
          <w:rtl w:val="0"/>
        </w:rPr>
        <w:t xml:space="preserve">  Apply MinMaxScaler for LSTM inputs (0–1 range) and StandardScaler for XGBoost features.To maintain chronological integrity, the architecture employs an 80/20 temporal split, ensuring models are validated against subsequent time periods. This high-quality feature set is then ingested by the dual AI/ML predictive layer.</w:t>
      </w:r>
    </w:p>
    <w:p w:rsidR="00000000" w:rsidDel="00000000" w:rsidP="00000000" w:rsidRDefault="00000000" w:rsidRPr="00000000" w14:paraId="00000033">
      <w:pPr>
        <w:pStyle w:val="Heading4"/>
        <w:rPr/>
      </w:pPr>
      <w:bookmarkStart w:colFirst="0" w:colLast="0" w:name="_v058igbbw3qe" w:id="12"/>
      <w:bookmarkEnd w:id="12"/>
      <w:r w:rsidDel="00000000" w:rsidR="00000000" w:rsidRPr="00000000">
        <w:rPr>
          <w:rtl w:val="0"/>
        </w:rPr>
        <w:t xml:space="preserve">5. AI/ML Predictive Layer: LSTM Trends and XGBoost Risk Scoring</w:t>
      </w:r>
    </w:p>
    <w:p w:rsidR="00000000" w:rsidDel="00000000" w:rsidP="00000000" w:rsidRDefault="00000000" w:rsidRPr="00000000" w14:paraId="00000034">
      <w:pPr>
        <w:rPr/>
      </w:pPr>
      <w:r w:rsidDel="00000000" w:rsidR="00000000" w:rsidRPr="00000000">
        <w:rPr>
          <w:rtl w:val="0"/>
        </w:rPr>
        <w:t xml:space="preserve">The strategic value of this architecture lies in combining time-series forecasting with classification-based risk assessment to provide actionable intelligence for health administrators.</w:t>
      </w:r>
    </w:p>
    <w:p w:rsidR="00000000" w:rsidDel="00000000" w:rsidP="00000000" w:rsidRDefault="00000000" w:rsidRPr="00000000" w14:paraId="00000035">
      <w:pPr>
        <w:pStyle w:val="Heading5"/>
        <w:rPr/>
      </w:pPr>
      <w:bookmarkStart w:colFirst="0" w:colLast="0" w:name="_drmhsar9tlh7" w:id="13"/>
      <w:bookmarkEnd w:id="13"/>
      <w:r w:rsidDel="00000000" w:rsidR="00000000" w:rsidRPr="00000000">
        <w:rPr>
          <w:rtl w:val="0"/>
        </w:rPr>
        <w:t xml:space="preserve">LSTM Architecture: Trend Prediction</w:t>
      </w:r>
    </w:p>
    <w:p w:rsidR="00000000" w:rsidDel="00000000" w:rsidP="00000000" w:rsidRDefault="00000000" w:rsidRPr="00000000" w14:paraId="00000036">
      <w:pPr>
        <w:rPr/>
      </w:pPr>
      <w:r w:rsidDel="00000000" w:rsidR="00000000" w:rsidRPr="00000000">
        <w:rPr>
          <w:rtl w:val="0"/>
        </w:rPr>
        <w:t xml:space="preserve">Architects must deploy a Long Short-Term Memory (LSTM) network to forecast monthly disease incidence.</w:t>
      </w:r>
    </w:p>
    <w:p w:rsidR="00000000" w:rsidDel="00000000" w:rsidP="00000000" w:rsidRDefault="00000000" w:rsidRPr="00000000" w14:paraId="00000037">
      <w:pPr>
        <w:numPr>
          <w:ilvl w:val="0"/>
          <w:numId w:val="4"/>
        </w:numPr>
        <w:ind w:left="720" w:hanging="360"/>
        <w:rPr>
          <w:u w:val="none"/>
        </w:rPr>
      </w:pPr>
      <w:r w:rsidDel="00000000" w:rsidR="00000000" w:rsidRPr="00000000">
        <w:rPr>
          <w:b w:val="1"/>
          <w:bCs w:val="1"/>
          <w:rtl w:val="0"/>
        </w:rPr>
        <w:t xml:space="preserve">Configuration:</w:t>
      </w:r>
      <w:r w:rsidDel="00000000" w:rsidR="00000000" w:rsidRPr="00000000">
        <w:rPr>
          <w:rtl w:val="0"/>
        </w:rPr>
        <w:t xml:space="preserve">  A sequential architecture featuring a 128-unit layer followed by a 64-unit layer, utilizing a Dropout rate of 0.2.</w:t>
      </w:r>
    </w:p>
    <w:p w:rsidR="00000000" w:rsidDel="00000000" w:rsidP="00000000" w:rsidRDefault="00000000" w:rsidRPr="00000000" w14:paraId="00000038">
      <w:pPr>
        <w:numPr>
          <w:ilvl w:val="0"/>
          <w:numId w:val="4"/>
        </w:numPr>
        <w:ind w:left="720" w:hanging="360"/>
        <w:rPr>
          <w:u w:val="none"/>
        </w:rPr>
      </w:pPr>
      <w:r w:rsidDel="00000000" w:rsidR="00000000" w:rsidRPr="00000000">
        <w:rPr>
          <w:b w:val="1"/>
          <w:bCs w:val="1"/>
          <w:rtl w:val="0"/>
        </w:rPr>
        <w:t xml:space="preserve">Optimization:</w:t>
      </w:r>
      <w:r w:rsidDel="00000000" w:rsidR="00000000" w:rsidRPr="00000000">
        <w:rPr>
          <w:rtl w:val="0"/>
        </w:rPr>
        <w:t xml:space="preserve">  Trained using the Adam optimizer with Mean Squared Error (MSE) loss.</w:t>
      </w:r>
    </w:p>
    <w:p w:rsidR="00000000" w:rsidDel="00000000" w:rsidP="00000000" w:rsidRDefault="00000000" w:rsidRPr="00000000" w14:paraId="00000039">
      <w:pPr>
        <w:numPr>
          <w:ilvl w:val="0"/>
          <w:numId w:val="4"/>
        </w:numPr>
        <w:ind w:left="720" w:hanging="360"/>
        <w:rPr>
          <w:u w:val="none"/>
        </w:rPr>
      </w:pPr>
      <w:r w:rsidDel="00000000" w:rsidR="00000000" w:rsidRPr="00000000">
        <w:rPr>
          <w:b w:val="1"/>
          <w:bCs w:val="1"/>
          <w:rtl w:val="0"/>
        </w:rPr>
        <w:t xml:space="preserve">Technical Logic:</w:t>
      </w:r>
      <w:r w:rsidDel="00000000" w:rsidR="00000000" w:rsidRPr="00000000">
        <w:rPr>
          <w:rtl w:val="0"/>
        </w:rPr>
        <w:t xml:space="preserve">  Forecasts the next 3-month disease incidence using a  </w:t>
      </w:r>
      <w:r w:rsidDel="00000000" w:rsidR="00000000" w:rsidRPr="00000000">
        <w:rPr>
          <w:b w:val="1"/>
          <w:bCs w:val="1"/>
          <w:rtl w:val="0"/>
        </w:rPr>
        <w:t xml:space="preserve">60-month look-back window</w:t>
      </w:r>
      <w:r w:rsidDel="00000000" w:rsidR="00000000" w:rsidRPr="00000000">
        <w:rPr>
          <w:rtl w:val="0"/>
        </w:rPr>
        <w:t xml:space="preserve"> .</w:t>
      </w:r>
    </w:p>
    <w:p w:rsidR="00000000" w:rsidDel="00000000" w:rsidP="00000000" w:rsidRDefault="00000000" w:rsidRPr="00000000" w14:paraId="0000003A">
      <w:pPr>
        <w:pStyle w:val="Heading5"/>
        <w:rPr/>
      </w:pPr>
      <w:bookmarkStart w:colFirst="0" w:colLast="0" w:name="_1mduzkufk6ha" w:id="14"/>
      <w:bookmarkEnd w:id="14"/>
      <w:r w:rsidDel="00000000" w:rsidR="00000000" w:rsidRPr="00000000">
        <w:rPr>
          <w:rtl w:val="0"/>
        </w:rPr>
        <w:t xml:space="preserve">XGBoost Architecture: Outbreak Risk Classification</w:t>
      </w:r>
    </w:p>
    <w:p w:rsidR="00000000" w:rsidDel="00000000" w:rsidP="00000000" w:rsidRDefault="00000000" w:rsidRPr="00000000" w14:paraId="0000003B">
      <w:pPr>
        <w:rPr/>
      </w:pPr>
      <w:r w:rsidDel="00000000" w:rsidR="00000000" w:rsidRPr="00000000">
        <w:rPr>
          <w:rtl w:val="0"/>
        </w:rPr>
        <w:t xml:space="preserve">The XGBoost model categorizes geographic regions into Low, Medium, or High risk levels.</w:t>
      </w:r>
    </w:p>
    <w:p w:rsidR="00000000" w:rsidDel="00000000" w:rsidP="00000000" w:rsidRDefault="00000000" w:rsidRPr="00000000" w14:paraId="0000003C">
      <w:pPr>
        <w:numPr>
          <w:ilvl w:val="0"/>
          <w:numId w:val="9"/>
        </w:numPr>
        <w:ind w:left="720" w:hanging="360"/>
        <w:rPr>
          <w:u w:val="none"/>
        </w:rPr>
      </w:pPr>
      <w:r w:rsidDel="00000000" w:rsidR="00000000" w:rsidRPr="00000000">
        <w:rPr>
          <w:b w:val="1"/>
          <w:bCs w:val="1"/>
          <w:rtl w:val="0"/>
        </w:rPr>
        <w:t xml:space="preserve">Configuration:</w:t>
      </w:r>
      <w:r w:rsidDel="00000000" w:rsidR="00000000" w:rsidRPr="00000000">
        <w:rPr>
          <w:rtl w:val="0"/>
        </w:rPr>
        <w:t xml:space="preserve">  200 estimators, max depth of 6, and a learning rate of 0.1.</w:t>
      </w:r>
    </w:p>
    <w:p w:rsidR="00000000" w:rsidDel="00000000" w:rsidP="00000000" w:rsidRDefault="00000000" w:rsidRPr="00000000" w14:paraId="0000003D">
      <w:pPr>
        <w:numPr>
          <w:ilvl w:val="0"/>
          <w:numId w:val="9"/>
        </w:numPr>
        <w:ind w:left="720" w:hanging="360"/>
        <w:rPr>
          <w:u w:val="none"/>
        </w:rPr>
      </w:pPr>
      <w:r w:rsidDel="00000000" w:rsidR="00000000" w:rsidRPr="00000000">
        <w:rPr>
          <w:b w:val="1"/>
          <w:bCs w:val="1"/>
          <w:rtl w:val="0"/>
        </w:rPr>
        <w:t xml:space="preserve">Regularization:</w:t>
      </w:r>
      <w:r w:rsidDel="00000000" w:rsidR="00000000" w:rsidRPr="00000000">
        <w:rPr>
          <w:rtl w:val="0"/>
        </w:rPr>
        <w:t xml:space="preserve">  Enforce L1 (alpha=0.5) and L2 (lambda=1.0) regularization to prevent overfitting.</w:t>
      </w:r>
    </w:p>
    <w:p w:rsidR="00000000" w:rsidDel="00000000" w:rsidP="00000000" w:rsidRDefault="00000000" w:rsidRPr="00000000" w14:paraId="0000003E">
      <w:pPr>
        <w:numPr>
          <w:ilvl w:val="0"/>
          <w:numId w:val="9"/>
        </w:numPr>
        <w:ind w:left="720" w:hanging="360"/>
        <w:rPr>
          <w:u w:val="none"/>
        </w:rPr>
      </w:pPr>
      <w:r w:rsidDel="00000000" w:rsidR="00000000" w:rsidRPr="00000000">
        <w:rPr>
          <w:b w:val="1"/>
          <w:bCs w:val="1"/>
          <w:rtl w:val="0"/>
        </w:rPr>
        <w:t xml:space="preserve">Actionable Output:</w:t>
      </w:r>
      <w:r w:rsidDel="00000000" w:rsidR="00000000" w:rsidRPr="00000000">
        <w:rPr>
          <w:rtl w:val="0"/>
        </w:rPr>
        <w:t xml:space="preserve">  Assigns a risk label and probability score per region based on features like vaccination coverage and incidence rates.</w:t>
      </w:r>
    </w:p>
    <w:p w:rsidR="00000000" w:rsidDel="00000000" w:rsidP="00000000" w:rsidRDefault="00000000" w:rsidRPr="00000000" w14:paraId="0000003F">
      <w:pPr>
        <w:pStyle w:val="Heading5"/>
        <w:rPr/>
      </w:pPr>
      <w:bookmarkStart w:colFirst="0" w:colLast="0" w:name="_kt7ib2k7ih85" w:id="15"/>
      <w:bookmarkEnd w:id="15"/>
      <w:r w:rsidDel="00000000" w:rsidR="00000000" w:rsidRPr="00000000">
        <w:rPr>
          <w:rtl w:val="0"/>
        </w:rPr>
        <w:t xml:space="preserve">Expected Performance Benchmarks</w:t>
      </w:r>
    </w:p>
    <w:p w:rsidR="00000000" w:rsidDel="00000000" w:rsidP="00000000" w:rsidRDefault="00000000" w:rsidRPr="00000000" w14:paraId="00000040">
      <w:pPr>
        <w:rPr/>
      </w:pPr>
      <w:r w:rsidDel="00000000" w:rsidR="00000000" w:rsidRPr="00000000">
        <w:rPr>
          <w:rtl w:val="0"/>
        </w:rPr>
        <w:t xml:space="preserve">Model,Metric,Target Performance</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LSTM (Trend Prediction),RMSE (Influenza),≤ 4.2 cases per 100K</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LSTM (Trend Prediction),MAPE,≤ 12% (Cross-disease)</w:t>
      </w:r>
    </w:p>
    <w:p w:rsidR="00000000" w:rsidDel="00000000" w:rsidP="00000000" w:rsidRDefault="00000000" w:rsidRPr="00000000" w14:paraId="00000043">
      <w:pPr>
        <w:rPr/>
      </w:pPr>
      <w:r w:rsidDel="00000000" w:rsidR="00000000" w:rsidRPr="00000000">
        <w:rPr>
          <w:rtl w:val="0"/>
        </w:rPr>
        <w:t xml:space="preserve">XGBoost (Risk Classification),Accuracy,92.4%</w:t>
      </w:r>
    </w:p>
    <w:p w:rsidR="00000000" w:rsidDel="00000000" w:rsidP="00000000" w:rsidRDefault="00000000" w:rsidRPr="00000000" w14:paraId="00000044">
      <w:pPr>
        <w:rPr/>
      </w:pPr>
      <w:r w:rsidDel="00000000" w:rsidR="00000000" w:rsidRPr="00000000">
        <w:rPr>
          <w:rtl w:val="0"/>
        </w:rPr>
        <w:t xml:space="preserve">XGBoost (Risk Classification),AUC-ROC,0.961</w:t>
      </w:r>
    </w:p>
    <w:p w:rsidR="00000000" w:rsidDel="00000000" w:rsidP="00000000" w:rsidRDefault="00000000" w:rsidRPr="00000000" w14:paraId="00000045">
      <w:pPr>
        <w:pStyle w:val="Heading4"/>
        <w:rPr/>
      </w:pPr>
      <w:bookmarkStart w:colFirst="0" w:colLast="0" w:name="_f203frno3nj" w:id="16"/>
      <w:bookmarkEnd w:id="16"/>
      <w:r w:rsidDel="00000000" w:rsidR="00000000" w:rsidRPr="00000000">
        <w:rPr>
          <w:rtl w:val="0"/>
        </w:rPr>
        <w:t xml:space="preserve">6. Implementation Roadmap, Evaluation, and Future Scope</w:t>
      </w:r>
    </w:p>
    <w:p w:rsidR="00000000" w:rsidDel="00000000" w:rsidP="00000000" w:rsidRDefault="00000000" w:rsidRPr="00000000" w14:paraId="00000046">
      <w:pPr>
        <w:rPr/>
      </w:pPr>
      <w:r w:rsidDel="00000000" w:rsidR="00000000" w:rsidRPr="00000000">
        <w:rPr>
          <w:rtl w:val="0"/>
        </w:rPr>
        <w:t xml:space="preserve">Phased rollout and continuous validation are mandatory in public health contexts. The architecture must be evaluated against real-world epidemiological outcomes.</w:t>
      </w:r>
    </w:p>
    <w:p w:rsidR="00000000" w:rsidDel="00000000" w:rsidP="00000000" w:rsidRDefault="00000000" w:rsidRPr="00000000" w14:paraId="00000047">
      <w:pPr>
        <w:pStyle w:val="Heading5"/>
        <w:rPr/>
      </w:pPr>
      <w:bookmarkStart w:colFirst="0" w:colLast="0" w:name="_s7s6aa4d0drd" w:id="17"/>
      <w:bookmarkEnd w:id="17"/>
      <w:r w:rsidDel="00000000" w:rsidR="00000000" w:rsidRPr="00000000">
        <w:rPr>
          <w:rtl w:val="0"/>
        </w:rPr>
        <w:t xml:space="preserve">Key Strategic Insights</w:t>
      </w:r>
    </w:p>
    <w:p w:rsidR="00000000" w:rsidDel="00000000" w:rsidP="00000000" w:rsidRDefault="00000000" w:rsidRPr="00000000" w14:paraId="00000048">
      <w:pPr>
        <w:rPr/>
      </w:pPr>
      <w:r w:rsidDel="00000000" w:rsidR="00000000" w:rsidRPr="00000000">
        <w:rPr>
          <w:rtl w:val="0"/>
        </w:rPr>
        <w:t xml:space="preserve">Validation of this architecture has confirmed several critical patterns:</w:t>
      </w:r>
    </w:p>
    <w:p w:rsidR="00000000" w:rsidDel="00000000" w:rsidP="00000000" w:rsidRDefault="00000000" w:rsidRPr="00000000" w14:paraId="00000049">
      <w:pPr>
        <w:numPr>
          <w:ilvl w:val="0"/>
          <w:numId w:val="10"/>
        </w:numPr>
        <w:ind w:left="720" w:hanging="360"/>
        <w:rPr>
          <w:u w:val="none"/>
        </w:rPr>
      </w:pPr>
      <w:r w:rsidDel="00000000" w:rsidR="00000000" w:rsidRPr="00000000">
        <w:rPr>
          <w:b w:val="1"/>
          <w:bCs w:val="1"/>
          <w:rtl w:val="0"/>
        </w:rPr>
        <w:t xml:space="preserve">Seasonal Dynamics:</w:t>
      </w:r>
      <w:r w:rsidDel="00000000" w:rsidR="00000000" w:rsidRPr="00000000">
        <w:rPr>
          <w:rtl w:val="0"/>
        </w:rPr>
        <w:t xml:space="preserve">  Winter accounts for 28% of all cases, validating the necessity of seasonal encoding in LSTM models.</w:t>
      </w:r>
    </w:p>
    <w:p w:rsidR="00000000" w:rsidDel="00000000" w:rsidP="00000000" w:rsidRDefault="00000000" w:rsidRPr="00000000" w14:paraId="0000004A">
      <w:pPr>
        <w:numPr>
          <w:ilvl w:val="0"/>
          <w:numId w:val="10"/>
        </w:numPr>
        <w:ind w:left="720" w:hanging="360"/>
        <w:rPr>
          <w:u w:val="none"/>
        </w:rPr>
      </w:pPr>
      <w:r w:rsidDel="00000000" w:rsidR="00000000" w:rsidRPr="00000000">
        <w:rPr>
          <w:b w:val="1"/>
          <w:bCs w:val="1"/>
          <w:rtl w:val="0"/>
        </w:rPr>
        <w:t xml:space="preserve">Vaccination Impact:</w:t>
      </w:r>
      <w:r w:rsidDel="00000000" w:rsidR="00000000" w:rsidRPr="00000000">
        <w:rPr>
          <w:rtl w:val="0"/>
        </w:rPr>
        <w:t xml:space="preserve">  A 30–40% reduction in CFR was observed in vaccinated cohorts, directly correlating coverage with outbreak control.</w:t>
      </w:r>
    </w:p>
    <w:p w:rsidR="00000000" w:rsidDel="00000000" w:rsidP="00000000" w:rsidRDefault="00000000" w:rsidRPr="00000000" w14:paraId="0000004B">
      <w:pPr>
        <w:numPr>
          <w:ilvl w:val="0"/>
          <w:numId w:val="10"/>
        </w:numPr>
        <w:ind w:left="720" w:hanging="360"/>
        <w:rPr>
          <w:u w:val="none"/>
        </w:rPr>
      </w:pPr>
      <w:r w:rsidDel="00000000" w:rsidR="00000000" w:rsidRPr="00000000">
        <w:rPr>
          <w:b w:val="1"/>
          <w:bCs w:val="1"/>
          <w:rtl w:val="0"/>
        </w:rPr>
        <w:t xml:space="preserve">Demographic Vulnerability:</w:t>
      </w:r>
      <w:r w:rsidDel="00000000" w:rsidR="00000000" w:rsidRPr="00000000">
        <w:rPr>
          <w:rtl w:val="0"/>
        </w:rPr>
        <w:t xml:space="preserve">  Mortality for the 65+ age group was found to be 3x higher, allowing for prioritized resource allocation.</w:t>
      </w:r>
    </w:p>
    <w:p w:rsidR="00000000" w:rsidDel="00000000" w:rsidP="00000000" w:rsidRDefault="00000000" w:rsidRPr="00000000" w14:paraId="0000004C">
      <w:pPr>
        <w:pStyle w:val="Heading5"/>
        <w:rPr/>
      </w:pPr>
      <w:bookmarkStart w:colFirst="0" w:colLast="0" w:name="_rp0hucpvbp85" w:id="18"/>
      <w:bookmarkEnd w:id="18"/>
      <w:r w:rsidDel="00000000" w:rsidR="00000000" w:rsidRPr="00000000">
        <w:rPr>
          <w:rtl w:val="0"/>
        </w:rPr>
        <w:t xml:space="preserve">Future Scope</w:t>
      </w:r>
    </w:p>
    <w:p w:rsidR="00000000" w:rsidDel="00000000" w:rsidP="00000000" w:rsidRDefault="00000000" w:rsidRPr="00000000" w14:paraId="0000004D">
      <w:pPr>
        <w:numPr>
          <w:ilvl w:val="0"/>
          <w:numId w:val="2"/>
        </w:numPr>
        <w:ind w:left="720" w:hanging="360"/>
        <w:rPr>
          <w:u w:val="none"/>
        </w:rPr>
      </w:pPr>
      <w:r w:rsidDel="00000000" w:rsidR="00000000" w:rsidRPr="00000000">
        <w:rPr>
          <w:b w:val="1"/>
          <w:bCs w:val="1"/>
          <w:rtl w:val="0"/>
        </w:rPr>
        <w:t xml:space="preserve">Real-Time Streaming:</w:t>
      </w:r>
      <w:r w:rsidDel="00000000" w:rsidR="00000000" w:rsidRPr="00000000">
        <w:rPr>
          <w:rtl w:val="0"/>
        </w:rPr>
        <w:t xml:space="preserve">  Integration of Apache Kafka for live ingestion of WHO and national API reports.</w:t>
      </w:r>
    </w:p>
    <w:p w:rsidR="00000000" w:rsidDel="00000000" w:rsidP="00000000" w:rsidRDefault="00000000" w:rsidRPr="00000000" w14:paraId="0000004E">
      <w:pPr>
        <w:numPr>
          <w:ilvl w:val="0"/>
          <w:numId w:val="2"/>
        </w:numPr>
        <w:ind w:left="720" w:hanging="360"/>
        <w:rPr>
          <w:u w:val="none"/>
        </w:rPr>
      </w:pPr>
      <w:r w:rsidDel="00000000" w:rsidR="00000000" w:rsidRPr="00000000">
        <w:rPr>
          <w:b w:val="1"/>
          <w:bCs w:val="1"/>
          <w:rtl w:val="0"/>
        </w:rPr>
        <w:t xml:space="preserve">Advanced Modeling:</w:t>
      </w:r>
      <w:r w:rsidDel="00000000" w:rsidR="00000000" w:rsidRPr="00000000">
        <w:rPr>
          <w:rtl w:val="0"/>
        </w:rPr>
        <w:t xml:space="preserve">  Implementation of Transformer-based forecasting for longer (6–12 month) horizons.</w:t>
      </w:r>
    </w:p>
    <w:p w:rsidR="00000000" w:rsidDel="00000000" w:rsidP="00000000" w:rsidRDefault="00000000" w:rsidRPr="00000000" w14:paraId="0000004F">
      <w:pPr>
        <w:numPr>
          <w:ilvl w:val="0"/>
          <w:numId w:val="2"/>
        </w:numPr>
        <w:ind w:left="720" w:hanging="360"/>
        <w:rPr>
          <w:u w:val="none"/>
        </w:rPr>
      </w:pPr>
      <w:r w:rsidDel="00000000" w:rsidR="00000000" w:rsidRPr="00000000">
        <w:rPr>
          <w:b w:val="1"/>
          <w:bCs w:val="1"/>
          <w:rtl w:val="0"/>
        </w:rPr>
        <w:t xml:space="preserve">Cloud Deployment:</w:t>
      </w:r>
      <w:r w:rsidDel="00000000" w:rsidR="00000000" w:rsidRPr="00000000">
        <w:rPr>
          <w:rtl w:val="0"/>
        </w:rPr>
        <w:t xml:space="preserve">  Migration to AWS (S3/Glue) or Azure (Data Lake/Databricks) for HIPAA-compliant, global scalability.</w:t>
      </w:r>
    </w:p>
    <w:p w:rsidR="00000000" w:rsidDel="00000000" w:rsidP="00000000" w:rsidRDefault="00000000" w:rsidRPr="00000000" w14:paraId="00000050">
      <w:pPr>
        <w:pStyle w:val="Heading5"/>
        <w:rPr/>
      </w:pPr>
      <w:bookmarkStart w:colFirst="0" w:colLast="0" w:name="_nlb5v2k55q0k" w:id="19"/>
      <w:bookmarkEnd w:id="19"/>
      <w:r w:rsidDel="00000000" w:rsidR="00000000" w:rsidRPr="00000000">
        <w:rPr>
          <w:rtl w:val="0"/>
        </w:rPr>
        <w:t xml:space="preserve">Implementation Timeline</w:t>
      </w:r>
    </w:p>
    <w:p w:rsidR="00000000" w:rsidDel="00000000" w:rsidP="00000000" w:rsidRDefault="00000000" w:rsidRPr="00000000" w14:paraId="00000051">
      <w:pPr>
        <w:rPr/>
      </w:pPr>
      <w:r w:rsidDel="00000000" w:rsidR="00000000" w:rsidRPr="00000000">
        <w:rPr>
          <w:rtl w:val="0"/>
        </w:rPr>
        <w:t xml:space="preserve">The deployment follows an 11-month strategic roadmap:</w:t>
      </w:r>
    </w:p>
    <w:p w:rsidR="00000000" w:rsidDel="00000000" w:rsidP="00000000" w:rsidRDefault="00000000" w:rsidRPr="00000000" w14:paraId="00000052">
      <w:pPr>
        <w:numPr>
          <w:ilvl w:val="0"/>
          <w:numId w:val="11"/>
        </w:numPr>
        <w:ind w:left="720" w:hanging="360"/>
        <w:rPr>
          <w:u w:val="none"/>
        </w:rPr>
      </w:pPr>
      <w:r w:rsidDel="00000000" w:rsidR="00000000" w:rsidRPr="00000000">
        <w:rPr>
          <w:b w:val="1"/>
          <w:bCs w:val="1"/>
          <w:rtl w:val="0"/>
        </w:rPr>
        <w:t xml:space="preserve">Months 1-2:</w:t>
      </w:r>
      <w:r w:rsidDel="00000000" w:rsidR="00000000" w:rsidRPr="00000000">
        <w:rPr>
          <w:rtl w:val="0"/>
        </w:rPr>
        <w:t xml:space="preserve">  Literature Review, Domain Study, and Multi-Source Collection.</w:t>
      </w:r>
    </w:p>
    <w:p w:rsidR="00000000" w:rsidDel="00000000" w:rsidP="00000000" w:rsidRDefault="00000000" w:rsidRPr="00000000" w14:paraId="00000053">
      <w:pPr>
        <w:numPr>
          <w:ilvl w:val="0"/>
          <w:numId w:val="11"/>
        </w:numPr>
        <w:ind w:left="720" w:hanging="360"/>
        <w:rPr>
          <w:u w:val="none"/>
        </w:rPr>
      </w:pPr>
      <w:r w:rsidDel="00000000" w:rsidR="00000000" w:rsidRPr="00000000">
        <w:rPr>
          <w:b w:val="1"/>
          <w:bCs w:val="1"/>
          <w:rtl w:val="0"/>
        </w:rPr>
        <w:t xml:space="preserve">Months 3-5:</w:t>
      </w:r>
      <w:r w:rsidDel="00000000" w:rsidR="00000000" w:rsidRPr="00000000">
        <w:rPr>
          <w:rtl w:val="0"/>
        </w:rPr>
        <w:t xml:space="preserve">  ETL Pipeline Development (Apache Airflow) and Medallion Tiering.</w:t>
      </w:r>
    </w:p>
    <w:p w:rsidR="00000000" w:rsidDel="00000000" w:rsidP="00000000" w:rsidRDefault="00000000" w:rsidRPr="00000000" w14:paraId="00000054">
      <w:pPr>
        <w:numPr>
          <w:ilvl w:val="0"/>
          <w:numId w:val="11"/>
        </w:numPr>
        <w:ind w:left="720" w:hanging="360"/>
        <w:rPr>
          <w:u w:val="none"/>
        </w:rPr>
      </w:pPr>
      <w:r w:rsidDel="00000000" w:rsidR="00000000" w:rsidRPr="00000000">
        <w:rPr>
          <w:b w:val="1"/>
          <w:bCs w:val="1"/>
          <w:rtl w:val="0"/>
        </w:rPr>
        <w:t xml:space="preserve">Months 6-7:</w:t>
      </w:r>
      <w:r w:rsidDel="00000000" w:rsidR="00000000" w:rsidRPr="00000000">
        <w:rPr>
          <w:rtl w:val="0"/>
        </w:rPr>
        <w:t xml:space="preserve">  AI/ML Model Training (LSTM/XGBoost) and Validation.</w:t>
      </w:r>
    </w:p>
    <w:p w:rsidR="00000000" w:rsidDel="00000000" w:rsidP="00000000" w:rsidRDefault="00000000" w:rsidRPr="00000000" w14:paraId="00000055">
      <w:pPr>
        <w:numPr>
          <w:ilvl w:val="0"/>
          <w:numId w:val="11"/>
        </w:numPr>
        <w:ind w:left="720" w:hanging="360"/>
        <w:rPr>
          <w:u w:val="none"/>
        </w:rPr>
      </w:pPr>
      <w:r w:rsidDel="00000000" w:rsidR="00000000" w:rsidRPr="00000000">
        <w:rPr>
          <w:b w:val="1"/>
          <w:bCs w:val="1"/>
          <w:rtl w:val="0"/>
        </w:rPr>
        <w:t xml:space="preserve">Months 8-9:</w:t>
      </w:r>
      <w:r w:rsidDel="00000000" w:rsidR="00000000" w:rsidRPr="00000000">
        <w:rPr>
          <w:rtl w:val="0"/>
        </w:rPr>
        <w:t xml:space="preserve">  Power BI/Plotly Dashboard Development and KPI Analysis.</w:t>
      </w:r>
    </w:p>
    <w:p w:rsidR="00000000" w:rsidDel="00000000" w:rsidP="00000000" w:rsidRDefault="00000000" w:rsidRPr="00000000" w14:paraId="00000056">
      <w:pPr>
        <w:numPr>
          <w:ilvl w:val="0"/>
          <w:numId w:val="11"/>
        </w:numPr>
        <w:ind w:left="720" w:hanging="360"/>
        <w:rPr>
          <w:u w:val="none"/>
        </w:rPr>
      </w:pPr>
      <w:r w:rsidDel="00000000" w:rsidR="00000000" w:rsidRPr="00000000">
        <w:rPr>
          <w:b w:val="1"/>
          <w:bCs w:val="1"/>
          <w:rtl w:val="0"/>
        </w:rPr>
        <w:t xml:space="preserve">Months 10-11:</w:t>
      </w:r>
      <w:r w:rsidDel="00000000" w:rsidR="00000000" w:rsidRPr="00000000">
        <w:rPr>
          <w:rtl w:val="0"/>
        </w:rPr>
        <w:t xml:space="preserve">  System Testing, Final Reporting, and Deployment.This blueprint serves as a standardized, scalable model for global health surveillance, bridging the gap between raw data collection and actionable epidemiological intelligence.</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