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B2A4A"/>
          <w:sz w:val="40"/>
          <w:szCs w:val="40"/>
        </w:rPr>
        <w:t xml:space="preserve">LA RAVEN GORDON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6D3B"/>
          <w:sz w:val="22"/>
          <w:szCs w:val="22"/>
        </w:rPr>
        <w:t xml:space="preserve">Enterprise AI Brain Specialist  •  LLM Refinement &amp; Business AI Brain Development</w:t>
      </w:r>
    </w:p>
    <w:p>
      <w:pPr>
        <w:spacing w:after="200"/>
      </w:pPr>
      <w:r>
        <w:rPr>
          <w:rFonts w:ascii="Calibri" w:cs="Calibri" w:eastAsia="Calibri" w:hAnsi="Calibri"/>
          <w:color w:val="3D4A5C"/>
          <w:sz w:val="18"/>
          <w:szCs w:val="18"/>
        </w:rPr>
        <w:t xml:space="preserve">Brooklyn, NY  |  (848) 269-7402  |  laraven.gordon@gmail.com  |  LinkedIn  |  GitHub</w:t>
      </w:r>
    </w:p>
    <w:p>
      <w:pPr>
        <w:pBdr>
          <w:bottom w:val="single" w:color="1B2A4A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B2A4A"/>
          <w:spacing w:val="20"/>
          <w:sz w:val="20"/>
          <w:szCs w:val="20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AI Brain Development Specialist working both sides of the same problem: teaching large language models to reason more reliably, and teaching businesses how to build and train their own AI systems well. Background spans 21+ confidential generative AI model training and evaluation engagements with leading AI labs and technology companies, covering RLHF and preference ranking, adversarial red-teaming, refusal and logic auditing, rubric architecture, and domain-specific fact-checking — the inside-the-machine work of teaching an LLM to think. Applies that same discipline to enterprise clients: assessing organizational foundations, closing the gaps that make AI integration fail, and building durable, well-trained AI systems rather than one-off prompts. Philosophy: AI is a tool and extension of human judgment, not a substitute for it.</w:t>
      </w:r>
    </w:p>
    <w:p>
      <w:pPr>
        <w:pBdr>
          <w:bottom w:val="single" w:color="1B2A4A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B2A4A"/>
          <w:spacing w:val="20"/>
          <w:sz w:val="20"/>
          <w:szCs w:val="20"/>
        </w:rPr>
        <w:t xml:space="preserve">CORE EXPERTISE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LLM Cognition &amp; Refinement: RLHF, preference ranking, adversarial red-teaming, refusal/logic auditing, rubric architecture, domain fact-checking — training models to reason, not just respond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AI/ML Engineering: LangChain, TensorFlow, PyTorch, Hugging Face, OpenAI API, Transformers, Generative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Business AI Brain Development: AI readiness assessment, foundation-building (SOPs, knowledge systems), frictionless AI integration, AI governance &amp; compliance (data privacy, copyright, emerging regulation)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Programming &amp; Tools: Python, SQL, REST APIs, Git, Jupyter, cloud platforms, Excel, data visualization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Scientific Domain Depth: Biochemistry, chemistry, plant biology, laboratory protocol, scientific validation</w:t>
      </w:r>
    </w:p>
    <w:p>
      <w:pPr>
        <w:pBdr>
          <w:bottom w:val="single" w:color="1B2A4A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B2A4A"/>
          <w:spacing w:val="20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Enterprise AI Brain Specialist</w:t>
      </w:r>
      <w:r>
        <w:rPr>
          <w:rFonts w:ascii="Calibri" w:cs="Calibri" w:eastAsia="Calibri" w:hAnsi="Calibri"/>
          <w:i/>
          <w:iCs/>
          <w:color w:val="3D4A5C"/>
          <w:sz w:val="20"/>
          <w:szCs w:val="20"/>
        </w:rPr>
        <w:t xml:space="preserve">   |  Freelance / Independent</w:t>
      </w:r>
      <w:r>
        <w:rPr>
          <w:rFonts w:ascii="Calibri" w:cs="Calibri" w:eastAsia="Calibri" w:hAnsi="Calibri"/>
          <w:color w:val="3D4A5C"/>
          <w:sz w:val="19"/>
          <w:szCs w:val="19"/>
        </w:rPr>
        <w:t xml:space="preserve">	Dec 2023 – Present · 2 yrs 8 mos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3D4A5C"/>
          <w:sz w:val="17"/>
          <w:szCs w:val="17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Partnered with leading AI labs and technology companies (details confidential/NDA) to train and refine large language models — designing evaluation frameworks that reduced response errors by 40%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Trained and evaluated LLMs (ChatGPT, Gemini, Deep AI) for scientific and enterprise applications, achieving 95% user satisfaction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Built data pipelines processing 10,000+ data points at 98% accuracy to support model validation and fact-checking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Developed ML pipelines and scientific tools bridging technical model capability with practical business use cases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Small Business AI Implementation Specialist</w:t>
      </w:r>
      <w:r>
        <w:rPr>
          <w:rFonts w:ascii="Calibri" w:cs="Calibri" w:eastAsia="Calibri" w:hAnsi="Calibri"/>
          <w:i/>
          <w:iCs/>
          <w:color w:val="3D4A5C"/>
          <w:sz w:val="20"/>
          <w:szCs w:val="20"/>
        </w:rPr>
        <w:t xml:space="preserve">   |  Freelance / Independent</w:t>
      </w:r>
      <w:r>
        <w:rPr>
          <w:rFonts w:ascii="Calibri" w:cs="Calibri" w:eastAsia="Calibri" w:hAnsi="Calibri"/>
          <w:color w:val="3D4A5C"/>
          <w:sz w:val="19"/>
          <w:szCs w:val="19"/>
        </w:rPr>
        <w:t xml:space="preserve">	Jun 2021 – Present · 5 yrs 2 mos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3D4A5C"/>
          <w:sz w:val="17"/>
          <w:szCs w:val="17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Led AI integration and automation projects for individuals and SMBs, prioritizing operational foundations before AI layer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Developed a client methodology — AI readiness assessment, fit assessment, discovery through reflective questioning, and foundation-building before AI integration — to ensure genuine, sustainable AI adoption rather than surface-level tooling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Field Sales Manager</w:t>
      </w:r>
      <w:r>
        <w:rPr>
          <w:rFonts w:ascii="Calibri" w:cs="Calibri" w:eastAsia="Calibri" w:hAnsi="Calibri"/>
          <w:i/>
          <w:iCs/>
          <w:color w:val="3D4A5C"/>
          <w:sz w:val="20"/>
          <w:szCs w:val="20"/>
        </w:rPr>
        <w:t xml:space="preserve">   |  Vector Marketing</w:t>
      </w:r>
      <w:r>
        <w:rPr>
          <w:rFonts w:ascii="Calibri" w:cs="Calibri" w:eastAsia="Calibri" w:hAnsi="Calibri"/>
          <w:color w:val="3D4A5C"/>
          <w:sz w:val="19"/>
          <w:szCs w:val="19"/>
        </w:rPr>
        <w:t xml:space="preserve">	Oct 2020 – Present · 5 yrs 10 mos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3D4A5C"/>
          <w:sz w:val="17"/>
          <w:szCs w:val="17"/>
        </w:rPr>
        <w:t xml:space="preserve">Essex County, New Jersey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Built SOPs and structured systems for field sales representatives — the same foundation-first, systems-thinking approach that now underlies the AI readiness methodology used with clients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Identified and qualified customer needs to design tailored sales strategies; negotiated contracts and closed profitable sales with accurate order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Implemented AI-supported customer service workflows and developed analytics dashboards and virtual training systems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Scheduled and conducted client appointments to demonstrate products effectively, maintaining high customer satisfaction while meeting individual and team sales goals</w:t>
      </w:r>
    </w:p>
    <w:p>
      <w:pPr>
        <w:tabs>
          <w:tab w:val="right" w:pos="9360"/>
        </w:tabs>
        <w:spacing w:after="0" w:before="16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Branch Manager</w:t>
      </w:r>
      <w:r>
        <w:rPr>
          <w:rFonts w:ascii="Calibri" w:cs="Calibri" w:eastAsia="Calibri" w:hAnsi="Calibri"/>
          <w:i/>
          <w:iCs/>
          <w:color w:val="3D4A5C"/>
          <w:sz w:val="20"/>
          <w:szCs w:val="20"/>
        </w:rPr>
        <w:t xml:space="preserve">   |  Vector Marketing</w:t>
      </w:r>
      <w:r>
        <w:rPr>
          <w:rFonts w:ascii="Calibri" w:cs="Calibri" w:eastAsia="Calibri" w:hAnsi="Calibri"/>
          <w:color w:val="3D4A5C"/>
          <w:sz w:val="19"/>
          <w:szCs w:val="19"/>
        </w:rPr>
        <w:t xml:space="preserve">	Apr 2022 – Oct 2022 · 7 mos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3D4A5C"/>
          <w:sz w:val="17"/>
          <w:szCs w:val="17"/>
        </w:rPr>
        <w:t xml:space="preserve">Union County, New Jersey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Interviewed, hired, trained, and coached 50+ sales representatives across field and office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Built SOPs and organizational/systems infrastructure to support leadership and staff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Developed public speaking, problem-solving, and leadership skills across the team; mentored representatives on career growth and professional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Monitored branch performance and implemented strategies to drive sales and operational efficiency</w:t>
      </w:r>
    </w:p>
    <w:p>
      <w:pPr>
        <w:pBdr>
          <w:bottom w:val="single" w:color="1B2A4A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B2A4A"/>
          <w:spacing w:val="20"/>
          <w:sz w:val="20"/>
          <w:szCs w:val="20"/>
        </w:rPr>
        <w:t xml:space="preserve">AI BRAIN DEVELOPMENT &amp; RESEARCH PROJECTS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Confidential LLM Training Engagements — Built training and validation frameworks for biochemistry/chemistry domain models on behalf of major AI labs and technology companies; enhanced domain knowledge accuracy by 40% (project names withheld under NDA)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Relocation Insights Application (GitHub) — Conversational AI with 95% user satisfaction using LangChain and Google Gen AI; integrated real-time multi-source data; scalable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Olympic Swimming Analysis (GitHub) — Forecasting and statistical modeling across 100+ years of Olympic data using Python, Pandas, Prophet, NumPy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Obesity Classification System (GitHub) — ML model analyzing health factors with high prediction accuracy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Banking Interface System (GitHub) — Secure transaction system with error handling and conversational flows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Indigenous Vegetables Research — Nutritional analysis, data pipelines, and educational materials (analytical chemistry, MS Excel)</w:t>
      </w:r>
    </w:p>
    <w:p>
      <w:pPr>
        <w:pBdr>
          <w:bottom w:val="single" w:color="1B2A4A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B2A4A"/>
          <w:spacing w:val="20"/>
          <w:sz w:val="20"/>
          <w:szCs w:val="20"/>
        </w:rPr>
        <w:t xml:space="preserve">EDUCATION &amp;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AI &amp; Machine Learning Certificate — Columbia Engineering, Jun 2024 – Dec 2024 (top of cohort)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B.S., Biochemistry — Rutgers University, 2016 – 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Vector Marketing President's Club; Leadership Academy Graduate</w:t>
      </w:r>
    </w:p>
    <w:p>
      <w:pPr>
        <w:pBdr>
          <w:bottom w:val="single" w:color="1B2A4A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B2A4A"/>
          <w:spacing w:val="20"/>
          <w:sz w:val="20"/>
          <w:szCs w:val="20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Scientific Domain Expert – LLMs  |  Joyce Family Scholarship  |  President's Club Inductee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Top 60 of 12,500 student employees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D4A5C"/>
          <w:sz w:val="20"/>
          <w:szCs w:val="20"/>
        </w:rPr>
        <w:t xml:space="preserve">Published research: Catnip Oils (2019), Environmental Impact (2018), Indigenous Vegetables (2022), Nutritional Analysis (2024)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2026-07-24T20:56:51.360Z</dcterms:created>
  <dcterms:modified xsi:type="dcterms:W3CDTF">2026-07-24T20:56:51.372Z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