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79"/>
          <w:sz w:val="52"/>
          <w:szCs w:val="52"/>
        </w:rPr>
        <w:t xml:space="preserve">Supervision &amp; CEU Tracker</w:t>
      </w:r>
    </w:p>
    <w:p>
      <w:pPr>
        <w:spacing w:after="40"/>
        <w:jc w:val="center"/>
      </w:pPr>
      <w:r>
        <w:rPr>
          <w:color w:val="555555"/>
          <w:sz w:val="30"/>
          <w:szCs w:val="30"/>
        </w:rPr>
        <w:t xml:space="preserve">for Mental Health Professionals</w:t>
      </w:r>
    </w:p>
    <w:p>
      <w:pPr>
        <w:spacing w:before="240"/>
        <w:jc w:val="center"/>
      </w:pPr>
      <w:r>
        <w:rPr>
          <w:b/>
          <w:bCs/>
          <w:sz w:val="28"/>
          <w:szCs w:val="28"/>
        </w:rPr>
        <w:t xml:space="preserve">Phase 2 — Architecture &amp; Technical Design</w:t>
      </w:r>
    </w:p>
    <w:p>
      <w:pPr>
        <w:jc w:val="center"/>
      </w:pPr>
      <w:r>
        <w:rPr>
          <w:i/>
          <w:iCs/>
          <w:color w:val="777777"/>
          <w:sz w:val="20"/>
          <w:szCs w:val="20"/>
        </w:rPr>
        <w:t xml:space="preserve">Draft for review · July 28, 2026</w:t>
      </w:r>
    </w:p>
    <w:p>
      <w:pPr>
        <w:spacing w:before="120"/>
        <w:jc w:val="center"/>
      </w:pPr>
      <w:r>
        <w:rPr>
          <w:color w:val="9C2A00"/>
          <w:sz w:val="19"/>
          <w:szCs w:val="19"/>
        </w:rPr>
        <w:t xml:space="preserve">Requires your approval of the recommended stack (§3) before Phase 3 build</w:t>
      </w:r>
    </w:p>
    <w:p>
      <w:r>
        <w:br w:type="page"/>
      </w:r>
    </w:p>
    <w:p>
      <w:pPr>
        <w:pStyle w:val="Heading1"/>
        <w:spacing w:after="120" w:before="280"/>
      </w:pPr>
      <w:r>
        <w:rPr>
          <w:b/>
          <w:bCs/>
          <w:color w:val="1F4E79"/>
        </w:rPr>
        <w:t xml:space="preserve">How to use this document</w:t>
      </w:r>
    </w:p>
    <w:p>
      <w:pPr>
        <w:spacing w:after="120" w:line="276"/>
      </w:pPr>
      <w:r>
        <w:t xml:space="preserve">This is the Phase 2 deliverable: the technical design for how we build the two editions. Still no application code. It defines the shared architecture, the recommended technology stack, and how each hard part (offline Lite, sign-off, billing, calendar, HIPAA posture) works.</w:t>
      </w:r>
    </w:p>
    <w:p>
      <w:pPr>
        <w:spacing w:after="120" w:line="276"/>
      </w:pPr>
      <w:r>
        <w:t xml:space="preserve">The one decision I actively need from you is in §3 — the recommended stack, including a choice between two desktop-app options for Lite. Everything else is a recommendation you can accept or push back on. Section 13 collects the decisions I need to lock before Phase 3.</w:t>
      </w:r>
    </w:p>
    <w:p>
      <w:pPr>
        <w:pStyle w:val="Heading1"/>
        <w:spacing w:after="120" w:before="280"/>
      </w:pPr>
      <w:r>
        <w:rPr>
          <w:b/>
          <w:bCs/>
          <w:color w:val="1F4E79"/>
        </w:rPr>
        <w:t xml:space="preserve">1. Guiding principles</w:t>
      </w:r>
    </w:p>
    <w:p>
      <w:pPr>
        <w:pStyle w:val="ListParagraph"/>
        <w:numPr>
          <w:ilvl w:val="0"/>
          <w:numId w:val="1"/>
        </w:numPr>
        <w:spacing w:after="60" w:line="264"/>
      </w:pPr>
      <w:r>
        <w:t xml:space="preserve">One core, two shells. All business logic — the rules-as-data engine, hour/CE calculations, progress math — lives in a single shared library used by both editions. Lite and Web differ only in where data is stored and whether the network exists.</w:t>
      </w:r>
    </w:p>
    <w:p>
      <w:pPr>
        <w:pStyle w:val="ListParagraph"/>
        <w:numPr>
          <w:ilvl w:val="0"/>
          <w:numId w:val="1"/>
        </w:numPr>
        <w:spacing w:after="60" w:line="264"/>
      </w:pPr>
      <w:r>
        <w:t xml:space="preserve">Offline-first Lite. Lite never requires a server. It runs, stores, calculates, reminds, and exports entirely on the user’s machine.</w:t>
      </w:r>
    </w:p>
    <w:p>
      <w:pPr>
        <w:pStyle w:val="ListParagraph"/>
        <w:numPr>
          <w:ilvl w:val="0"/>
          <w:numId w:val="1"/>
        </w:numPr>
        <w:spacing w:after="60" w:line="264"/>
      </w:pPr>
      <w:r>
        <w:t xml:space="preserve">PHI-minimizing by design. The app is architected so it does not need protected health information. This keeps the compliance burden low and is the single biggest risk-reducer for a small launch (see §11).</w:t>
      </w:r>
    </w:p>
    <w:p>
      <w:pPr>
        <w:pStyle w:val="ListParagraph"/>
        <w:numPr>
          <w:ilvl w:val="0"/>
          <w:numId w:val="1"/>
        </w:numPr>
        <w:spacing w:after="60" w:line="264"/>
      </w:pPr>
      <w:r>
        <w:t xml:space="preserve">Same look, both editions. One React UI renders in the browser (Web) and inside the desktop shell (Lite), so users get an identical experience and we maintain one front end.</w:t>
      </w:r>
    </w:p>
    <w:p>
      <w:pPr>
        <w:pStyle w:val="Heading1"/>
        <w:spacing w:after="120" w:before="280"/>
      </w:pPr>
      <w:r>
        <w:rPr>
          <w:b/>
          <w:bCs/>
          <w:color w:val="1F4E79"/>
        </w:rPr>
        <w:t xml:space="preserve">2. Architecture at a glance</w:t>
      </w:r>
    </w:p>
    <w:p>
      <w:pPr>
        <w:spacing w:after="120" w:line="276"/>
      </w:pPr>
      <w:r>
        <w:t xml:space="preserve">Three shared packages, two deployment targets: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1F4E79" w:color="auto" w:val="clear"/>
            <w:tcMar>
              <w:top w:type="dxa" w:w="60"/>
              <w:left w:type="dxa" w:w="90"/>
              <w:bottom w:type="dxa" w:w="60"/>
              <w:right w:type="dxa" w:w="90"/>
            </w:tcMar>
          </w:tcPr>
          <w:p>
            <w:pPr>
              <w:spacing w:after="20"/>
            </w:pPr>
            <w:r>
              <w:rPr>
                <w:b/>
                <w:bCs/>
                <w:color w:val="FFFFFF"/>
                <w:sz w:val="19"/>
                <w:szCs w:val="19"/>
              </w:rPr>
              <w:t xml:space="preserve">Layer</w:t>
            </w:r>
          </w:p>
        </w:tc>
        <w:tc>
          <w:tcPr>
            <w:tcW w:type="dxa" w:w="6760"/>
            <w:shd w:fill="1F4E79" w:color="auto" w:val="clear"/>
            <w:tcMar>
              <w:top w:type="dxa" w:w="60"/>
              <w:left w:type="dxa" w:w="90"/>
              <w:bottom w:type="dxa" w:w="60"/>
              <w:right w:type="dxa" w:w="90"/>
            </w:tcMar>
          </w:tcPr>
          <w:p>
            <w:pPr>
              <w:spacing w:after="20"/>
            </w:pPr>
            <w:r>
              <w:rPr>
                <w:b/>
                <w:bCs/>
                <w:color w:val="FFFFFF"/>
                <w:sz w:val="19"/>
                <w:szCs w:val="19"/>
              </w:rPr>
              <w:t xml:space="preserve">What it is</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core (shared)</w:t>
            </w:r>
          </w:p>
        </w:tc>
        <w:tc>
          <w:tcPr>
            <w:tcW w:type="dxa" w:w="6760"/>
            <w:tcMar>
              <w:top w:type="dxa" w:w="60"/>
              <w:left w:type="dxa" w:w="90"/>
              <w:bottom w:type="dxa" w:w="60"/>
              <w:right w:type="dxa" w:w="90"/>
            </w:tcMar>
          </w:tcPr>
          <w:p>
            <w:pPr>
              <w:spacing w:after="20"/>
            </w:pPr>
            <w:r>
              <w:rPr>
                <w:b w:val="false"/>
                <w:bCs w:val="false"/>
                <w:sz w:val="19"/>
                <w:szCs w:val="19"/>
              </w:rPr>
              <w:t xml:space="preserve">TypeScript library: domain models, the RequirementSet rules engine, progress/gap calculations, validation, export formatting. No UI, no database — pure logic. Unit-tested in isolation.</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ui (shared)</w:t>
            </w:r>
          </w:p>
        </w:tc>
        <w:tc>
          <w:tcPr>
            <w:tcW w:type="dxa" w:w="6760"/>
            <w:tcMar>
              <w:top w:type="dxa" w:w="60"/>
              <w:left w:type="dxa" w:w="90"/>
              <w:bottom w:type="dxa" w:w="60"/>
              <w:right w:type="dxa" w:w="90"/>
            </w:tcMar>
          </w:tcPr>
          <w:p>
            <w:pPr>
              <w:spacing w:after="20"/>
            </w:pPr>
            <w:r>
              <w:rPr>
                <w:b w:val="false"/>
                <w:bCs w:val="false"/>
                <w:sz w:val="19"/>
                <w:szCs w:val="19"/>
              </w:rPr>
              <w:t xml:space="preserve">React component library + screens. Talks to a “data adapter” interface, not directly to any database.</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Lite target</w:t>
            </w:r>
          </w:p>
        </w:tc>
        <w:tc>
          <w:tcPr>
            <w:tcW w:type="dxa" w:w="6760"/>
            <w:tcMar>
              <w:top w:type="dxa" w:w="60"/>
              <w:left w:type="dxa" w:w="90"/>
              <w:bottom w:type="dxa" w:w="60"/>
              <w:right w:type="dxa" w:w="90"/>
            </w:tcMar>
          </w:tcPr>
          <w:p>
            <w:pPr>
              <w:spacing w:after="20"/>
            </w:pPr>
            <w:r>
              <w:rPr>
                <w:b w:val="false"/>
                <w:bCs w:val="false"/>
                <w:sz w:val="19"/>
                <w:szCs w:val="19"/>
              </w:rPr>
              <w:t xml:space="preserve">Desktop app = ui + core + a local SQLite adapter, wrapped in a native shell. No network.</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Web target</w:t>
            </w:r>
          </w:p>
        </w:tc>
        <w:tc>
          <w:tcPr>
            <w:tcW w:type="dxa" w:w="6760"/>
            <w:tcMar>
              <w:top w:type="dxa" w:w="60"/>
              <w:left w:type="dxa" w:w="90"/>
              <w:bottom w:type="dxa" w:w="60"/>
              <w:right w:type="dxa" w:w="90"/>
            </w:tcMar>
          </w:tcPr>
          <w:p>
            <w:pPr>
              <w:spacing w:after="20"/>
            </w:pPr>
            <w:r>
              <w:rPr>
                <w:b w:val="false"/>
                <w:bCs w:val="false"/>
                <w:sz w:val="19"/>
                <w:szCs w:val="19"/>
              </w:rPr>
              <w:t xml:space="preserve">Next.js app = ui + core + a Postgres/API adapter, hosted on Railway. Adds auth, linking, billing, calendar, sign-off.</w:t>
            </w:r>
          </w:p>
        </w:tc>
      </w:tr>
    </w:tbl>
    <w:p>
      <w:pPr>
        <w:spacing w:after="120" w:line="276"/>
      </w:pPr>
      <w:r>
        <w:t xml:space="preserve"/>
      </w:r>
    </w:p>
    <w:p>
      <w:pPr>
        <w:pStyle w:val="ListParagraph"/>
        <w:numPr>
          <w:ilvl w:val="0"/>
          <w:numId w:val="1"/>
        </w:numPr>
        <w:spacing w:after="60" w:line="264"/>
      </w:pPr>
      <w:r>
        <w:rPr>
          <w:b/>
          <w:bCs/>
        </w:rPr>
        <w:t xml:space="preserve">The key idea: </w:t>
      </w:r>
      <w:r>
        <w:t xml:space="preserve">the same UI calls the same core through a small “data adapter” interface. Lite plugs in a local SQLite adapter; Web plugs in an API adapter. Adding a feature to the calculation engine improves both editions at once.</w:t>
      </w:r>
    </w:p>
    <w:p>
      <w:r>
        <w:br w:type="page"/>
      </w:r>
    </w:p>
    <w:p>
      <w:pPr>
        <w:pStyle w:val="Heading1"/>
        <w:spacing w:after="120" w:before="280"/>
      </w:pPr>
      <w:r>
        <w:rPr>
          <w:b/>
          <w:bCs/>
          <w:color w:val="1F4E79"/>
        </w:rPr>
        <w:t xml:space="preserve">3. Recommended technology stack  (needs your approval)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3100"/>
        <w:gridCol w:w="3760"/>
      </w:tblGrid>
      <w:tr>
        <w:trPr>
          <w:tblHeader/>
        </w:trPr>
        <w:tc>
          <w:tcPr>
            <w:tcW w:type="dxa" w:w="2500"/>
            <w:shd w:fill="1F4E79" w:color="auto" w:val="clear"/>
            <w:tcMar>
              <w:top w:type="dxa" w:w="60"/>
              <w:left w:type="dxa" w:w="90"/>
              <w:bottom w:type="dxa" w:w="60"/>
              <w:right w:type="dxa" w:w="90"/>
            </w:tcMar>
          </w:tcPr>
          <w:p>
            <w:pPr>
              <w:spacing w:after="20"/>
            </w:pPr>
            <w:r>
              <w:rPr>
                <w:b/>
                <w:bCs/>
                <w:color w:val="FFFFFF"/>
                <w:sz w:val="19"/>
                <w:szCs w:val="19"/>
              </w:rPr>
              <w:t xml:space="preserve">Area</w:t>
            </w:r>
          </w:p>
        </w:tc>
        <w:tc>
          <w:tcPr>
            <w:tcW w:type="dxa" w:w="3100"/>
            <w:shd w:fill="1F4E79" w:color="auto" w:val="clear"/>
            <w:tcMar>
              <w:top w:type="dxa" w:w="60"/>
              <w:left w:type="dxa" w:w="90"/>
              <w:bottom w:type="dxa" w:w="60"/>
              <w:right w:type="dxa" w:w="90"/>
            </w:tcMar>
          </w:tcPr>
          <w:p>
            <w:pPr>
              <w:spacing w:after="20"/>
            </w:pPr>
            <w:r>
              <w:rPr>
                <w:b/>
                <w:bCs/>
                <w:color w:val="FFFFFF"/>
                <w:sz w:val="19"/>
                <w:szCs w:val="19"/>
              </w:rPr>
              <w:t xml:space="preserve">Recommendation</w:t>
            </w:r>
          </w:p>
        </w:tc>
        <w:tc>
          <w:tcPr>
            <w:tcW w:type="dxa" w:w="3760"/>
            <w:shd w:fill="1F4E79" w:color="auto" w:val="clear"/>
            <w:tcMar>
              <w:top w:type="dxa" w:w="60"/>
              <w:left w:type="dxa" w:w="90"/>
              <w:bottom w:type="dxa" w:w="60"/>
              <w:right w:type="dxa" w:w="90"/>
            </w:tcMar>
          </w:tcPr>
          <w:p>
            <w:pPr>
              <w:spacing w:after="20"/>
            </w:pPr>
            <w:r>
              <w:rPr>
                <w:b/>
                <w:bCs/>
                <w:color w:val="FFFFFF"/>
                <w:sz w:val="19"/>
                <w:szCs w:val="19"/>
              </w:rPr>
              <w:t xml:space="preserve">Why</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Language</w:t>
            </w:r>
          </w:p>
        </w:tc>
        <w:tc>
          <w:tcPr>
            <w:tcW w:type="dxa" w:w="3100"/>
            <w:tcMar>
              <w:top w:type="dxa" w:w="60"/>
              <w:left w:type="dxa" w:w="90"/>
              <w:bottom w:type="dxa" w:w="60"/>
              <w:right w:type="dxa" w:w="90"/>
            </w:tcMar>
          </w:tcPr>
          <w:p>
            <w:pPr>
              <w:spacing w:after="20"/>
            </w:pPr>
            <w:r>
              <w:rPr>
                <w:b w:val="false"/>
                <w:bCs w:val="false"/>
                <w:sz w:val="18"/>
                <w:szCs w:val="18"/>
              </w:rPr>
              <w:t xml:space="preserve">TypeScript everywhere</w:t>
            </w:r>
          </w:p>
        </w:tc>
        <w:tc>
          <w:tcPr>
            <w:tcW w:type="dxa" w:w="3760"/>
            <w:tcMar>
              <w:top w:type="dxa" w:w="60"/>
              <w:left w:type="dxa" w:w="90"/>
              <w:bottom w:type="dxa" w:w="60"/>
              <w:right w:type="dxa" w:w="90"/>
            </w:tcMar>
          </w:tcPr>
          <w:p>
            <w:pPr>
              <w:spacing w:after="20"/>
            </w:pPr>
            <w:r>
              <w:rPr>
                <w:b w:val="false"/>
                <w:bCs w:val="false"/>
                <w:sz w:val="18"/>
                <w:szCs w:val="18"/>
              </w:rPr>
              <w:t xml:space="preserve">One language across core, UI, Lite, and Web = maximum reuse, one skill set.</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Shared UI</w:t>
            </w:r>
          </w:p>
        </w:tc>
        <w:tc>
          <w:tcPr>
            <w:tcW w:type="dxa" w:w="3100"/>
            <w:tcMar>
              <w:top w:type="dxa" w:w="60"/>
              <w:left w:type="dxa" w:w="90"/>
              <w:bottom w:type="dxa" w:w="60"/>
              <w:right w:type="dxa" w:w="90"/>
            </w:tcMar>
          </w:tcPr>
          <w:p>
            <w:pPr>
              <w:spacing w:after="20"/>
            </w:pPr>
            <w:r>
              <w:rPr>
                <w:b w:val="false"/>
                <w:bCs w:val="false"/>
                <w:sz w:val="18"/>
                <w:szCs w:val="18"/>
              </w:rPr>
              <w:t xml:space="preserve">React + Tailwind CSS</w:t>
            </w:r>
          </w:p>
        </w:tc>
        <w:tc>
          <w:tcPr>
            <w:tcW w:type="dxa" w:w="3760"/>
            <w:tcMar>
              <w:top w:type="dxa" w:w="60"/>
              <w:left w:type="dxa" w:w="90"/>
              <w:bottom w:type="dxa" w:w="60"/>
              <w:right w:type="dxa" w:w="90"/>
            </w:tcMar>
          </w:tcPr>
          <w:p>
            <w:pPr>
              <w:spacing w:after="20"/>
            </w:pPr>
            <w:r>
              <w:rPr>
                <w:b w:val="false"/>
                <w:bCs w:val="false"/>
                <w:sz w:val="18"/>
                <w:szCs w:val="18"/>
              </w:rPr>
              <w:t xml:space="preserve">Renders identically in browser and desktop shell; fast to build; I can deliver it.</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Web framework</w:t>
            </w:r>
          </w:p>
        </w:tc>
        <w:tc>
          <w:tcPr>
            <w:tcW w:type="dxa" w:w="3100"/>
            <w:tcMar>
              <w:top w:type="dxa" w:w="60"/>
              <w:left w:type="dxa" w:w="90"/>
              <w:bottom w:type="dxa" w:w="60"/>
              <w:right w:type="dxa" w:w="90"/>
            </w:tcMar>
          </w:tcPr>
          <w:p>
            <w:pPr>
              <w:spacing w:after="20"/>
            </w:pPr>
            <w:r>
              <w:rPr>
                <w:b w:val="false"/>
                <w:bCs w:val="false"/>
                <w:sz w:val="18"/>
                <w:szCs w:val="18"/>
              </w:rPr>
              <w:t xml:space="preserve">Next.js (React) on Node</w:t>
            </w:r>
          </w:p>
        </w:tc>
        <w:tc>
          <w:tcPr>
            <w:tcW w:type="dxa" w:w="3760"/>
            <w:tcMar>
              <w:top w:type="dxa" w:w="60"/>
              <w:left w:type="dxa" w:w="90"/>
              <w:bottom w:type="dxa" w:w="60"/>
              <w:right w:type="dxa" w:w="90"/>
            </w:tcMar>
          </w:tcPr>
          <w:p>
            <w:pPr>
              <w:spacing w:after="20"/>
            </w:pPr>
            <w:r>
              <w:rPr>
                <w:b w:val="false"/>
                <w:bCs w:val="false"/>
                <w:sz w:val="18"/>
                <w:szCs w:val="18"/>
              </w:rPr>
              <w:t xml:space="preserve">Full-stack in one app: UI + API. First-class on Railway. Server-side control for auth and PHI handling.</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Web database</w:t>
            </w:r>
          </w:p>
        </w:tc>
        <w:tc>
          <w:tcPr>
            <w:tcW w:type="dxa" w:w="3100"/>
            <w:tcMar>
              <w:top w:type="dxa" w:w="60"/>
              <w:left w:type="dxa" w:w="90"/>
              <w:bottom w:type="dxa" w:w="60"/>
              <w:right w:type="dxa" w:w="90"/>
            </w:tcMar>
          </w:tcPr>
          <w:p>
            <w:pPr>
              <w:spacing w:after="20"/>
            </w:pPr>
            <w:r>
              <w:rPr>
                <w:b w:val="false"/>
                <w:bCs w:val="false"/>
                <w:sz w:val="18"/>
                <w:szCs w:val="18"/>
              </w:rPr>
              <w:t xml:space="preserve">PostgreSQL (Railway) + Prisma ORM</w:t>
            </w:r>
          </w:p>
        </w:tc>
        <w:tc>
          <w:tcPr>
            <w:tcW w:type="dxa" w:w="3760"/>
            <w:tcMar>
              <w:top w:type="dxa" w:w="60"/>
              <w:left w:type="dxa" w:w="90"/>
              <w:bottom w:type="dxa" w:w="60"/>
              <w:right w:type="dxa" w:w="90"/>
            </w:tcMar>
          </w:tcPr>
          <w:p>
            <w:pPr>
              <w:spacing w:after="20"/>
            </w:pPr>
            <w:r>
              <w:rPr>
                <w:b w:val="false"/>
                <w:bCs w:val="false"/>
                <w:sz w:val="18"/>
                <w:szCs w:val="18"/>
              </w:rPr>
              <w:t xml:space="preserve">Managed on Railway; Prisma gives typed queries and clean migrations.</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Lite shell</w:t>
            </w:r>
          </w:p>
        </w:tc>
        <w:tc>
          <w:tcPr>
            <w:tcW w:type="dxa" w:w="3100"/>
            <w:tcMar>
              <w:top w:type="dxa" w:w="60"/>
              <w:left w:type="dxa" w:w="90"/>
              <w:bottom w:type="dxa" w:w="60"/>
              <w:right w:type="dxa" w:w="90"/>
            </w:tcMar>
          </w:tcPr>
          <w:p>
            <w:pPr>
              <w:spacing w:after="20"/>
            </w:pPr>
            <w:r>
              <w:rPr>
                <w:b w:val="false"/>
                <w:bCs w:val="false"/>
                <w:sz w:val="18"/>
                <w:szCs w:val="18"/>
              </w:rPr>
              <w:t xml:space="preserve">Tauri v2  (recommended)  —  or Electron</w:t>
            </w:r>
          </w:p>
        </w:tc>
        <w:tc>
          <w:tcPr>
            <w:tcW w:type="dxa" w:w="3760"/>
            <w:tcMar>
              <w:top w:type="dxa" w:w="60"/>
              <w:left w:type="dxa" w:w="90"/>
              <w:bottom w:type="dxa" w:w="60"/>
              <w:right w:type="dxa" w:w="90"/>
            </w:tcMar>
          </w:tcPr>
          <w:p>
            <w:pPr>
              <w:spacing w:after="20"/>
            </w:pPr>
            <w:r>
              <w:rPr>
                <w:b w:val="false"/>
                <w:bCs w:val="false"/>
                <w:sz w:val="18"/>
                <w:szCs w:val="18"/>
              </w:rPr>
              <w:t xml:space="preserve">Tauri: tiny installer, Rust-secured, same React UI. Electron: heavier but simpler if we hit friction. Your call — see 3.1.</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Lite database</w:t>
            </w:r>
          </w:p>
        </w:tc>
        <w:tc>
          <w:tcPr>
            <w:tcW w:type="dxa" w:w="3100"/>
            <w:tcMar>
              <w:top w:type="dxa" w:w="60"/>
              <w:left w:type="dxa" w:w="90"/>
              <w:bottom w:type="dxa" w:w="60"/>
              <w:right w:type="dxa" w:w="90"/>
            </w:tcMar>
          </w:tcPr>
          <w:p>
            <w:pPr>
              <w:spacing w:after="20"/>
            </w:pPr>
            <w:r>
              <w:rPr>
                <w:b w:val="false"/>
                <w:bCs w:val="false"/>
                <w:sz w:val="18"/>
                <w:szCs w:val="18"/>
              </w:rPr>
              <w:t xml:space="preserve">SQLite + SQLCipher (encrypted at rest)</w:t>
            </w:r>
          </w:p>
        </w:tc>
        <w:tc>
          <w:tcPr>
            <w:tcW w:type="dxa" w:w="3760"/>
            <w:tcMar>
              <w:top w:type="dxa" w:w="60"/>
              <w:left w:type="dxa" w:w="90"/>
              <w:bottom w:type="dxa" w:w="60"/>
              <w:right w:type="dxa" w:w="90"/>
            </w:tcMar>
          </w:tcPr>
          <w:p>
            <w:pPr>
              <w:spacing w:after="20"/>
            </w:pPr>
            <w:r>
              <w:rPr>
                <w:b w:val="false"/>
                <w:bCs w:val="false"/>
                <w:sz w:val="18"/>
                <w:szCs w:val="18"/>
              </w:rPr>
              <w:t xml:space="preserve">Zero-config local file DB; SQLCipher encrypts it so a lost laptop isn’t a breach.</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Auth (Web)</w:t>
            </w:r>
          </w:p>
        </w:tc>
        <w:tc>
          <w:tcPr>
            <w:tcW w:type="dxa" w:w="3100"/>
            <w:tcMar>
              <w:top w:type="dxa" w:w="60"/>
              <w:left w:type="dxa" w:w="90"/>
              <w:bottom w:type="dxa" w:w="60"/>
              <w:right w:type="dxa" w:w="90"/>
            </w:tcMar>
          </w:tcPr>
          <w:p>
            <w:pPr>
              <w:spacing w:after="20"/>
            </w:pPr>
            <w:r>
              <w:rPr>
                <w:b w:val="false"/>
                <w:bCs w:val="false"/>
                <w:sz w:val="18"/>
                <w:szCs w:val="18"/>
              </w:rPr>
              <w:t xml:space="preserve">Auth.js (self-hosted) + email/password + optional Google</w:t>
            </w:r>
          </w:p>
        </w:tc>
        <w:tc>
          <w:tcPr>
            <w:tcW w:type="dxa" w:w="3760"/>
            <w:tcMar>
              <w:top w:type="dxa" w:w="60"/>
              <w:left w:type="dxa" w:w="90"/>
              <w:bottom w:type="dxa" w:w="60"/>
              <w:right w:type="dxa" w:w="90"/>
            </w:tcMar>
          </w:tcPr>
          <w:p>
            <w:pPr>
              <w:spacing w:after="20"/>
            </w:pPr>
            <w:r>
              <w:rPr>
                <w:b w:val="false"/>
                <w:bCs w:val="false"/>
                <w:sz w:val="18"/>
                <w:szCs w:val="18"/>
              </w:rPr>
              <w:t xml:space="preserve">Self-hosted avoids adding another vendor/BAA; we control where identity data lives.</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Billing</w:t>
            </w:r>
          </w:p>
        </w:tc>
        <w:tc>
          <w:tcPr>
            <w:tcW w:type="dxa" w:w="3100"/>
            <w:tcMar>
              <w:top w:type="dxa" w:w="60"/>
              <w:left w:type="dxa" w:w="90"/>
              <w:bottom w:type="dxa" w:w="60"/>
              <w:right w:type="dxa" w:w="90"/>
            </w:tcMar>
          </w:tcPr>
          <w:p>
            <w:pPr>
              <w:spacing w:after="20"/>
            </w:pPr>
            <w:r>
              <w:rPr>
                <w:b w:val="false"/>
                <w:bCs w:val="false"/>
                <w:sz w:val="18"/>
                <w:szCs w:val="18"/>
              </w:rPr>
              <w:t xml:space="preserve">Stripe</w:t>
            </w:r>
          </w:p>
        </w:tc>
        <w:tc>
          <w:tcPr>
            <w:tcW w:type="dxa" w:w="3760"/>
            <w:tcMar>
              <w:top w:type="dxa" w:w="60"/>
              <w:left w:type="dxa" w:w="90"/>
              <w:bottom w:type="dxa" w:w="60"/>
              <w:right w:type="dxa" w:w="90"/>
            </w:tcMar>
          </w:tcPr>
          <w:p>
            <w:pPr>
              <w:spacing w:after="20"/>
            </w:pPr>
            <w:r>
              <w:rPr>
                <w:b w:val="false"/>
                <w:bCs w:val="false"/>
                <w:sz w:val="18"/>
                <w:szCs w:val="18"/>
              </w:rPr>
              <w:t xml:space="preserve">Payment Links/Checkout for Lite one-time license keys; Billing/subscriptions for Web.</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Calendar</w:t>
            </w:r>
          </w:p>
        </w:tc>
        <w:tc>
          <w:tcPr>
            <w:tcW w:type="dxa" w:w="3100"/>
            <w:tcMar>
              <w:top w:type="dxa" w:w="60"/>
              <w:left w:type="dxa" w:w="90"/>
              <w:bottom w:type="dxa" w:w="60"/>
              <w:right w:type="dxa" w:w="90"/>
            </w:tcMar>
          </w:tcPr>
          <w:p>
            <w:pPr>
              <w:spacing w:after="20"/>
            </w:pPr>
            <w:r>
              <w:rPr>
                <w:b w:val="false"/>
                <w:bCs w:val="false"/>
                <w:sz w:val="18"/>
                <w:szCs w:val="18"/>
              </w:rPr>
              <w:t xml:space="preserve">Google Calendar API + Microsoft Graph (read-only OAuth)</w:t>
            </w:r>
          </w:p>
        </w:tc>
        <w:tc>
          <w:tcPr>
            <w:tcW w:type="dxa" w:w="3760"/>
            <w:tcMar>
              <w:top w:type="dxa" w:w="60"/>
              <w:left w:type="dxa" w:w="90"/>
              <w:bottom w:type="dxa" w:w="60"/>
              <w:right w:type="dxa" w:w="90"/>
            </w:tcMar>
          </w:tcPr>
          <w:p>
            <w:pPr>
              <w:spacing w:after="20"/>
            </w:pPr>
            <w:r>
              <w:rPr>
                <w:b w:val="false"/>
                <w:bCs w:val="false"/>
                <w:sz w:val="18"/>
                <w:szCs w:val="18"/>
              </w:rPr>
              <w:t xml:space="preserve">Standard, read-only scopes only; least-privilege.</w:t>
            </w:r>
          </w:p>
        </w:tc>
      </w:tr>
      <w:tr>
        <w:tc>
          <w:tcPr>
            <w:tcW w:type="dxa" w:w="2500"/>
            <w:shd w:fill="F2F2F2" w:color="auto" w:val="clear"/>
            <w:tcMar>
              <w:top w:type="dxa" w:w="60"/>
              <w:left w:type="dxa" w:w="90"/>
              <w:bottom w:type="dxa" w:w="60"/>
              <w:right w:type="dxa" w:w="90"/>
            </w:tcMar>
          </w:tcPr>
          <w:p>
            <w:pPr>
              <w:spacing w:after="20"/>
            </w:pPr>
            <w:r>
              <w:rPr>
                <w:b/>
                <w:bCs/>
                <w:sz w:val="18"/>
                <w:szCs w:val="18"/>
              </w:rPr>
              <w:t xml:space="preserve">Hosting</w:t>
            </w:r>
          </w:p>
        </w:tc>
        <w:tc>
          <w:tcPr>
            <w:tcW w:type="dxa" w:w="3100"/>
            <w:tcMar>
              <w:top w:type="dxa" w:w="60"/>
              <w:left w:type="dxa" w:w="90"/>
              <w:bottom w:type="dxa" w:w="60"/>
              <w:right w:type="dxa" w:w="90"/>
            </w:tcMar>
          </w:tcPr>
          <w:p>
            <w:pPr>
              <w:spacing w:after="20"/>
            </w:pPr>
            <w:r>
              <w:rPr>
                <w:b w:val="false"/>
                <w:bCs w:val="false"/>
                <w:sz w:val="18"/>
                <w:szCs w:val="18"/>
              </w:rPr>
              <w:t xml:space="preserve">Railway (Web only)</w:t>
            </w:r>
          </w:p>
        </w:tc>
        <w:tc>
          <w:tcPr>
            <w:tcW w:type="dxa" w:w="3760"/>
            <w:tcMar>
              <w:top w:type="dxa" w:w="60"/>
              <w:left w:type="dxa" w:w="90"/>
              <w:bottom w:type="dxa" w:w="60"/>
              <w:right w:type="dxa" w:w="90"/>
            </w:tcMar>
          </w:tcPr>
          <w:p>
            <w:pPr>
              <w:spacing w:after="20"/>
            </w:pPr>
            <w:r>
              <w:rPr>
                <w:b w:val="false"/>
                <w:bCs w:val="false"/>
                <w:sz w:val="18"/>
                <w:szCs w:val="18"/>
              </w:rPr>
              <w:t xml:space="preserve">Your chosen platform; Postgres, deploys, SOC 2 Type II, HIPAA BAA available as enterprise add-on.</w:t>
            </w:r>
          </w:p>
        </w:tc>
      </w:tr>
    </w:tbl>
    <w:p>
      <w:pPr>
        <w:spacing w:after="120" w:line="276"/>
      </w:pPr>
      <w:r>
        <w:t xml:space="preserve"/>
      </w:r>
    </w:p>
    <w:p>
      <w:pPr>
        <w:pStyle w:val="Heading3"/>
        <w:spacing w:after="60" w:before="160"/>
      </w:pPr>
      <w:r>
        <w:rPr>
          <w:b/>
          <w:bCs/>
          <w:color w:val="333333"/>
        </w:rPr>
        <w:t xml:space="preserve">3.1 The one choice I need: Lite desktop shell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3510"/>
        <w:gridCol w:w="3510"/>
      </w:tblGrid>
      <w:tr>
        <w:trPr>
          <w:tblHeader/>
        </w:trPr>
        <w:tc>
          <w:tcPr>
            <w:tcW w:type="dxa" w:w="2340"/>
            <w:shd w:fill="1F4E79" w:color="auto" w:val="clear"/>
            <w:tcMar>
              <w:top w:type="dxa" w:w="60"/>
              <w:left w:type="dxa" w:w="90"/>
              <w:bottom w:type="dxa" w:w="60"/>
              <w:right w:type="dxa" w:w="90"/>
            </w:tcMar>
          </w:tcPr>
          <w:p>
            <w:pPr>
              <w:spacing w:after="20"/>
            </w:pPr>
            <w:r>
              <w:rPr>
                <w:b/>
                <w:bCs/>
                <w:color w:val="FFFFFF"/>
                <w:sz w:val="19"/>
                <w:szCs w:val="19"/>
              </w:rPr>
              <w:t xml:space="preserve"/>
            </w:r>
          </w:p>
        </w:tc>
        <w:tc>
          <w:tcPr>
            <w:tcW w:type="dxa" w:w="3510"/>
            <w:shd w:fill="1F4E79" w:color="auto" w:val="clear"/>
            <w:tcMar>
              <w:top w:type="dxa" w:w="60"/>
              <w:left w:type="dxa" w:w="90"/>
              <w:bottom w:type="dxa" w:w="60"/>
              <w:right w:type="dxa" w:w="90"/>
            </w:tcMar>
          </w:tcPr>
          <w:p>
            <w:pPr>
              <w:spacing w:after="20"/>
            </w:pPr>
            <w:r>
              <w:rPr>
                <w:b/>
                <w:bCs/>
                <w:color w:val="FFFFFF"/>
                <w:sz w:val="19"/>
                <w:szCs w:val="19"/>
              </w:rPr>
              <w:t xml:space="preserve">Tauri v2 (recommended)</w:t>
            </w:r>
          </w:p>
        </w:tc>
        <w:tc>
          <w:tcPr>
            <w:tcW w:type="dxa" w:w="3510"/>
            <w:shd w:fill="1F4E79" w:color="auto" w:val="clear"/>
            <w:tcMar>
              <w:top w:type="dxa" w:w="60"/>
              <w:left w:type="dxa" w:w="90"/>
              <w:bottom w:type="dxa" w:w="60"/>
              <w:right w:type="dxa" w:w="90"/>
            </w:tcMar>
          </w:tcPr>
          <w:p>
            <w:pPr>
              <w:spacing w:after="20"/>
            </w:pPr>
            <w:r>
              <w:rPr>
                <w:b/>
                <w:bCs/>
                <w:color w:val="FFFFFF"/>
                <w:sz w:val="19"/>
                <w:szCs w:val="19"/>
              </w:rPr>
              <w:t xml:space="preserve">Electron</w:t>
            </w:r>
          </w:p>
        </w:tc>
      </w:tr>
      <w:tr>
        <w:tc>
          <w:tcPr>
            <w:tcW w:type="dxa" w:w="2340"/>
            <w:shd w:fill="F2F2F2" w:color="auto" w:val="clear"/>
            <w:tcMar>
              <w:top w:type="dxa" w:w="60"/>
              <w:left w:type="dxa" w:w="90"/>
              <w:bottom w:type="dxa" w:w="60"/>
              <w:right w:type="dxa" w:w="90"/>
            </w:tcMar>
          </w:tcPr>
          <w:p>
            <w:pPr>
              <w:spacing w:after="20"/>
            </w:pPr>
            <w:r>
              <w:rPr>
                <w:b/>
                <w:bCs/>
                <w:sz w:val="18"/>
                <w:szCs w:val="18"/>
              </w:rPr>
              <w:t xml:space="preserve">Installer size</w:t>
            </w:r>
          </w:p>
        </w:tc>
        <w:tc>
          <w:tcPr>
            <w:tcW w:type="dxa" w:w="3510"/>
            <w:tcMar>
              <w:top w:type="dxa" w:w="60"/>
              <w:left w:type="dxa" w:w="90"/>
              <w:bottom w:type="dxa" w:w="60"/>
              <w:right w:type="dxa" w:w="90"/>
            </w:tcMar>
          </w:tcPr>
          <w:p>
            <w:pPr>
              <w:spacing w:after="20"/>
            </w:pPr>
            <w:r>
              <w:rPr>
                <w:b w:val="false"/>
                <w:bCs w:val="false"/>
                <w:sz w:val="18"/>
                <w:szCs w:val="18"/>
              </w:rPr>
              <w:t xml:space="preserve">~5–15 MB</w:t>
            </w:r>
          </w:p>
        </w:tc>
        <w:tc>
          <w:tcPr>
            <w:tcW w:type="dxa" w:w="3510"/>
            <w:tcMar>
              <w:top w:type="dxa" w:w="60"/>
              <w:left w:type="dxa" w:w="90"/>
              <w:bottom w:type="dxa" w:w="60"/>
              <w:right w:type="dxa" w:w="90"/>
            </w:tcMar>
          </w:tcPr>
          <w:p>
            <w:pPr>
              <w:spacing w:after="20"/>
            </w:pPr>
            <w:r>
              <w:rPr>
                <w:b w:val="false"/>
                <w:bCs w:val="false"/>
                <w:sz w:val="18"/>
                <w:szCs w:val="18"/>
              </w:rPr>
              <w:t xml:space="preserve">~85–150 MB</w:t>
            </w:r>
          </w:p>
        </w:tc>
      </w:tr>
      <w:tr>
        <w:tc>
          <w:tcPr>
            <w:tcW w:type="dxa" w:w="2340"/>
            <w:shd w:fill="F2F2F2" w:color="auto" w:val="clear"/>
            <w:tcMar>
              <w:top w:type="dxa" w:w="60"/>
              <w:left w:type="dxa" w:w="90"/>
              <w:bottom w:type="dxa" w:w="60"/>
              <w:right w:type="dxa" w:w="90"/>
            </w:tcMar>
          </w:tcPr>
          <w:p>
            <w:pPr>
              <w:spacing w:after="20"/>
            </w:pPr>
            <w:r>
              <w:rPr>
                <w:b/>
                <w:bCs/>
                <w:sz w:val="18"/>
                <w:szCs w:val="18"/>
              </w:rPr>
              <w:t xml:space="preserve">Security</w:t>
            </w:r>
          </w:p>
        </w:tc>
        <w:tc>
          <w:tcPr>
            <w:tcW w:type="dxa" w:w="3510"/>
            <w:tcMar>
              <w:top w:type="dxa" w:w="60"/>
              <w:left w:type="dxa" w:w="90"/>
              <w:bottom w:type="dxa" w:w="60"/>
              <w:right w:type="dxa" w:w="90"/>
            </w:tcMar>
          </w:tcPr>
          <w:p>
            <w:pPr>
              <w:spacing w:after="20"/>
            </w:pPr>
            <w:r>
              <w:rPr>
                <w:b w:val="false"/>
                <w:bCs w:val="false"/>
                <w:sz w:val="18"/>
                <w:szCs w:val="18"/>
              </w:rPr>
              <w:t xml:space="preserve">Rust core, tighter sandbox</w:t>
            </w:r>
          </w:p>
        </w:tc>
        <w:tc>
          <w:tcPr>
            <w:tcW w:type="dxa" w:w="3510"/>
            <w:tcMar>
              <w:top w:type="dxa" w:w="60"/>
              <w:left w:type="dxa" w:w="90"/>
              <w:bottom w:type="dxa" w:w="60"/>
              <w:right w:type="dxa" w:w="90"/>
            </w:tcMar>
          </w:tcPr>
          <w:p>
            <w:pPr>
              <w:spacing w:after="20"/>
            </w:pPr>
            <w:r>
              <w:rPr>
                <w:b w:val="false"/>
                <w:bCs w:val="false"/>
                <w:sz w:val="18"/>
                <w:szCs w:val="18"/>
              </w:rPr>
              <w:t xml:space="preserve">Bundles full Chromium+Node</w:t>
            </w:r>
          </w:p>
        </w:tc>
      </w:tr>
      <w:tr>
        <w:tc>
          <w:tcPr>
            <w:tcW w:type="dxa" w:w="2340"/>
            <w:shd w:fill="F2F2F2" w:color="auto" w:val="clear"/>
            <w:tcMar>
              <w:top w:type="dxa" w:w="60"/>
              <w:left w:type="dxa" w:w="90"/>
              <w:bottom w:type="dxa" w:w="60"/>
              <w:right w:type="dxa" w:w="90"/>
            </w:tcMar>
          </w:tcPr>
          <w:p>
            <w:pPr>
              <w:spacing w:after="20"/>
            </w:pPr>
            <w:r>
              <w:rPr>
                <w:b/>
                <w:bCs/>
                <w:sz w:val="18"/>
                <w:szCs w:val="18"/>
              </w:rPr>
              <w:t xml:space="preserve">Code reuse</w:t>
            </w:r>
          </w:p>
        </w:tc>
        <w:tc>
          <w:tcPr>
            <w:tcW w:type="dxa" w:w="3510"/>
            <w:tcMar>
              <w:top w:type="dxa" w:w="60"/>
              <w:left w:type="dxa" w:w="90"/>
              <w:bottom w:type="dxa" w:w="60"/>
              <w:right w:type="dxa" w:w="90"/>
            </w:tcMar>
          </w:tcPr>
          <w:p>
            <w:pPr>
              <w:spacing w:after="20"/>
            </w:pPr>
            <w:r>
              <w:rPr>
                <w:b w:val="false"/>
                <w:bCs w:val="false"/>
                <w:sz w:val="18"/>
                <w:szCs w:val="18"/>
              </w:rPr>
              <w:t xml:space="preserve">Same React UI; native bits in Rust</w:t>
            </w:r>
          </w:p>
        </w:tc>
        <w:tc>
          <w:tcPr>
            <w:tcW w:type="dxa" w:w="3510"/>
            <w:tcMar>
              <w:top w:type="dxa" w:w="60"/>
              <w:left w:type="dxa" w:w="90"/>
              <w:bottom w:type="dxa" w:w="60"/>
              <w:right w:type="dxa" w:w="90"/>
            </w:tcMar>
          </w:tcPr>
          <w:p>
            <w:pPr>
              <w:spacing w:after="20"/>
            </w:pPr>
            <w:r>
              <w:rPr>
                <w:b w:val="false"/>
                <w:bCs w:val="false"/>
                <w:sz w:val="18"/>
                <w:szCs w:val="18"/>
              </w:rPr>
              <w:t xml:space="preserve">Same React UI; native bits in Node (shares more with our TS)</w:t>
            </w:r>
          </w:p>
        </w:tc>
      </w:tr>
      <w:tr>
        <w:tc>
          <w:tcPr>
            <w:tcW w:type="dxa" w:w="2340"/>
            <w:shd w:fill="F2F2F2" w:color="auto" w:val="clear"/>
            <w:tcMar>
              <w:top w:type="dxa" w:w="60"/>
              <w:left w:type="dxa" w:w="90"/>
              <w:bottom w:type="dxa" w:w="60"/>
              <w:right w:type="dxa" w:w="90"/>
            </w:tcMar>
          </w:tcPr>
          <w:p>
            <w:pPr>
              <w:spacing w:after="20"/>
            </w:pPr>
            <w:r>
              <w:rPr>
                <w:b/>
                <w:bCs/>
                <w:sz w:val="18"/>
                <w:szCs w:val="18"/>
              </w:rPr>
              <w:t xml:space="preserve">Risk</w:t>
            </w:r>
          </w:p>
        </w:tc>
        <w:tc>
          <w:tcPr>
            <w:tcW w:type="dxa" w:w="3510"/>
            <w:tcMar>
              <w:top w:type="dxa" w:w="60"/>
              <w:left w:type="dxa" w:w="90"/>
              <w:bottom w:type="dxa" w:w="60"/>
              <w:right w:type="dxa" w:w="90"/>
            </w:tcMar>
          </w:tcPr>
          <w:p>
            <w:pPr>
              <w:spacing w:after="20"/>
            </w:pPr>
            <w:r>
              <w:rPr>
                <w:b w:val="false"/>
                <w:bCs w:val="false"/>
                <w:sz w:val="18"/>
                <w:szCs w:val="18"/>
              </w:rPr>
              <w:t xml:space="preserve">Newer; occasional native edge cases</w:t>
            </w:r>
          </w:p>
        </w:tc>
        <w:tc>
          <w:tcPr>
            <w:tcW w:type="dxa" w:w="3510"/>
            <w:tcMar>
              <w:top w:type="dxa" w:w="60"/>
              <w:left w:type="dxa" w:w="90"/>
              <w:bottom w:type="dxa" w:w="60"/>
              <w:right w:type="dxa" w:w="90"/>
            </w:tcMar>
          </w:tcPr>
          <w:p>
            <w:pPr>
              <w:spacing w:after="20"/>
            </w:pPr>
            <w:r>
              <w:rPr>
                <w:b w:val="false"/>
                <w:bCs w:val="false"/>
                <w:sz w:val="18"/>
                <w:szCs w:val="18"/>
              </w:rPr>
              <w:t xml:space="preserve">Very mature, huge ecosystem</w:t>
            </w:r>
          </w:p>
        </w:tc>
      </w:tr>
      <w:tr>
        <w:tc>
          <w:tcPr>
            <w:tcW w:type="dxa" w:w="2340"/>
            <w:shd w:fill="F2F2F2" w:color="auto" w:val="clear"/>
            <w:tcMar>
              <w:top w:type="dxa" w:w="60"/>
              <w:left w:type="dxa" w:w="90"/>
              <w:bottom w:type="dxa" w:w="60"/>
              <w:right w:type="dxa" w:w="90"/>
            </w:tcMar>
          </w:tcPr>
          <w:p>
            <w:pPr>
              <w:spacing w:after="20"/>
            </w:pPr>
            <w:r>
              <w:rPr>
                <w:b/>
                <w:bCs/>
                <w:sz w:val="18"/>
                <w:szCs w:val="18"/>
              </w:rPr>
              <w:t xml:space="preserve">My take</w:t>
            </w:r>
          </w:p>
        </w:tc>
        <w:tc>
          <w:tcPr>
            <w:tcW w:type="dxa" w:w="3510"/>
            <w:shd w:fill="E2EFDA" w:color="auto" w:val="clear"/>
            <w:tcMar>
              <w:top w:type="dxa" w:w="60"/>
              <w:left w:type="dxa" w:w="90"/>
              <w:bottom w:type="dxa" w:w="60"/>
              <w:right w:type="dxa" w:w="90"/>
            </w:tcMar>
          </w:tcPr>
          <w:p>
            <w:pPr>
              <w:spacing w:after="20"/>
            </w:pPr>
            <w:r>
              <w:rPr>
                <w:b w:val="false"/>
                <w:bCs w:val="false"/>
                <w:sz w:val="18"/>
                <w:szCs w:val="18"/>
              </w:rPr>
              <w:t xml:space="preserve">Best default: lean, secure, cross-platform</w:t>
            </w:r>
          </w:p>
        </w:tc>
        <w:tc>
          <w:tcPr>
            <w:tcW w:type="dxa" w:w="3510"/>
            <w:tcMar>
              <w:top w:type="dxa" w:w="60"/>
              <w:left w:type="dxa" w:w="90"/>
              <w:bottom w:type="dxa" w:w="60"/>
              <w:right w:type="dxa" w:w="90"/>
            </w:tcMar>
          </w:tcPr>
          <w:p>
            <w:pPr>
              <w:spacing w:after="20"/>
            </w:pPr>
            <w:r>
              <w:rPr>
                <w:b w:val="false"/>
                <w:bCs w:val="false"/>
                <w:sz w:val="18"/>
                <w:szCs w:val="18"/>
              </w:rPr>
              <w:t xml:space="preserve">Safe fallback if we hit a wall</w:t>
            </w:r>
          </w:p>
        </w:tc>
      </w:tr>
    </w:tbl>
    <w:p>
      <w:r>
        <w:br w:type="page"/>
      </w:r>
    </w:p>
    <w:p>
      <w:pPr>
        <w:pStyle w:val="Heading1"/>
        <w:spacing w:after="120" w:before="280"/>
      </w:pPr>
      <w:r>
        <w:rPr>
          <w:b/>
          <w:bCs/>
          <w:color w:val="1F4E79"/>
        </w:rPr>
        <w:t xml:space="preserve">4. Codebase structure</w:t>
      </w:r>
    </w:p>
    <w:p>
      <w:pPr>
        <w:spacing w:after="120" w:line="276"/>
      </w:pPr>
      <w:r>
        <w:t xml:space="preserve">A single monorepo (one repository, multiple packages) so shared code is literally shared, not copied:</w:t>
      </w:r>
    </w:p>
    <w:p>
      <w:pPr>
        <w:pStyle w:val="ListParagraph"/>
        <w:numPr>
          <w:ilvl w:val="0"/>
          <w:numId w:val="1"/>
        </w:numPr>
        <w:spacing w:after="60" w:line="264"/>
      </w:pPr>
      <w:r>
        <w:t xml:space="preserve">/core — domain + rules engine + calculations (pure TS, heavily unit-tested).</w:t>
      </w:r>
    </w:p>
    <w:p>
      <w:pPr>
        <w:pStyle w:val="ListParagraph"/>
        <w:numPr>
          <w:ilvl w:val="0"/>
          <w:numId w:val="1"/>
        </w:numPr>
        <w:spacing w:after="60" w:line="264"/>
      </w:pPr>
      <w:r>
        <w:t xml:space="preserve">/ui — React components and screens, plus the DataAdapter interface.</w:t>
      </w:r>
    </w:p>
    <w:p>
      <w:pPr>
        <w:pStyle w:val="ListParagraph"/>
        <w:numPr>
          <w:ilvl w:val="0"/>
          <w:numId w:val="1"/>
        </w:numPr>
        <w:spacing w:after="60" w:line="264"/>
      </w:pPr>
      <w:r>
        <w:t xml:space="preserve">/adapters/local — SQLite implementation of DataAdapter (Lite).</w:t>
      </w:r>
    </w:p>
    <w:p>
      <w:pPr>
        <w:pStyle w:val="ListParagraph"/>
        <w:numPr>
          <w:ilvl w:val="0"/>
          <w:numId w:val="1"/>
        </w:numPr>
        <w:spacing w:after="60" w:line="264"/>
      </w:pPr>
      <w:r>
        <w:t xml:space="preserve">/adapters/api — HTTP implementation of DataAdapter (Web).</w:t>
      </w:r>
    </w:p>
    <w:p>
      <w:pPr>
        <w:pStyle w:val="ListParagraph"/>
        <w:numPr>
          <w:ilvl w:val="0"/>
          <w:numId w:val="1"/>
        </w:numPr>
        <w:spacing w:after="60" w:line="264"/>
      </w:pPr>
      <w:r>
        <w:t xml:space="preserve">/apps/desktop — Tauri/Electron shell that mounts /ui with the local adapter.</w:t>
      </w:r>
    </w:p>
    <w:p>
      <w:pPr>
        <w:pStyle w:val="ListParagraph"/>
        <w:numPr>
          <w:ilvl w:val="0"/>
          <w:numId w:val="1"/>
        </w:numPr>
        <w:spacing w:after="60" w:line="264"/>
      </w:pPr>
      <w:r>
        <w:t xml:space="preserve">/apps/web — Next.js app that mounts /ui with the api adapter, plus server, auth, billing, calendar, sign-off.</w:t>
      </w:r>
    </w:p>
    <w:p>
      <w:pPr>
        <w:pStyle w:val="ListParagraph"/>
        <w:numPr>
          <w:ilvl w:val="0"/>
          <w:numId w:val="1"/>
        </w:numPr>
        <w:spacing w:after="60" w:line="264"/>
      </w:pPr>
      <w:r>
        <w:t xml:space="preserve">/rules-data — the seeded RequirementSet records (MN first), version-controlled as data.</w:t>
      </w:r>
    </w:p>
    <w:p>
      <w:pPr>
        <w:pStyle w:val="Heading1"/>
        <w:spacing w:after="120" w:before="280"/>
      </w:pPr>
      <w:r>
        <w:rPr>
          <w:b/>
          <w:bCs/>
          <w:color w:val="1F4E79"/>
        </w:rPr>
        <w:t xml:space="preserve">5. Lite architecture (offline, one-time)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c>
          <w:tcPr>
            <w:tcW w:type="dxa" w:w="2600"/>
            <w:shd w:fill="F2F2F2" w:color="auto" w:val="clear"/>
            <w:tcMar>
              <w:top w:type="dxa" w:w="60"/>
              <w:left w:type="dxa" w:w="90"/>
              <w:bottom w:type="dxa" w:w="60"/>
              <w:right w:type="dxa" w:w="90"/>
            </w:tcMar>
          </w:tcPr>
          <w:p>
            <w:pPr>
              <w:spacing w:after="20"/>
            </w:pPr>
            <w:r>
              <w:rPr>
                <w:b/>
                <w:bCs/>
                <w:sz w:val="19"/>
                <w:szCs w:val="19"/>
              </w:rPr>
              <w:t xml:space="preserve">Runtime</w:t>
            </w:r>
          </w:p>
        </w:tc>
        <w:tc>
          <w:tcPr>
            <w:tcW w:type="dxa" w:w="6760"/>
            <w:tcMar>
              <w:top w:type="dxa" w:w="60"/>
              <w:left w:type="dxa" w:w="90"/>
              <w:bottom w:type="dxa" w:w="60"/>
              <w:right w:type="dxa" w:w="90"/>
            </w:tcMar>
          </w:tcPr>
          <w:p>
            <w:pPr>
              <w:spacing w:after="20"/>
            </w:pPr>
            <w:r>
              <w:rPr>
                <w:b w:val="false"/>
                <w:bCs w:val="false"/>
                <w:sz w:val="19"/>
                <w:szCs w:val="19"/>
              </w:rPr>
              <w:t xml:space="preserve">Desktop app (Tauri/Electron) bundling the React UI and core; runs on Windows and macOS.</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Storage</w:t>
            </w:r>
          </w:p>
        </w:tc>
        <w:tc>
          <w:tcPr>
            <w:tcW w:type="dxa" w:w="6760"/>
            <w:tcMar>
              <w:top w:type="dxa" w:w="60"/>
              <w:left w:type="dxa" w:w="90"/>
              <w:bottom w:type="dxa" w:w="60"/>
              <w:right w:type="dxa" w:w="90"/>
            </w:tcMar>
          </w:tcPr>
          <w:p>
            <w:pPr>
              <w:spacing w:after="20"/>
            </w:pPr>
            <w:r>
              <w:rPr>
                <w:b w:val="false"/>
                <w:bCs w:val="false"/>
                <w:sz w:val="19"/>
                <w:szCs w:val="19"/>
              </w:rPr>
              <w:t xml:space="preserve">Local encrypted SQLite file in the user’s app-data folder. Nothing leaves the machine.</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Rules data</w:t>
            </w:r>
          </w:p>
        </w:tc>
        <w:tc>
          <w:tcPr>
            <w:tcW w:type="dxa" w:w="6760"/>
            <w:tcMar>
              <w:top w:type="dxa" w:w="60"/>
              <w:left w:type="dxa" w:w="90"/>
              <w:bottom w:type="dxa" w:w="60"/>
              <w:right w:type="dxa" w:w="90"/>
            </w:tcMar>
          </w:tcPr>
          <w:p>
            <w:pPr>
              <w:spacing w:after="20"/>
            </w:pPr>
            <w:r>
              <w:rPr>
                <w:b w:val="false"/>
                <w:bCs w:val="false"/>
                <w:sz w:val="19"/>
                <w:szCs w:val="19"/>
              </w:rPr>
              <w:t xml:space="preserve">Ships with the seeded RequirementSet records baked in; updated via app updates.</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Reminders</w:t>
            </w:r>
          </w:p>
        </w:tc>
        <w:tc>
          <w:tcPr>
            <w:tcW w:type="dxa" w:w="6760"/>
            <w:tcMar>
              <w:top w:type="dxa" w:w="60"/>
              <w:left w:type="dxa" w:w="90"/>
              <w:bottom w:type="dxa" w:w="60"/>
              <w:right w:type="dxa" w:w="90"/>
            </w:tcMar>
          </w:tcPr>
          <w:p>
            <w:pPr>
              <w:spacing w:after="20"/>
            </w:pPr>
            <w:r>
              <w:rPr>
                <w:b w:val="false"/>
                <w:bCs w:val="false"/>
                <w:sz w:val="19"/>
                <w:szCs w:val="19"/>
              </w:rPr>
              <w:t xml:space="preserve">Native desktop notifications (local scheduler). No server, per your decision.</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Licensing</w:t>
            </w:r>
          </w:p>
        </w:tc>
        <w:tc>
          <w:tcPr>
            <w:tcW w:type="dxa" w:w="6760"/>
            <w:tcMar>
              <w:top w:type="dxa" w:w="60"/>
              <w:left w:type="dxa" w:w="90"/>
              <w:bottom w:type="dxa" w:w="60"/>
              <w:right w:type="dxa" w:w="90"/>
            </w:tcMar>
          </w:tcPr>
          <w:p>
            <w:pPr>
              <w:spacing w:after="20"/>
            </w:pPr>
            <w:r>
              <w:rPr>
                <w:b w:val="false"/>
                <w:bCs w:val="false"/>
                <w:sz w:val="19"/>
                <w:szCs w:val="19"/>
              </w:rPr>
              <w:t xml:space="preserve">Stripe sells a one-time license key; the app validates a signed license file offline. Lightweight anti-piracy, not fortress-grade.</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Updates</w:t>
            </w:r>
          </w:p>
        </w:tc>
        <w:tc>
          <w:tcPr>
            <w:tcW w:type="dxa" w:w="6760"/>
            <w:tcMar>
              <w:top w:type="dxa" w:w="60"/>
              <w:left w:type="dxa" w:w="90"/>
              <w:bottom w:type="dxa" w:w="60"/>
              <w:right w:type="dxa" w:w="90"/>
            </w:tcMar>
          </w:tcPr>
          <w:p>
            <w:pPr>
              <w:spacing w:after="20"/>
            </w:pPr>
            <w:r>
              <w:rPr>
                <w:b w:val="false"/>
                <w:bCs w:val="false"/>
                <w:sz w:val="19"/>
                <w:szCs w:val="19"/>
              </w:rPr>
              <w:t xml:space="preserve">Built-in auto-update channel to ship new rules/states and fixes.</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Lite → Web</w:t>
            </w:r>
          </w:p>
        </w:tc>
        <w:tc>
          <w:tcPr>
            <w:tcW w:type="dxa" w:w="6760"/>
            <w:tcMar>
              <w:top w:type="dxa" w:w="60"/>
              <w:left w:type="dxa" w:w="90"/>
              <w:bottom w:type="dxa" w:w="60"/>
              <w:right w:type="dxa" w:w="90"/>
            </w:tcMar>
          </w:tcPr>
          <w:p>
            <w:pPr>
              <w:spacing w:after="20"/>
            </w:pPr>
            <w:r>
              <w:rPr>
                <w:b w:val="false"/>
                <w:bCs w:val="false"/>
                <w:sz w:val="19"/>
                <w:szCs w:val="19"/>
              </w:rPr>
              <w:t xml:space="preserve">Encrypted export file the user can import into Web later (matches Phase 1). One-way migration path; no live sync between editions in v1.</w:t>
            </w:r>
          </w:p>
        </w:tc>
      </w:tr>
    </w:tbl>
    <w:p>
      <w:pPr>
        <w:pStyle w:val="Heading1"/>
        <w:spacing w:after="120" w:before="280"/>
      </w:pPr>
      <w:r>
        <w:rPr>
          <w:b/>
          <w:bCs/>
          <w:color w:val="1F4E79"/>
        </w:rPr>
        <w:t xml:space="preserve">6. Web architecture (Railway, subscription)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c>
          <w:tcPr>
            <w:tcW w:type="dxa" w:w="2600"/>
            <w:shd w:fill="F2F2F2" w:color="auto" w:val="clear"/>
            <w:tcMar>
              <w:top w:type="dxa" w:w="60"/>
              <w:left w:type="dxa" w:w="90"/>
              <w:bottom w:type="dxa" w:w="60"/>
              <w:right w:type="dxa" w:w="90"/>
            </w:tcMar>
          </w:tcPr>
          <w:p>
            <w:pPr>
              <w:spacing w:after="20"/>
            </w:pPr>
            <w:r>
              <w:rPr>
                <w:b/>
                <w:bCs/>
                <w:sz w:val="19"/>
                <w:szCs w:val="19"/>
              </w:rPr>
              <w:t xml:space="preserve">App</w:t>
            </w:r>
          </w:p>
        </w:tc>
        <w:tc>
          <w:tcPr>
            <w:tcW w:type="dxa" w:w="6760"/>
            <w:tcMar>
              <w:top w:type="dxa" w:w="60"/>
              <w:left w:type="dxa" w:w="90"/>
              <w:bottom w:type="dxa" w:w="60"/>
              <w:right w:type="dxa" w:w="90"/>
            </w:tcMar>
          </w:tcPr>
          <w:p>
            <w:pPr>
              <w:spacing w:after="20"/>
            </w:pPr>
            <w:r>
              <w:rPr>
                <w:b w:val="false"/>
                <w:bCs w:val="false"/>
                <w:sz w:val="19"/>
                <w:szCs w:val="19"/>
              </w:rPr>
              <w:t xml:space="preserve">Next.js on Railway: serves the React UI and the API the UI’s adapter calls.</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Database</w:t>
            </w:r>
          </w:p>
        </w:tc>
        <w:tc>
          <w:tcPr>
            <w:tcW w:type="dxa" w:w="6760"/>
            <w:tcMar>
              <w:top w:type="dxa" w:w="60"/>
              <w:left w:type="dxa" w:w="90"/>
              <w:bottom w:type="dxa" w:w="60"/>
              <w:right w:type="dxa" w:w="90"/>
            </w:tcMar>
          </w:tcPr>
          <w:p>
            <w:pPr>
              <w:spacing w:after="20"/>
            </w:pPr>
            <w:r>
              <w:rPr>
                <w:b w:val="false"/>
                <w:bCs w:val="false"/>
                <w:sz w:val="19"/>
                <w:szCs w:val="19"/>
              </w:rPr>
              <w:t xml:space="preserve">Managed PostgreSQL on Railway; Prisma migrations. Encrypted at rest; automated backups.</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Background jobs</w:t>
            </w:r>
          </w:p>
        </w:tc>
        <w:tc>
          <w:tcPr>
            <w:tcW w:type="dxa" w:w="6760"/>
            <w:tcMar>
              <w:top w:type="dxa" w:w="60"/>
              <w:left w:type="dxa" w:w="90"/>
              <w:bottom w:type="dxa" w:w="60"/>
              <w:right w:type="dxa" w:w="90"/>
            </w:tcMar>
          </w:tcPr>
          <w:p>
            <w:pPr>
              <w:spacing w:after="20"/>
            </w:pPr>
            <w:r>
              <w:rPr>
                <w:b w:val="false"/>
                <w:bCs w:val="false"/>
                <w:sz w:val="19"/>
                <w:szCs w:val="19"/>
              </w:rPr>
              <w:t xml:space="preserve">Scheduled worker for email reminders, renewal-deadline alerts, and calendar re-sync.</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File storage</w:t>
            </w:r>
          </w:p>
        </w:tc>
        <w:tc>
          <w:tcPr>
            <w:tcW w:type="dxa" w:w="6760"/>
            <w:tcMar>
              <w:top w:type="dxa" w:w="60"/>
              <w:left w:type="dxa" w:w="90"/>
              <w:bottom w:type="dxa" w:w="60"/>
              <w:right w:type="dxa" w:w="90"/>
            </w:tcMar>
          </w:tcPr>
          <w:p>
            <w:pPr>
              <w:spacing w:after="20"/>
            </w:pPr>
            <w:r>
              <w:rPr>
                <w:b w:val="false"/>
                <w:bCs w:val="false"/>
                <w:sz w:val="19"/>
                <w:szCs w:val="19"/>
              </w:rPr>
              <w:t xml:space="preserve">Certificate/attachment storage in an object store (encrypted); DB holds metadata only.</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Multi-tenant</w:t>
            </w:r>
          </w:p>
        </w:tc>
        <w:tc>
          <w:tcPr>
            <w:tcW w:type="dxa" w:w="6760"/>
            <w:tcMar>
              <w:top w:type="dxa" w:w="60"/>
              <w:left w:type="dxa" w:w="90"/>
              <w:bottom w:type="dxa" w:w="60"/>
              <w:right w:type="dxa" w:w="90"/>
            </w:tcMar>
          </w:tcPr>
          <w:p>
            <w:pPr>
              <w:spacing w:after="20"/>
            </w:pPr>
            <w:r>
              <w:rPr>
                <w:b w:val="false"/>
                <w:bCs w:val="false"/>
                <w:sz w:val="19"/>
                <w:szCs w:val="19"/>
              </w:rPr>
              <w:t xml:space="preserve">Row-level scoping so a user (and a supervisor) only ever sees their own / their linked data.</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Email</w:t>
            </w:r>
          </w:p>
        </w:tc>
        <w:tc>
          <w:tcPr>
            <w:tcW w:type="dxa" w:w="6760"/>
            <w:tcMar>
              <w:top w:type="dxa" w:w="60"/>
              <w:left w:type="dxa" w:w="90"/>
              <w:bottom w:type="dxa" w:w="60"/>
              <w:right w:type="dxa" w:w="90"/>
            </w:tcMar>
          </w:tcPr>
          <w:p>
            <w:pPr>
              <w:spacing w:after="20"/>
            </w:pPr>
            <w:r>
              <w:rPr>
                <w:b w:val="false"/>
                <w:bCs w:val="false"/>
                <w:sz w:val="19"/>
                <w:szCs w:val="19"/>
              </w:rPr>
              <w:t xml:space="preserve">Transactional email provider for invites, sign-off requests, and reminders.</w:t>
            </w:r>
          </w:p>
        </w:tc>
      </w:tr>
    </w:tbl>
    <w:p>
      <w:r>
        <w:br w:type="page"/>
      </w:r>
    </w:p>
    <w:p>
      <w:pPr>
        <w:pStyle w:val="Heading1"/>
        <w:spacing w:after="120" w:before="280"/>
      </w:pPr>
      <w:r>
        <w:rPr>
          <w:b/>
          <w:bCs/>
          <w:color w:val="1F4E79"/>
        </w:rPr>
        <w:t xml:space="preserve">7. Auth &amp; the trainee↔supervisor link</w:t>
      </w:r>
    </w:p>
    <w:p>
      <w:pPr>
        <w:pStyle w:val="ListParagraph"/>
        <w:numPr>
          <w:ilvl w:val="0"/>
          <w:numId w:val="1"/>
        </w:numPr>
        <w:spacing w:after="60" w:line="264"/>
      </w:pPr>
      <w:r>
        <w:t xml:space="preserve">Accounts: email/password (Auth.js), optional Google sign-in. Roles: trainee, supervisor, or both on one account.</w:t>
      </w:r>
    </w:p>
    <w:p>
      <w:pPr>
        <w:pStyle w:val="ListParagraph"/>
        <w:numPr>
          <w:ilvl w:val="0"/>
          <w:numId w:val="1"/>
        </w:numPr>
        <w:spacing w:after="60" w:line="264"/>
      </w:pPr>
      <w:r>
        <w:t xml:space="preserve">Linking: trainee sends an email invite → supervisor accepts → a SupervisionLink record connects them with a start date.</w:t>
      </w:r>
    </w:p>
    <w:p>
      <w:pPr>
        <w:pStyle w:val="ListParagraph"/>
        <w:numPr>
          <w:ilvl w:val="0"/>
          <w:numId w:val="1"/>
        </w:numPr>
        <w:spacing w:after="60" w:line="264"/>
      </w:pPr>
      <w:r>
        <w:t xml:space="preserve">Multiple supervisors: a trainee can hold several active links (e.g. site + clinical); each supervisor sees only their own supervisee and signs only their own supervision.</w:t>
      </w:r>
    </w:p>
    <w:p>
      <w:pPr>
        <w:pStyle w:val="ListParagraph"/>
        <w:numPr>
          <w:ilvl w:val="0"/>
          <w:numId w:val="1"/>
        </w:numPr>
        <w:spacing w:after="60" w:line="264"/>
      </w:pPr>
      <w:r>
        <w:t xml:space="preserve">Access control: every query is scoped by user and, for supervisors, by the set of links they own. No cross-tenant visibility.</w:t>
      </w:r>
    </w:p>
    <w:p>
      <w:pPr>
        <w:pStyle w:val="ListParagraph"/>
        <w:numPr>
          <w:ilvl w:val="0"/>
          <w:numId w:val="1"/>
        </w:numPr>
        <w:spacing w:after="60" w:line="264"/>
      </w:pPr>
      <w:r>
        <w:t xml:space="preserve">Revocation: ending/transferring a link stops future visibility but preserves the historical, already-signed record for the trainee’s board file.</w:t>
      </w:r>
    </w:p>
    <w:p>
      <w:pPr>
        <w:pStyle w:val="Heading1"/>
        <w:spacing w:after="120" w:before="280"/>
      </w:pPr>
      <w:r>
        <w:rPr>
          <w:b/>
          <w:bCs/>
          <w:color w:val="1F4E79"/>
        </w:rPr>
        <w:t xml:space="preserve">8. Billing (Stripe)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c>
          <w:tcPr>
            <w:tcW w:type="dxa" w:w="2600"/>
            <w:shd w:fill="F2F2F2" w:color="auto" w:val="clear"/>
            <w:tcMar>
              <w:top w:type="dxa" w:w="60"/>
              <w:left w:type="dxa" w:w="90"/>
              <w:bottom w:type="dxa" w:w="60"/>
              <w:right w:type="dxa" w:w="90"/>
            </w:tcMar>
          </w:tcPr>
          <w:p>
            <w:pPr>
              <w:spacing w:after="20"/>
            </w:pPr>
            <w:r>
              <w:rPr>
                <w:b/>
                <w:bCs/>
                <w:sz w:val="19"/>
                <w:szCs w:val="19"/>
              </w:rPr>
              <w:t xml:space="preserve">Lite (one-time)</w:t>
            </w:r>
          </w:p>
        </w:tc>
        <w:tc>
          <w:tcPr>
            <w:tcW w:type="dxa" w:w="6760"/>
            <w:tcMar>
              <w:top w:type="dxa" w:w="60"/>
              <w:left w:type="dxa" w:w="90"/>
              <w:bottom w:type="dxa" w:w="60"/>
              <w:right w:type="dxa" w:w="90"/>
            </w:tcMar>
          </w:tcPr>
          <w:p>
            <w:pPr>
              <w:spacing w:after="20"/>
            </w:pPr>
            <w:r>
              <w:rPr>
                <w:b w:val="false"/>
                <w:bCs w:val="false"/>
                <w:sz w:val="19"/>
                <w:szCs w:val="19"/>
              </w:rPr>
              <w:t xml:space="preserve">Stripe Checkout / Payment Link issues a signed license key on purchase; the desktop app validates it offline. No account required to use Lite.</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Web (subscription)</w:t>
            </w:r>
          </w:p>
        </w:tc>
        <w:tc>
          <w:tcPr>
            <w:tcW w:type="dxa" w:w="6760"/>
            <w:tcMar>
              <w:top w:type="dxa" w:w="60"/>
              <w:left w:type="dxa" w:w="90"/>
              <w:bottom w:type="dxa" w:w="60"/>
              <w:right w:type="dxa" w:w="90"/>
            </w:tcMar>
          </w:tcPr>
          <w:p>
            <w:pPr>
              <w:spacing w:after="20"/>
            </w:pPr>
            <w:r>
              <w:rPr>
                <w:b w:val="false"/>
                <w:bCs w:val="false"/>
                <w:sz w:val="19"/>
                <w:szCs w:val="19"/>
              </w:rPr>
              <w:t xml:space="preserve">Stripe Billing: monthly/annual plans; a webhook flips the account’s entitlement on payment, renewal, cancel, or failure. Supervisor vs. trainee pricing decided in Phase 4.</w:t>
            </w:r>
          </w:p>
        </w:tc>
      </w:tr>
      <w:tr>
        <w:tc>
          <w:tcPr>
            <w:tcW w:type="dxa" w:w="2600"/>
            <w:shd w:fill="F2F2F2" w:color="auto" w:val="clear"/>
            <w:tcMar>
              <w:top w:type="dxa" w:w="60"/>
              <w:left w:type="dxa" w:w="90"/>
              <w:bottom w:type="dxa" w:w="60"/>
              <w:right w:type="dxa" w:w="90"/>
            </w:tcMar>
          </w:tcPr>
          <w:p>
            <w:pPr>
              <w:spacing w:after="20"/>
            </w:pPr>
            <w:r>
              <w:rPr>
                <w:b/>
                <w:bCs/>
                <w:sz w:val="19"/>
                <w:szCs w:val="19"/>
              </w:rPr>
              <w:t xml:space="preserve">Trials/grace</w:t>
            </w:r>
          </w:p>
        </w:tc>
        <w:tc>
          <w:tcPr>
            <w:tcW w:type="dxa" w:w="6760"/>
            <w:tcMar>
              <w:top w:type="dxa" w:w="60"/>
              <w:left w:type="dxa" w:w="90"/>
              <w:bottom w:type="dxa" w:w="60"/>
              <w:right w:type="dxa" w:w="90"/>
            </w:tcMar>
          </w:tcPr>
          <w:p>
            <w:pPr>
              <w:spacing w:after="20"/>
            </w:pPr>
            <w:r>
              <w:rPr>
                <w:b w:val="false"/>
                <w:bCs w:val="false"/>
                <w:sz w:val="19"/>
                <w:szCs w:val="19"/>
              </w:rPr>
              <w:t xml:space="preserve">Standard trial + dunning handled by Stripe; app reads entitlement state, never stores card data.</w:t>
            </w:r>
          </w:p>
        </w:tc>
      </w:tr>
    </w:tbl>
    <w:p>
      <w:pPr>
        <w:pStyle w:val="Heading1"/>
        <w:spacing w:after="120" w:before="280"/>
      </w:pPr>
      <w:r>
        <w:rPr>
          <w:b/>
          <w:bCs/>
          <w:color w:val="1F4E79"/>
        </w:rPr>
        <w:t xml:space="preserve">9. Sign-off &amp; audit design</w:t>
      </w:r>
    </w:p>
    <w:p>
      <w:pPr>
        <w:pStyle w:val="ListParagraph"/>
        <w:numPr>
          <w:ilvl w:val="0"/>
          <w:numId w:val="1"/>
        </w:numPr>
        <w:spacing w:after="60" w:line="264"/>
      </w:pPr>
      <w:r>
        <w:t xml:space="preserve">Attestation = a record over specific entries: supervisor identity, timestamp, the exact entry IDs + their values, the attestation statement, and a SHA-256 hash of that payload.</w:t>
      </w:r>
    </w:p>
    <w:p>
      <w:pPr>
        <w:pStyle w:val="ListParagraph"/>
        <w:numPr>
          <w:ilvl w:val="0"/>
          <w:numId w:val="1"/>
        </w:numPr>
        <w:spacing w:after="60" w:line="264"/>
      </w:pPr>
      <w:r>
        <w:t xml:space="preserve">Tamper-evidence: editing a signed entry changes the recomputed hash, so a mismatch flags any post-signature change; the entry returns to “pending” and the event is logged.</w:t>
      </w:r>
    </w:p>
    <w:p>
      <w:pPr>
        <w:pStyle w:val="ListParagraph"/>
        <w:numPr>
          <w:ilvl w:val="0"/>
          <w:numId w:val="1"/>
        </w:numPr>
        <w:spacing w:after="60" w:line="264"/>
      </w:pPr>
      <w:r>
        <w:t xml:space="preserve">Append-only audit log: create/edit/sign/return actions are written immutably (who, what, when). This is the backbone of an audit-defensible record and part of the HIPAA posture.</w:t>
      </w:r>
    </w:p>
    <w:p>
      <w:pPr>
        <w:pStyle w:val="ListParagraph"/>
        <w:numPr>
          <w:ilvl w:val="0"/>
          <w:numId w:val="1"/>
        </w:numPr>
        <w:spacing w:after="60" w:line="264"/>
      </w:pPr>
      <w:r>
        <w:t xml:space="preserve">Exports mark each entry’s sign-off state and date, so a board reviewer sees exactly what was attested and when.</w:t>
      </w:r>
    </w:p>
    <w:p>
      <w:pPr>
        <w:pStyle w:val="Heading1"/>
        <w:spacing w:after="120" w:before="280"/>
      </w:pPr>
      <w:r>
        <w:rPr>
          <w:b/>
          <w:bCs/>
          <w:color w:val="1F4E79"/>
        </w:rPr>
        <w:t xml:space="preserve">10. Calendar integration (read-only)</w:t>
      </w:r>
    </w:p>
    <w:p>
      <w:pPr>
        <w:pStyle w:val="ListParagraph"/>
        <w:numPr>
          <w:ilvl w:val="0"/>
          <w:numId w:val="1"/>
        </w:numPr>
        <w:spacing w:after="60" w:line="264"/>
      </w:pPr>
      <w:r>
        <w:t xml:space="preserve">OAuth with read-only scopes to Google Calendar and Microsoft Graph — least privilege, no write access in v1.</w:t>
      </w:r>
    </w:p>
    <w:p>
      <w:pPr>
        <w:pStyle w:val="ListParagraph"/>
        <w:numPr>
          <w:ilvl w:val="0"/>
          <w:numId w:val="1"/>
        </w:numPr>
        <w:spacing w:after="60" w:line="264"/>
      </w:pPr>
      <w:r>
        <w:t xml:space="preserve">The app reads events, proposes matches (by keyword/attendee/user tag), and creates DRAFT entries only.</w:t>
      </w:r>
    </w:p>
    <w:p>
      <w:pPr>
        <w:pStyle w:val="ListParagraph"/>
        <w:numPr>
          <w:ilvl w:val="0"/>
          <w:numId w:val="1"/>
        </w:numPr>
        <w:spacing w:after="60" w:line="264"/>
      </w:pPr>
      <w:r>
        <w:t xml:space="preserve">Nothing counts until the user confirms a draft; confirmed entries are never overwritten by re-sync.</w:t>
      </w:r>
    </w:p>
    <w:p>
      <w:pPr>
        <w:pStyle w:val="ListParagraph"/>
        <w:numPr>
          <w:ilvl w:val="0"/>
          <w:numId w:val="1"/>
        </w:numPr>
        <w:spacing w:after="60" w:line="264"/>
      </w:pPr>
      <w:r>
        <w:t xml:space="preserve">Tokens stored encrypted; user can disconnect at any time, which purges tokens and pending drafts.</w:t>
      </w:r>
    </w:p>
    <w:p>
      <w:r>
        <w:br w:type="page"/>
      </w:r>
    </w:p>
    <w:p>
      <w:pPr>
        <w:pStyle w:val="Heading1"/>
        <w:spacing w:after="120" w:before="280"/>
      </w:pPr>
      <w:r>
        <w:rPr>
          <w:b/>
          <w:bCs/>
          <w:color w:val="1F4E79"/>
        </w:rPr>
        <w:t xml:space="preserve">11. Security &amp; HIPAA-conscious posture</w:t>
      </w:r>
    </w:p>
    <w:p>
      <w:pPr>
        <w:spacing w:after="120" w:line="276"/>
      </w:pPr>
      <w:r>
        <w:rPr>
          <w:b/>
          <w:bCs/>
        </w:rPr>
        <w:t xml:space="preserve">The reality on Railway: </w:t>
      </w:r>
      <w:r>
        <w:t xml:space="preserve">Railway offers a HIPAA BAA, but only as an enterprise add-on gated behind a minimum monthly spend (they hold SOC 2 Type II). A signed BAA is required before storing PHI on the platform — and a BAA alone doesn’t make an app compliant; the safeguards are still on us.</w:t>
      </w:r>
    </w:p>
    <w:p>
      <w:pPr>
        <w:spacing w:after="120" w:line="276"/>
      </w:pPr>
      <w:r>
        <w:t xml:space="preserve">Because of that, the recommended launch strategy is to not store PHI at all, so a BAA is not a blocker to launch:</w:t>
      </w:r>
    </w:p>
    <w:p>
      <w:pPr>
        <w:pStyle w:val="ListParagraph"/>
        <w:numPr>
          <w:ilvl w:val="0"/>
          <w:numId w:val="1"/>
        </w:numPr>
        <w:spacing w:after="60" w:line="264"/>
      </w:pPr>
      <w:r>
        <w:t xml:space="preserve">Design out PHI: the app never needs client identities. Free-text notes are optional and we actively guide users not to enter identifiable client information.</w:t>
      </w:r>
    </w:p>
    <w:p>
      <w:pPr>
        <w:pStyle w:val="ListParagraph"/>
        <w:numPr>
          <w:ilvl w:val="0"/>
          <w:numId w:val="1"/>
        </w:numPr>
        <w:spacing w:after="60" w:line="264"/>
      </w:pPr>
      <w:r>
        <w:t xml:space="preserve">Technical safeguards regardless: TLS in transit, encryption at rest (Postgres + object store; SQLCipher on Lite), least-privilege access, encrypted OAuth tokens, and the append-only audit log.</w:t>
      </w:r>
    </w:p>
    <w:p>
      <w:pPr>
        <w:pStyle w:val="ListParagraph"/>
        <w:numPr>
          <w:ilvl w:val="0"/>
          <w:numId w:val="1"/>
        </w:numPr>
        <w:spacing w:after="60" w:line="264"/>
      </w:pPr>
      <w:r>
        <w:t xml:space="preserve">Scale-up path: when you pursue agency/enterprise customers (who will expect a BAA), obtain the Railway HIPAA add-on and sign the BAA before onboarding them — the architecture already supports it.</w:t>
      </w:r>
    </w:p>
    <w:p>
      <w:pPr>
        <w:pStyle w:val="ListParagraph"/>
        <w:numPr>
          <w:ilvl w:val="0"/>
          <w:numId w:val="1"/>
        </w:numPr>
        <w:spacing w:after="60" w:line="264"/>
      </w:pPr>
      <w:r>
        <w:t xml:space="preserve">This is a risk-reduction posture, not legal advice. A qualified compliance/legal review is scheduled as Phase 5 before launch, and I’d recommend it confirm the PHI-avoidance approach for your jurisdictions.</w:t>
      </w:r>
    </w:p>
    <w:p>
      <w:pPr>
        <w:pStyle w:val="Heading1"/>
        <w:spacing w:after="120" w:before="280"/>
      </w:pPr>
      <w:r>
        <w:rPr>
          <w:b/>
          <w:bCs/>
          <w:color w:val="1F4E79"/>
        </w:rPr>
        <w:t xml:space="preserve">12. Environments &amp; delivery</w:t>
      </w:r>
    </w:p>
    <w:p>
      <w:pPr>
        <w:pStyle w:val="ListParagraph"/>
        <w:numPr>
          <w:ilvl w:val="0"/>
          <w:numId w:val="1"/>
        </w:numPr>
        <w:spacing w:after="60" w:line="264"/>
      </w:pPr>
      <w:r>
        <w:t xml:space="preserve">Repos &amp; CI: one monorepo; automated build/test on every change; core’s rules-engine tests must pass before anything ships.</w:t>
      </w:r>
    </w:p>
    <w:p>
      <w:pPr>
        <w:pStyle w:val="ListParagraph"/>
        <w:numPr>
          <w:ilvl w:val="0"/>
          <w:numId w:val="1"/>
        </w:numPr>
        <w:spacing w:after="60" w:line="264"/>
      </w:pPr>
      <w:r>
        <w:t xml:space="preserve">Web: staging + production Railway environments; database migrations run on deploy.</w:t>
      </w:r>
    </w:p>
    <w:p>
      <w:pPr>
        <w:pStyle w:val="ListParagraph"/>
        <w:numPr>
          <w:ilvl w:val="0"/>
          <w:numId w:val="1"/>
        </w:numPr>
        <w:spacing w:after="60" w:line="264"/>
      </w:pPr>
      <w:r>
        <w:t xml:space="preserve">Lite: signed installers for Windows and macOS, delivered via an auto-update channel.</w:t>
      </w:r>
    </w:p>
    <w:p>
      <w:pPr>
        <w:pStyle w:val="ListParagraph"/>
        <w:numPr>
          <w:ilvl w:val="0"/>
          <w:numId w:val="1"/>
        </w:numPr>
        <w:spacing w:after="60" w:line="264"/>
      </w:pPr>
      <w:r>
        <w:t xml:space="preserve">Secrets: managed via Railway’s secret store (Web) and never bundled into the Lite binary.</w:t>
      </w:r>
    </w:p>
    <w:p>
      <w:pPr>
        <w:pStyle w:val="Heading1"/>
        <w:spacing w:after="120" w:before="280"/>
      </w:pPr>
      <w:r>
        <w:rPr>
          <w:b/>
          <w:bCs/>
          <w:color w:val="1F4E79"/>
        </w:rPr>
        <w:t xml:space="preserve">13. Decisions I need to lock before Phase 3</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0"/>
        <w:gridCol w:w="8800"/>
      </w:tblGrid>
      <w:tr>
        <w:tc>
          <w:tcPr>
            <w:tcW w:type="dxa" w:w="560"/>
            <w:shd w:fill="1F4E79" w:color="auto" w:val="clear"/>
            <w:tcMar>
              <w:top w:type="dxa" w:w="60"/>
              <w:left w:type="dxa" w:w="90"/>
              <w:bottom w:type="dxa" w:w="60"/>
              <w:right w:type="dxa" w:w="90"/>
            </w:tcMar>
          </w:tcPr>
          <w:p>
            <w:pPr>
              <w:spacing w:after="20"/>
              <w:jc w:val="center"/>
            </w:pPr>
            <w:r>
              <w:rPr>
                <w:b/>
                <w:bCs/>
                <w:color w:val="FFFFFF"/>
                <w:sz w:val="19"/>
                <w:szCs w:val="19"/>
              </w:rPr>
              <w:t xml:space="preserve">1</w:t>
            </w:r>
          </w:p>
        </w:tc>
        <w:tc>
          <w:tcPr>
            <w:tcW w:type="dxa" w:w="8800"/>
            <w:tcMar>
              <w:top w:type="dxa" w:w="60"/>
              <w:left w:type="dxa" w:w="90"/>
              <w:bottom w:type="dxa" w:w="60"/>
              <w:right w:type="dxa" w:w="90"/>
            </w:tcMar>
          </w:tcPr>
          <w:p>
            <w:pPr>
              <w:spacing w:after="20"/>
            </w:pPr>
            <w:r>
              <w:rPr>
                <w:b w:val="false"/>
                <w:bCs w:val="false"/>
                <w:sz w:val="19"/>
                <w:szCs w:val="19"/>
              </w:rPr>
              <w:t xml:space="preserve">Approve the recommended stack in §3 (TypeScript / React / Next.js / Postgres / Stripe / Auth.js)?</w:t>
            </w:r>
          </w:p>
        </w:tc>
      </w:tr>
      <w:tr>
        <w:tc>
          <w:tcPr>
            <w:tcW w:type="dxa" w:w="560"/>
            <w:shd w:fill="1F4E79" w:color="auto" w:val="clear"/>
            <w:tcMar>
              <w:top w:type="dxa" w:w="60"/>
              <w:left w:type="dxa" w:w="90"/>
              <w:bottom w:type="dxa" w:w="60"/>
              <w:right w:type="dxa" w:w="90"/>
            </w:tcMar>
          </w:tcPr>
          <w:p>
            <w:pPr>
              <w:spacing w:after="20"/>
              <w:jc w:val="center"/>
            </w:pPr>
            <w:r>
              <w:rPr>
                <w:b/>
                <w:bCs/>
                <w:color w:val="FFFFFF"/>
                <w:sz w:val="19"/>
                <w:szCs w:val="19"/>
              </w:rPr>
              <w:t xml:space="preserve">2</w:t>
            </w:r>
          </w:p>
        </w:tc>
        <w:tc>
          <w:tcPr>
            <w:tcW w:type="dxa" w:w="8800"/>
            <w:tcMar>
              <w:top w:type="dxa" w:w="60"/>
              <w:left w:type="dxa" w:w="90"/>
              <w:bottom w:type="dxa" w:w="60"/>
              <w:right w:type="dxa" w:w="90"/>
            </w:tcMar>
          </w:tcPr>
          <w:p>
            <w:pPr>
              <w:spacing w:after="20"/>
            </w:pPr>
            <w:r>
              <w:rPr>
                <w:b w:val="false"/>
                <w:bCs w:val="false"/>
                <w:sz w:val="19"/>
                <w:szCs w:val="19"/>
              </w:rPr>
              <w:t xml:space="preserve">Lite desktop shell: Tauri v2 (my recommendation) or Electron?</w:t>
            </w:r>
          </w:p>
        </w:tc>
      </w:tr>
      <w:tr>
        <w:tc>
          <w:tcPr>
            <w:tcW w:type="dxa" w:w="560"/>
            <w:shd w:fill="1F4E79" w:color="auto" w:val="clear"/>
            <w:tcMar>
              <w:top w:type="dxa" w:w="60"/>
              <w:left w:type="dxa" w:w="90"/>
              <w:bottom w:type="dxa" w:w="60"/>
              <w:right w:type="dxa" w:w="90"/>
            </w:tcMar>
          </w:tcPr>
          <w:p>
            <w:pPr>
              <w:spacing w:after="20"/>
              <w:jc w:val="center"/>
            </w:pPr>
            <w:r>
              <w:rPr>
                <w:b/>
                <w:bCs/>
                <w:color w:val="FFFFFF"/>
                <w:sz w:val="19"/>
                <w:szCs w:val="19"/>
              </w:rPr>
              <w:t xml:space="preserve">3</w:t>
            </w:r>
          </w:p>
        </w:tc>
        <w:tc>
          <w:tcPr>
            <w:tcW w:type="dxa" w:w="8800"/>
            <w:tcMar>
              <w:top w:type="dxa" w:w="60"/>
              <w:left w:type="dxa" w:w="90"/>
              <w:bottom w:type="dxa" w:w="60"/>
              <w:right w:type="dxa" w:w="90"/>
            </w:tcMar>
          </w:tcPr>
          <w:p>
            <w:pPr>
              <w:spacing w:after="20"/>
            </w:pPr>
            <w:r>
              <w:rPr>
                <w:b w:val="false"/>
                <w:bCs w:val="false"/>
                <w:sz w:val="19"/>
                <w:szCs w:val="19"/>
              </w:rPr>
              <w:t xml:space="preserve">Desktop platforms for Lite v1: Windows + macOS both, or one first? (Linux later?)</w:t>
            </w:r>
          </w:p>
        </w:tc>
      </w:tr>
      <w:tr>
        <w:tc>
          <w:tcPr>
            <w:tcW w:type="dxa" w:w="560"/>
            <w:shd w:fill="1F4E79" w:color="auto" w:val="clear"/>
            <w:tcMar>
              <w:top w:type="dxa" w:w="60"/>
              <w:left w:type="dxa" w:w="90"/>
              <w:bottom w:type="dxa" w:w="60"/>
              <w:right w:type="dxa" w:w="90"/>
            </w:tcMar>
          </w:tcPr>
          <w:p>
            <w:pPr>
              <w:spacing w:after="20"/>
              <w:jc w:val="center"/>
            </w:pPr>
            <w:r>
              <w:rPr>
                <w:b/>
                <w:bCs/>
                <w:color w:val="FFFFFF"/>
                <w:sz w:val="19"/>
                <w:szCs w:val="19"/>
              </w:rPr>
              <w:t xml:space="preserve">4</w:t>
            </w:r>
          </w:p>
        </w:tc>
        <w:tc>
          <w:tcPr>
            <w:tcW w:type="dxa" w:w="8800"/>
            <w:tcMar>
              <w:top w:type="dxa" w:w="60"/>
              <w:left w:type="dxa" w:w="90"/>
              <w:bottom w:type="dxa" w:w="60"/>
              <w:right w:type="dxa" w:w="90"/>
            </w:tcMar>
          </w:tcPr>
          <w:p>
            <w:pPr>
              <w:spacing w:after="20"/>
            </w:pPr>
            <w:r>
              <w:rPr>
                <w:b w:val="false"/>
                <w:bCs w:val="false"/>
                <w:sz w:val="19"/>
                <w:szCs w:val="19"/>
              </w:rPr>
              <w:t xml:space="preserve">Confirm the PHI-avoidance launch posture (no PHI stored; BAA obtained only when you pursue enterprise/agency)?</w:t>
            </w:r>
          </w:p>
        </w:tc>
      </w:tr>
      <w:tr>
        <w:tc>
          <w:tcPr>
            <w:tcW w:type="dxa" w:w="560"/>
            <w:shd w:fill="1F4E79" w:color="auto" w:val="clear"/>
            <w:tcMar>
              <w:top w:type="dxa" w:w="60"/>
              <w:left w:type="dxa" w:w="90"/>
              <w:bottom w:type="dxa" w:w="60"/>
              <w:right w:type="dxa" w:w="90"/>
            </w:tcMar>
          </w:tcPr>
          <w:p>
            <w:pPr>
              <w:spacing w:after="20"/>
              <w:jc w:val="center"/>
            </w:pPr>
            <w:r>
              <w:rPr>
                <w:b/>
                <w:bCs/>
                <w:color w:val="FFFFFF"/>
                <w:sz w:val="19"/>
                <w:szCs w:val="19"/>
              </w:rPr>
              <w:t xml:space="preserve">5</w:t>
            </w:r>
          </w:p>
        </w:tc>
        <w:tc>
          <w:tcPr>
            <w:tcW w:type="dxa" w:w="8800"/>
            <w:tcMar>
              <w:top w:type="dxa" w:w="60"/>
              <w:left w:type="dxa" w:w="90"/>
              <w:bottom w:type="dxa" w:w="60"/>
              <w:right w:type="dxa" w:w="90"/>
            </w:tcMar>
          </w:tcPr>
          <w:p>
            <w:pPr>
              <w:spacing w:after="20"/>
            </w:pPr>
            <w:r>
              <w:rPr>
                <w:b w:val="false"/>
                <w:bCs w:val="false"/>
                <w:sz w:val="19"/>
                <w:szCs w:val="19"/>
              </w:rPr>
              <w:t xml:space="preserve">Lite licensing: accept a lightweight offline license-key model (some piracy risk) for v1, or invest in stronger protection now?</w:t>
            </w:r>
          </w:p>
        </w:tc>
      </w:tr>
      <w:tr>
        <w:tc>
          <w:tcPr>
            <w:tcW w:type="dxa" w:w="560"/>
            <w:shd w:fill="1F4E79" w:color="auto" w:val="clear"/>
            <w:tcMar>
              <w:top w:type="dxa" w:w="60"/>
              <w:left w:type="dxa" w:w="90"/>
              <w:bottom w:type="dxa" w:w="60"/>
              <w:right w:type="dxa" w:w="90"/>
            </w:tcMar>
          </w:tcPr>
          <w:p>
            <w:pPr>
              <w:spacing w:after="20"/>
              <w:jc w:val="center"/>
            </w:pPr>
            <w:r>
              <w:rPr>
                <w:b/>
                <w:bCs/>
                <w:color w:val="FFFFFF"/>
                <w:sz w:val="19"/>
                <w:szCs w:val="19"/>
              </w:rPr>
              <w:t xml:space="preserve">6</w:t>
            </w:r>
          </w:p>
        </w:tc>
        <w:tc>
          <w:tcPr>
            <w:tcW w:type="dxa" w:w="8800"/>
            <w:tcMar>
              <w:top w:type="dxa" w:w="60"/>
              <w:left w:type="dxa" w:w="90"/>
              <w:bottom w:type="dxa" w:w="60"/>
              <w:right w:type="dxa" w:w="90"/>
            </w:tcMar>
          </w:tcPr>
          <w:p>
            <w:pPr>
              <w:spacing w:after="20"/>
            </w:pPr>
            <w:r>
              <w:rPr>
                <w:b w:val="false"/>
                <w:bCs w:val="false"/>
                <w:sz w:val="19"/>
                <w:szCs w:val="19"/>
              </w:rPr>
              <w:t xml:space="preserve">Auth: self-hosted Auth.js (my recommendation) vs. a managed provider (e.g. Clerk) — the latter is faster but adds a vendor.</w:t>
            </w:r>
          </w:p>
        </w:tc>
      </w:tr>
    </w:tbl>
    <w:p>
      <w:pPr>
        <w:spacing w:after="120" w:line="276"/>
      </w:pPr>
      <w:r>
        <w:t xml:space="preserve"/>
      </w:r>
    </w:p>
    <w:p>
      <w:pPr>
        <w:spacing w:after="120" w:line="276"/>
      </w:pPr>
      <w:r>
        <w:rPr>
          <w:b/>
          <w:bCs/>
        </w:rPr>
        <w:t xml:space="preserve">Next step: </w:t>
      </w:r>
      <w:r>
        <w:t xml:space="preserve">answer §13 and mark up anything you want changed. On approval, Phase 3 begins: I build the MVP — the shared core + rules engine (MN seeded), the Lite desktop app, and the Web app’s tracking flows — the thinnest version a real trainee/supervisor pair could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2026-07-28T18:50:09.420Z</dcterms:created>
  <dcterms:modified xsi:type="dcterms:W3CDTF">2026-07-28T18:50:09.420Z</dcterms:modified>
</cp:coreProperties>
</file>

<file path=docProps/custom.xml><?xml version="1.0" encoding="utf-8"?>
<Properties xmlns="http://schemas.openxmlformats.org/officeDocument/2006/custom-properties" xmlns:vt="http://schemas.openxmlformats.org/officeDocument/2006/docPropsVTypes"/>
</file>