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E6D4C" w14:textId="3F5F4BEF" w:rsidR="00514168" w:rsidRDefault="009125D6" w:rsidP="009125D6">
      <w:pPr>
        <w:jc w:val="right"/>
      </w:pPr>
      <w:bookmarkStart w:id="0" w:name="_Hlk86784157"/>
      <w:bookmarkEnd w:id="0"/>
      <w:r>
        <w:t>Gordon Miller</w:t>
      </w:r>
    </w:p>
    <w:p w14:paraId="45F0ECE3" w14:textId="5E401C21" w:rsidR="003B5F64" w:rsidRDefault="00925128" w:rsidP="003B5F64">
      <w:pPr>
        <w:jc w:val="center"/>
      </w:pPr>
      <w:r>
        <w:t>Cointegration of Indices</w:t>
      </w:r>
      <w:r w:rsidR="003B5F64">
        <w:t xml:space="preserve"> </w:t>
      </w:r>
      <w:r>
        <w:t>Analysis</w:t>
      </w:r>
    </w:p>
    <w:p w14:paraId="409F5C7D" w14:textId="3CABF63C" w:rsidR="003B5F64" w:rsidRDefault="003B5F64" w:rsidP="003B5F64">
      <w:pPr>
        <w:jc w:val="center"/>
      </w:pPr>
    </w:p>
    <w:p w14:paraId="2C1238EF" w14:textId="2204546A" w:rsidR="003B5F64" w:rsidRDefault="001778F9" w:rsidP="003B5F64">
      <w:r>
        <w:t>For this assignment I’ve conducted statistical analyses on two volatility indices and attempted to forecast these indices future values. The first of</w:t>
      </w:r>
      <w:r w:rsidR="0043449A">
        <w:t xml:space="preserve"> these indices is the CBOE EuroCurrency ETF Volatility Index (EVZ), which tracks the</w:t>
      </w:r>
      <w:r w:rsidR="00BB17D4">
        <w:t xml:space="preserve"> </w:t>
      </w:r>
      <w:r w:rsidR="0043449A">
        <w:t>volatility of the EuroCurrency Index and is measured</w:t>
      </w:r>
      <w:r w:rsidR="00B131C6">
        <w:t xml:space="preserve"> as a percentage or</w:t>
      </w:r>
      <w:r w:rsidR="0043449A">
        <w:t xml:space="preserve"> on a scale of 0 to 100 in points</w:t>
      </w:r>
      <w:r w:rsidR="00B131C6">
        <w:t xml:space="preserve">. </w:t>
      </w:r>
      <w:r w:rsidR="00BB17D4">
        <w:t xml:space="preserve">In finance volatility is a measure of dispersion of the returns of a security or index and is used to gauge risk. The second time series used for this assignment is the CBOE Emerging Markets ETF Volatility Index (VXEEM). VXEEM is similar to EVZ in that it tracks volatility of an index. VXEEM tracks the volatility of the MSCI Emerging Markets Index and is also measured in percent or on a scale of 0 to 100 in points. </w:t>
      </w:r>
      <w:r w:rsidR="00C55D9E">
        <w:t>The time period available for EVZ spans from 2007-11-01 to 2021-10-07. The time period available for VXEEM spans from 2011-03-16 to 2021-10-07. Both datasets end on 2021-10-07 since that is the date I downloaded the data. Below is an output from my code that describes the number of observations for both time series, the merged data frame of the time series, and the merged data frame after dropping any NA values</w:t>
      </w:r>
      <w:r w:rsidR="009628BA">
        <w:t>:</w:t>
      </w:r>
    </w:p>
    <w:p w14:paraId="6E2FE162" w14:textId="77777777" w:rsidR="00E5604A" w:rsidRPr="009628BA" w:rsidRDefault="00E5604A" w:rsidP="00E5604A">
      <w:pPr>
        <w:rPr>
          <w:b/>
          <w:bCs/>
        </w:rPr>
      </w:pPr>
      <w:r w:rsidRPr="009628BA">
        <w:rPr>
          <w:b/>
          <w:bCs/>
        </w:rPr>
        <w:t>EVZ number of observations: 3636</w:t>
      </w:r>
    </w:p>
    <w:p w14:paraId="3DE67160" w14:textId="77777777" w:rsidR="00E5604A" w:rsidRPr="009628BA" w:rsidRDefault="00E5604A" w:rsidP="00E5604A">
      <w:pPr>
        <w:rPr>
          <w:b/>
          <w:bCs/>
        </w:rPr>
      </w:pPr>
      <w:r w:rsidRPr="009628BA">
        <w:rPr>
          <w:b/>
          <w:bCs/>
        </w:rPr>
        <w:t>VXEEM number of observations: 2757</w:t>
      </w:r>
    </w:p>
    <w:p w14:paraId="4C98449E" w14:textId="1047D355" w:rsidR="00E5604A" w:rsidRPr="009628BA" w:rsidRDefault="00E5604A" w:rsidP="00E5604A">
      <w:pPr>
        <w:rPr>
          <w:b/>
          <w:bCs/>
        </w:rPr>
      </w:pPr>
      <w:r w:rsidRPr="009628BA">
        <w:rPr>
          <w:b/>
          <w:bCs/>
        </w:rPr>
        <w:t xml:space="preserve">Number of observations for </w:t>
      </w:r>
      <w:r w:rsidR="003B6EC0">
        <w:rPr>
          <w:b/>
          <w:bCs/>
        </w:rPr>
        <w:t xml:space="preserve">merged dataframe of </w:t>
      </w:r>
      <w:r w:rsidRPr="009628BA">
        <w:rPr>
          <w:b/>
          <w:bCs/>
        </w:rPr>
        <w:t>both series: 2757</w:t>
      </w:r>
    </w:p>
    <w:p w14:paraId="084CF91C" w14:textId="05679177" w:rsidR="00E5604A" w:rsidRDefault="00E5604A" w:rsidP="00E5604A">
      <w:pPr>
        <w:rPr>
          <w:b/>
          <w:bCs/>
        </w:rPr>
      </w:pPr>
      <w:r w:rsidRPr="009628BA">
        <w:rPr>
          <w:b/>
          <w:bCs/>
        </w:rPr>
        <w:t>Number of non-missing observations for both series: 2660</w:t>
      </w:r>
    </w:p>
    <w:p w14:paraId="71442FA2" w14:textId="77777777" w:rsidR="009628BA" w:rsidRPr="009628BA" w:rsidRDefault="009628BA" w:rsidP="00E5604A">
      <w:pPr>
        <w:rPr>
          <w:b/>
          <w:bCs/>
        </w:rPr>
      </w:pPr>
    </w:p>
    <w:p w14:paraId="5B83C3B8" w14:textId="69CF9096" w:rsidR="00F772B1" w:rsidRDefault="00FE0A6D" w:rsidP="00E5604A">
      <w:r>
        <w:rPr>
          <w:noProof/>
        </w:rPr>
        <w:drawing>
          <wp:inline distT="0" distB="0" distL="0" distR="0" wp14:anchorId="5AEAC8D2" wp14:editId="5F6E64A2">
            <wp:extent cx="4826635" cy="36199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
                      <a:extLst>
                        <a:ext uri="{28A0092B-C50C-407E-A947-70E740481C1C}">
                          <a14:useLocalDpi xmlns:a14="http://schemas.microsoft.com/office/drawing/2010/main" val="0"/>
                        </a:ext>
                      </a:extLst>
                    </a:blip>
                    <a:stretch>
                      <a:fillRect/>
                    </a:stretch>
                  </pic:blipFill>
                  <pic:spPr>
                    <a:xfrm>
                      <a:off x="0" y="0"/>
                      <a:ext cx="4834072" cy="3625555"/>
                    </a:xfrm>
                    <a:prstGeom prst="rect">
                      <a:avLst/>
                    </a:prstGeom>
                  </pic:spPr>
                </pic:pic>
              </a:graphicData>
            </a:graphic>
          </wp:inline>
        </w:drawing>
      </w:r>
    </w:p>
    <w:p w14:paraId="1B401499" w14:textId="30EBB2C0" w:rsidR="00F772B1" w:rsidRDefault="00F772B1" w:rsidP="00E5604A"/>
    <w:p w14:paraId="7A356AEB" w14:textId="07FB51A6" w:rsidR="00CE60D1" w:rsidRDefault="00F772B1" w:rsidP="00E5604A">
      <w:r>
        <w:t xml:space="preserve">Above is a line chart </w:t>
      </w:r>
      <w:r w:rsidR="00CE60D1">
        <w:t>that tracks the value of EVZ and VXEEM from 2011-03-16 to 2021-10-07. The left y-axis includes the % values for EVZ and the right y-axis includes the % values for VXEEM. This chart helps us understand both of our time series much better. For instance, we can clearly see that VXEEM’s underlying index seems to be much more volatile than EVZ’s underlying index due to VXEEM’s higher values compared to EVZ.  It also seems like these time series may be somewhat correlated to the naked eye. We can also note that these indices’ movements were quite similar during most of 2020, so much so that they overlap.</w:t>
      </w:r>
    </w:p>
    <w:p w14:paraId="08DFB5EA" w14:textId="398CB7A4" w:rsidR="00F772B1" w:rsidRDefault="00152D8A" w:rsidP="00E5604A">
      <w:r>
        <w:rPr>
          <w:noProof/>
        </w:rPr>
        <w:drawing>
          <wp:inline distT="0" distB="0" distL="0" distR="0" wp14:anchorId="666DE472" wp14:editId="6425847F">
            <wp:extent cx="5852172" cy="4389129"/>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368FDC7E" w14:textId="480A9328" w:rsidR="00CE60D1" w:rsidRDefault="00CE60D1" w:rsidP="00CE60D1"/>
    <w:p w14:paraId="58BC4703" w14:textId="7B0F714C" w:rsidR="00CE60D1" w:rsidRDefault="00CE60D1" w:rsidP="00CE60D1">
      <w:r>
        <w:t xml:space="preserve">Above is a plot of </w:t>
      </w:r>
      <w:r w:rsidR="00152D8A">
        <w:t>21</w:t>
      </w:r>
      <w:r>
        <w:t xml:space="preserve">-day rolling correlations between EVZ and VXEEM overtime. The reason I used </w:t>
      </w:r>
      <w:r w:rsidR="00152D8A">
        <w:t xml:space="preserve">21 days is because that is the number of trading days for each month, and it is helpful to observe the correlations by month. </w:t>
      </w:r>
      <w:r w:rsidR="009628BA">
        <w:t xml:space="preserve">Its clear from the plot that there is a lot of variation in the </w:t>
      </w:r>
      <w:r w:rsidR="00846921">
        <w:t xml:space="preserve">rolling correlations over time, but what isn’t clear is what the average rolling correlation between the two series is. After applying the max, min, and mean functions on the rolling correlation data I found that the minimum rolling correlation is </w:t>
      </w:r>
      <w:r w:rsidR="00846921" w:rsidRPr="00846921">
        <w:t>-0.767</w:t>
      </w:r>
      <w:r w:rsidR="00846921">
        <w:t xml:space="preserve">, the highest is </w:t>
      </w:r>
      <w:r w:rsidR="00846921" w:rsidRPr="00846921">
        <w:t>0.98</w:t>
      </w:r>
      <w:r w:rsidR="00846921">
        <w:t>0 and the average rolling correlation is 0.438. Following</w:t>
      </w:r>
      <w:r w:rsidR="00B8553C">
        <w:t xml:space="preserve"> this</w:t>
      </w:r>
      <w:r w:rsidR="00846921">
        <w:t xml:space="preserve"> analysis of the rolling correlations we can </w:t>
      </w:r>
      <w:r w:rsidR="003B6EC0">
        <w:t>confidently say there is a positive correlation between the two series</w:t>
      </w:r>
      <w:r w:rsidR="00B8553C">
        <w:t xml:space="preserve">, however, there is a fair amount of variation in these correlations over time. </w:t>
      </w:r>
    </w:p>
    <w:tbl>
      <w:tblPr>
        <w:tblW w:w="8640" w:type="dxa"/>
        <w:tblLook w:val="04A0" w:firstRow="1" w:lastRow="0" w:firstColumn="1" w:lastColumn="0" w:noHBand="0" w:noVBand="1"/>
      </w:tblPr>
      <w:tblGrid>
        <w:gridCol w:w="730"/>
        <w:gridCol w:w="1096"/>
        <w:gridCol w:w="1096"/>
        <w:gridCol w:w="730"/>
        <w:gridCol w:w="1096"/>
        <w:gridCol w:w="1096"/>
        <w:gridCol w:w="730"/>
        <w:gridCol w:w="1096"/>
        <w:gridCol w:w="1096"/>
      </w:tblGrid>
      <w:tr w:rsidR="00B8553C" w:rsidRPr="00B8553C" w14:paraId="4DC99DA8" w14:textId="77777777" w:rsidTr="00B8553C">
        <w:trPr>
          <w:trHeight w:val="300"/>
        </w:trPr>
        <w:tc>
          <w:tcPr>
            <w:tcW w:w="2880" w:type="dxa"/>
            <w:gridSpan w:val="3"/>
            <w:tcBorders>
              <w:top w:val="nil"/>
              <w:left w:val="nil"/>
              <w:bottom w:val="nil"/>
              <w:right w:val="nil"/>
            </w:tcBorders>
            <w:shd w:val="clear" w:color="auto" w:fill="auto"/>
            <w:noWrap/>
            <w:vAlign w:val="bottom"/>
            <w:hideMark/>
          </w:tcPr>
          <w:p w14:paraId="18487483" w14:textId="77777777" w:rsidR="00B8553C" w:rsidRPr="00B8553C" w:rsidRDefault="00B8553C" w:rsidP="00B8553C">
            <w:pPr>
              <w:spacing w:after="0" w:line="240" w:lineRule="auto"/>
              <w:jc w:val="center"/>
              <w:rPr>
                <w:rFonts w:ascii="Calibri" w:eastAsia="Times New Roman" w:hAnsi="Calibri" w:cs="Calibri"/>
                <w:b/>
                <w:bCs/>
                <w:color w:val="000000"/>
              </w:rPr>
            </w:pPr>
            <w:r w:rsidRPr="00B8553C">
              <w:rPr>
                <w:rFonts w:ascii="Calibri" w:eastAsia="Times New Roman" w:hAnsi="Calibri" w:cs="Calibri"/>
                <w:b/>
                <w:bCs/>
                <w:color w:val="000000"/>
              </w:rPr>
              <w:lastRenderedPageBreak/>
              <w:t>Whole Sample</w:t>
            </w:r>
          </w:p>
        </w:tc>
        <w:tc>
          <w:tcPr>
            <w:tcW w:w="2880" w:type="dxa"/>
            <w:gridSpan w:val="3"/>
            <w:tcBorders>
              <w:top w:val="nil"/>
              <w:left w:val="nil"/>
              <w:bottom w:val="nil"/>
              <w:right w:val="nil"/>
            </w:tcBorders>
            <w:shd w:val="clear" w:color="auto" w:fill="auto"/>
            <w:noWrap/>
            <w:vAlign w:val="bottom"/>
            <w:hideMark/>
          </w:tcPr>
          <w:p w14:paraId="2EAA94DE" w14:textId="77777777" w:rsidR="00B8553C" w:rsidRPr="00B8553C" w:rsidRDefault="00B8553C" w:rsidP="00B8553C">
            <w:pPr>
              <w:spacing w:after="0" w:line="240" w:lineRule="auto"/>
              <w:jc w:val="center"/>
              <w:rPr>
                <w:rFonts w:ascii="Calibri" w:eastAsia="Times New Roman" w:hAnsi="Calibri" w:cs="Calibri"/>
                <w:b/>
                <w:bCs/>
                <w:color w:val="000000"/>
              </w:rPr>
            </w:pPr>
            <w:r w:rsidRPr="00B8553C">
              <w:rPr>
                <w:rFonts w:ascii="Calibri" w:eastAsia="Times New Roman" w:hAnsi="Calibri" w:cs="Calibri"/>
                <w:b/>
                <w:bCs/>
                <w:color w:val="000000"/>
              </w:rPr>
              <w:t>Split Sample 1</w:t>
            </w:r>
          </w:p>
        </w:tc>
        <w:tc>
          <w:tcPr>
            <w:tcW w:w="2880" w:type="dxa"/>
            <w:gridSpan w:val="3"/>
            <w:tcBorders>
              <w:top w:val="nil"/>
              <w:left w:val="nil"/>
              <w:bottom w:val="nil"/>
              <w:right w:val="nil"/>
            </w:tcBorders>
            <w:shd w:val="clear" w:color="auto" w:fill="auto"/>
            <w:noWrap/>
            <w:vAlign w:val="bottom"/>
            <w:hideMark/>
          </w:tcPr>
          <w:p w14:paraId="611DC2DE" w14:textId="77777777" w:rsidR="00B8553C" w:rsidRPr="00B8553C" w:rsidRDefault="00B8553C" w:rsidP="00B8553C">
            <w:pPr>
              <w:spacing w:after="0" w:line="240" w:lineRule="auto"/>
              <w:jc w:val="center"/>
              <w:rPr>
                <w:rFonts w:ascii="Calibri" w:eastAsia="Times New Roman" w:hAnsi="Calibri" w:cs="Calibri"/>
                <w:b/>
                <w:bCs/>
                <w:color w:val="000000"/>
              </w:rPr>
            </w:pPr>
            <w:r w:rsidRPr="00B8553C">
              <w:rPr>
                <w:rFonts w:ascii="Calibri" w:eastAsia="Times New Roman" w:hAnsi="Calibri" w:cs="Calibri"/>
                <w:b/>
                <w:bCs/>
                <w:color w:val="000000"/>
              </w:rPr>
              <w:t>Split Sample 2</w:t>
            </w:r>
          </w:p>
        </w:tc>
      </w:tr>
      <w:tr w:rsidR="00B8553C" w:rsidRPr="00B8553C" w14:paraId="16207A88" w14:textId="77777777" w:rsidTr="00B8553C">
        <w:trPr>
          <w:trHeight w:val="290"/>
        </w:trPr>
        <w:tc>
          <w:tcPr>
            <w:tcW w:w="688" w:type="dxa"/>
            <w:tcBorders>
              <w:top w:val="single" w:sz="8" w:space="0" w:color="auto"/>
              <w:left w:val="single" w:sz="8" w:space="0" w:color="auto"/>
              <w:bottom w:val="nil"/>
              <w:right w:val="nil"/>
            </w:tcBorders>
            <w:shd w:val="clear" w:color="auto" w:fill="auto"/>
            <w:noWrap/>
            <w:vAlign w:val="bottom"/>
            <w:hideMark/>
          </w:tcPr>
          <w:p w14:paraId="4AB21C28"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 </w:t>
            </w:r>
          </w:p>
        </w:tc>
        <w:tc>
          <w:tcPr>
            <w:tcW w:w="1096" w:type="dxa"/>
            <w:tcBorders>
              <w:top w:val="single" w:sz="8" w:space="0" w:color="auto"/>
              <w:left w:val="nil"/>
              <w:bottom w:val="nil"/>
              <w:right w:val="nil"/>
            </w:tcBorders>
            <w:shd w:val="clear" w:color="auto" w:fill="auto"/>
            <w:noWrap/>
            <w:vAlign w:val="bottom"/>
            <w:hideMark/>
          </w:tcPr>
          <w:p w14:paraId="2DEF1A7A"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EVZ</w:t>
            </w:r>
          </w:p>
        </w:tc>
        <w:tc>
          <w:tcPr>
            <w:tcW w:w="1096" w:type="dxa"/>
            <w:tcBorders>
              <w:top w:val="single" w:sz="8" w:space="0" w:color="auto"/>
              <w:left w:val="nil"/>
              <w:bottom w:val="nil"/>
              <w:right w:val="single" w:sz="8" w:space="0" w:color="auto"/>
            </w:tcBorders>
            <w:shd w:val="clear" w:color="auto" w:fill="auto"/>
            <w:noWrap/>
            <w:vAlign w:val="bottom"/>
            <w:hideMark/>
          </w:tcPr>
          <w:p w14:paraId="48D77C08"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VXEEM</w:t>
            </w:r>
          </w:p>
        </w:tc>
        <w:tc>
          <w:tcPr>
            <w:tcW w:w="688" w:type="dxa"/>
            <w:tcBorders>
              <w:top w:val="single" w:sz="8" w:space="0" w:color="auto"/>
              <w:left w:val="nil"/>
              <w:bottom w:val="nil"/>
              <w:right w:val="nil"/>
            </w:tcBorders>
            <w:shd w:val="clear" w:color="auto" w:fill="auto"/>
            <w:noWrap/>
            <w:vAlign w:val="bottom"/>
            <w:hideMark/>
          </w:tcPr>
          <w:p w14:paraId="0DBE2436"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 </w:t>
            </w:r>
          </w:p>
        </w:tc>
        <w:tc>
          <w:tcPr>
            <w:tcW w:w="1096" w:type="dxa"/>
            <w:tcBorders>
              <w:top w:val="single" w:sz="8" w:space="0" w:color="auto"/>
              <w:left w:val="nil"/>
              <w:bottom w:val="nil"/>
              <w:right w:val="nil"/>
            </w:tcBorders>
            <w:shd w:val="clear" w:color="auto" w:fill="auto"/>
            <w:noWrap/>
            <w:vAlign w:val="bottom"/>
            <w:hideMark/>
          </w:tcPr>
          <w:p w14:paraId="527FF545"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EVZ</w:t>
            </w:r>
          </w:p>
        </w:tc>
        <w:tc>
          <w:tcPr>
            <w:tcW w:w="1096" w:type="dxa"/>
            <w:tcBorders>
              <w:top w:val="single" w:sz="8" w:space="0" w:color="auto"/>
              <w:left w:val="nil"/>
              <w:bottom w:val="nil"/>
              <w:right w:val="single" w:sz="8" w:space="0" w:color="auto"/>
            </w:tcBorders>
            <w:shd w:val="clear" w:color="auto" w:fill="auto"/>
            <w:noWrap/>
            <w:vAlign w:val="bottom"/>
            <w:hideMark/>
          </w:tcPr>
          <w:p w14:paraId="11F1471D"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VXEEM</w:t>
            </w:r>
          </w:p>
        </w:tc>
        <w:tc>
          <w:tcPr>
            <w:tcW w:w="688" w:type="dxa"/>
            <w:tcBorders>
              <w:top w:val="single" w:sz="8" w:space="0" w:color="auto"/>
              <w:left w:val="nil"/>
              <w:bottom w:val="nil"/>
              <w:right w:val="nil"/>
            </w:tcBorders>
            <w:shd w:val="clear" w:color="auto" w:fill="auto"/>
            <w:noWrap/>
            <w:vAlign w:val="bottom"/>
            <w:hideMark/>
          </w:tcPr>
          <w:p w14:paraId="7041DE5A"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 </w:t>
            </w:r>
          </w:p>
        </w:tc>
        <w:tc>
          <w:tcPr>
            <w:tcW w:w="1096" w:type="dxa"/>
            <w:tcBorders>
              <w:top w:val="single" w:sz="8" w:space="0" w:color="auto"/>
              <w:left w:val="nil"/>
              <w:bottom w:val="nil"/>
              <w:right w:val="nil"/>
            </w:tcBorders>
            <w:shd w:val="clear" w:color="auto" w:fill="auto"/>
            <w:noWrap/>
            <w:vAlign w:val="bottom"/>
            <w:hideMark/>
          </w:tcPr>
          <w:p w14:paraId="29FC1317"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EVZ</w:t>
            </w:r>
          </w:p>
        </w:tc>
        <w:tc>
          <w:tcPr>
            <w:tcW w:w="1096" w:type="dxa"/>
            <w:tcBorders>
              <w:top w:val="single" w:sz="8" w:space="0" w:color="auto"/>
              <w:left w:val="nil"/>
              <w:bottom w:val="nil"/>
              <w:right w:val="single" w:sz="8" w:space="0" w:color="auto"/>
            </w:tcBorders>
            <w:shd w:val="clear" w:color="auto" w:fill="auto"/>
            <w:noWrap/>
            <w:vAlign w:val="bottom"/>
            <w:hideMark/>
          </w:tcPr>
          <w:p w14:paraId="46751E84"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VXEEM</w:t>
            </w:r>
          </w:p>
        </w:tc>
      </w:tr>
      <w:tr w:rsidR="00B8553C" w:rsidRPr="00B8553C" w14:paraId="622E8DE6" w14:textId="77777777" w:rsidTr="00B8553C">
        <w:trPr>
          <w:trHeight w:val="290"/>
        </w:trPr>
        <w:tc>
          <w:tcPr>
            <w:tcW w:w="688" w:type="dxa"/>
            <w:tcBorders>
              <w:top w:val="nil"/>
              <w:left w:val="single" w:sz="8" w:space="0" w:color="auto"/>
              <w:bottom w:val="nil"/>
              <w:right w:val="nil"/>
            </w:tcBorders>
            <w:shd w:val="clear" w:color="auto" w:fill="auto"/>
            <w:noWrap/>
            <w:vAlign w:val="bottom"/>
            <w:hideMark/>
          </w:tcPr>
          <w:p w14:paraId="77097F4E"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count</w:t>
            </w:r>
          </w:p>
        </w:tc>
        <w:tc>
          <w:tcPr>
            <w:tcW w:w="1096" w:type="dxa"/>
            <w:tcBorders>
              <w:top w:val="nil"/>
              <w:left w:val="nil"/>
              <w:bottom w:val="nil"/>
              <w:right w:val="nil"/>
            </w:tcBorders>
            <w:shd w:val="clear" w:color="auto" w:fill="auto"/>
            <w:noWrap/>
            <w:vAlign w:val="bottom"/>
            <w:hideMark/>
          </w:tcPr>
          <w:p w14:paraId="4265D39D"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2660</w:t>
            </w:r>
          </w:p>
        </w:tc>
        <w:tc>
          <w:tcPr>
            <w:tcW w:w="1096" w:type="dxa"/>
            <w:tcBorders>
              <w:top w:val="nil"/>
              <w:left w:val="nil"/>
              <w:bottom w:val="nil"/>
              <w:right w:val="single" w:sz="8" w:space="0" w:color="auto"/>
            </w:tcBorders>
            <w:shd w:val="clear" w:color="auto" w:fill="auto"/>
            <w:noWrap/>
            <w:vAlign w:val="bottom"/>
            <w:hideMark/>
          </w:tcPr>
          <w:p w14:paraId="577406AD"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2660</w:t>
            </w:r>
          </w:p>
        </w:tc>
        <w:tc>
          <w:tcPr>
            <w:tcW w:w="688" w:type="dxa"/>
            <w:tcBorders>
              <w:top w:val="nil"/>
              <w:left w:val="nil"/>
              <w:bottom w:val="nil"/>
              <w:right w:val="nil"/>
            </w:tcBorders>
            <w:shd w:val="clear" w:color="auto" w:fill="auto"/>
            <w:noWrap/>
            <w:vAlign w:val="bottom"/>
            <w:hideMark/>
          </w:tcPr>
          <w:p w14:paraId="1930F01E"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count</w:t>
            </w:r>
          </w:p>
        </w:tc>
        <w:tc>
          <w:tcPr>
            <w:tcW w:w="1096" w:type="dxa"/>
            <w:tcBorders>
              <w:top w:val="nil"/>
              <w:left w:val="nil"/>
              <w:bottom w:val="nil"/>
              <w:right w:val="nil"/>
            </w:tcBorders>
            <w:shd w:val="clear" w:color="auto" w:fill="auto"/>
            <w:noWrap/>
            <w:vAlign w:val="bottom"/>
            <w:hideMark/>
          </w:tcPr>
          <w:p w14:paraId="05787D81"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1330</w:t>
            </w:r>
          </w:p>
        </w:tc>
        <w:tc>
          <w:tcPr>
            <w:tcW w:w="1096" w:type="dxa"/>
            <w:tcBorders>
              <w:top w:val="nil"/>
              <w:left w:val="nil"/>
              <w:bottom w:val="nil"/>
              <w:right w:val="single" w:sz="8" w:space="0" w:color="auto"/>
            </w:tcBorders>
            <w:shd w:val="clear" w:color="auto" w:fill="auto"/>
            <w:noWrap/>
            <w:vAlign w:val="bottom"/>
            <w:hideMark/>
          </w:tcPr>
          <w:p w14:paraId="7A735FBA"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1330</w:t>
            </w:r>
          </w:p>
        </w:tc>
        <w:tc>
          <w:tcPr>
            <w:tcW w:w="688" w:type="dxa"/>
            <w:tcBorders>
              <w:top w:val="nil"/>
              <w:left w:val="nil"/>
              <w:bottom w:val="nil"/>
              <w:right w:val="nil"/>
            </w:tcBorders>
            <w:shd w:val="clear" w:color="auto" w:fill="auto"/>
            <w:noWrap/>
            <w:vAlign w:val="bottom"/>
            <w:hideMark/>
          </w:tcPr>
          <w:p w14:paraId="372C66AB"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count</w:t>
            </w:r>
          </w:p>
        </w:tc>
        <w:tc>
          <w:tcPr>
            <w:tcW w:w="1096" w:type="dxa"/>
            <w:tcBorders>
              <w:top w:val="nil"/>
              <w:left w:val="nil"/>
              <w:bottom w:val="nil"/>
              <w:right w:val="nil"/>
            </w:tcBorders>
            <w:shd w:val="clear" w:color="auto" w:fill="auto"/>
            <w:noWrap/>
            <w:vAlign w:val="bottom"/>
            <w:hideMark/>
          </w:tcPr>
          <w:p w14:paraId="3D6B90F4"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1330</w:t>
            </w:r>
          </w:p>
        </w:tc>
        <w:tc>
          <w:tcPr>
            <w:tcW w:w="1096" w:type="dxa"/>
            <w:tcBorders>
              <w:top w:val="nil"/>
              <w:left w:val="nil"/>
              <w:bottom w:val="nil"/>
              <w:right w:val="single" w:sz="8" w:space="0" w:color="auto"/>
            </w:tcBorders>
            <w:shd w:val="clear" w:color="auto" w:fill="auto"/>
            <w:noWrap/>
            <w:vAlign w:val="bottom"/>
            <w:hideMark/>
          </w:tcPr>
          <w:p w14:paraId="62A4AA85"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1330</w:t>
            </w:r>
          </w:p>
        </w:tc>
      </w:tr>
      <w:tr w:rsidR="00B8553C" w:rsidRPr="00B8553C" w14:paraId="0CCBC6D3" w14:textId="77777777" w:rsidTr="00B8553C">
        <w:trPr>
          <w:trHeight w:val="290"/>
        </w:trPr>
        <w:tc>
          <w:tcPr>
            <w:tcW w:w="688" w:type="dxa"/>
            <w:tcBorders>
              <w:top w:val="nil"/>
              <w:left w:val="single" w:sz="8" w:space="0" w:color="auto"/>
              <w:bottom w:val="nil"/>
              <w:right w:val="nil"/>
            </w:tcBorders>
            <w:shd w:val="clear" w:color="auto" w:fill="auto"/>
            <w:noWrap/>
            <w:vAlign w:val="bottom"/>
            <w:hideMark/>
          </w:tcPr>
          <w:p w14:paraId="2F06ABBD"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mean</w:t>
            </w:r>
          </w:p>
        </w:tc>
        <w:tc>
          <w:tcPr>
            <w:tcW w:w="1096" w:type="dxa"/>
            <w:tcBorders>
              <w:top w:val="nil"/>
              <w:left w:val="nil"/>
              <w:bottom w:val="nil"/>
              <w:right w:val="nil"/>
            </w:tcBorders>
            <w:shd w:val="clear" w:color="auto" w:fill="auto"/>
            <w:noWrap/>
            <w:vAlign w:val="bottom"/>
            <w:hideMark/>
          </w:tcPr>
          <w:p w14:paraId="2DF73CD1"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8.890598</w:t>
            </w:r>
          </w:p>
        </w:tc>
        <w:tc>
          <w:tcPr>
            <w:tcW w:w="1096" w:type="dxa"/>
            <w:tcBorders>
              <w:top w:val="nil"/>
              <w:left w:val="nil"/>
              <w:bottom w:val="nil"/>
              <w:right w:val="single" w:sz="8" w:space="0" w:color="auto"/>
            </w:tcBorders>
            <w:shd w:val="clear" w:color="auto" w:fill="auto"/>
            <w:noWrap/>
            <w:vAlign w:val="bottom"/>
            <w:hideMark/>
          </w:tcPr>
          <w:p w14:paraId="00E4D886"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23.44086</w:t>
            </w:r>
          </w:p>
        </w:tc>
        <w:tc>
          <w:tcPr>
            <w:tcW w:w="688" w:type="dxa"/>
            <w:tcBorders>
              <w:top w:val="nil"/>
              <w:left w:val="nil"/>
              <w:bottom w:val="nil"/>
              <w:right w:val="nil"/>
            </w:tcBorders>
            <w:shd w:val="clear" w:color="auto" w:fill="auto"/>
            <w:noWrap/>
            <w:vAlign w:val="bottom"/>
            <w:hideMark/>
          </w:tcPr>
          <w:p w14:paraId="665341CD"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mean</w:t>
            </w:r>
          </w:p>
        </w:tc>
        <w:tc>
          <w:tcPr>
            <w:tcW w:w="1096" w:type="dxa"/>
            <w:tcBorders>
              <w:top w:val="nil"/>
              <w:left w:val="nil"/>
              <w:bottom w:val="nil"/>
              <w:right w:val="nil"/>
            </w:tcBorders>
            <w:shd w:val="clear" w:color="auto" w:fill="auto"/>
            <w:noWrap/>
            <w:vAlign w:val="bottom"/>
            <w:hideMark/>
          </w:tcPr>
          <w:p w14:paraId="23104D5C"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10.37875</w:t>
            </w:r>
          </w:p>
        </w:tc>
        <w:tc>
          <w:tcPr>
            <w:tcW w:w="1096" w:type="dxa"/>
            <w:tcBorders>
              <w:top w:val="nil"/>
              <w:left w:val="nil"/>
              <w:bottom w:val="nil"/>
              <w:right w:val="single" w:sz="8" w:space="0" w:color="auto"/>
            </w:tcBorders>
            <w:shd w:val="clear" w:color="auto" w:fill="auto"/>
            <w:noWrap/>
            <w:vAlign w:val="bottom"/>
            <w:hideMark/>
          </w:tcPr>
          <w:p w14:paraId="43749957"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25.00971</w:t>
            </w:r>
          </w:p>
        </w:tc>
        <w:tc>
          <w:tcPr>
            <w:tcW w:w="688" w:type="dxa"/>
            <w:tcBorders>
              <w:top w:val="nil"/>
              <w:left w:val="nil"/>
              <w:bottom w:val="nil"/>
              <w:right w:val="nil"/>
            </w:tcBorders>
            <w:shd w:val="clear" w:color="auto" w:fill="auto"/>
            <w:noWrap/>
            <w:vAlign w:val="bottom"/>
            <w:hideMark/>
          </w:tcPr>
          <w:p w14:paraId="6B2B6D0E"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mean</w:t>
            </w:r>
          </w:p>
        </w:tc>
        <w:tc>
          <w:tcPr>
            <w:tcW w:w="1096" w:type="dxa"/>
            <w:tcBorders>
              <w:top w:val="nil"/>
              <w:left w:val="nil"/>
              <w:bottom w:val="nil"/>
              <w:right w:val="nil"/>
            </w:tcBorders>
            <w:shd w:val="clear" w:color="auto" w:fill="auto"/>
            <w:noWrap/>
            <w:vAlign w:val="bottom"/>
            <w:hideMark/>
          </w:tcPr>
          <w:p w14:paraId="7C0392BD"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7.402444</w:t>
            </w:r>
          </w:p>
        </w:tc>
        <w:tc>
          <w:tcPr>
            <w:tcW w:w="1096" w:type="dxa"/>
            <w:tcBorders>
              <w:top w:val="nil"/>
              <w:left w:val="nil"/>
              <w:bottom w:val="nil"/>
              <w:right w:val="single" w:sz="8" w:space="0" w:color="auto"/>
            </w:tcBorders>
            <w:shd w:val="clear" w:color="auto" w:fill="auto"/>
            <w:noWrap/>
            <w:vAlign w:val="bottom"/>
            <w:hideMark/>
          </w:tcPr>
          <w:p w14:paraId="30216927"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21.87202</w:t>
            </w:r>
          </w:p>
        </w:tc>
      </w:tr>
      <w:tr w:rsidR="00B8553C" w:rsidRPr="00B8553C" w14:paraId="3331BF5E" w14:textId="77777777" w:rsidTr="00B8553C">
        <w:trPr>
          <w:trHeight w:val="290"/>
        </w:trPr>
        <w:tc>
          <w:tcPr>
            <w:tcW w:w="688" w:type="dxa"/>
            <w:tcBorders>
              <w:top w:val="nil"/>
              <w:left w:val="single" w:sz="8" w:space="0" w:color="auto"/>
              <w:bottom w:val="nil"/>
              <w:right w:val="nil"/>
            </w:tcBorders>
            <w:shd w:val="clear" w:color="auto" w:fill="auto"/>
            <w:noWrap/>
            <w:vAlign w:val="bottom"/>
            <w:hideMark/>
          </w:tcPr>
          <w:p w14:paraId="00975556"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std</w:t>
            </w:r>
          </w:p>
        </w:tc>
        <w:tc>
          <w:tcPr>
            <w:tcW w:w="1096" w:type="dxa"/>
            <w:tcBorders>
              <w:top w:val="nil"/>
              <w:left w:val="nil"/>
              <w:bottom w:val="nil"/>
              <w:right w:val="nil"/>
            </w:tcBorders>
            <w:shd w:val="clear" w:color="auto" w:fill="auto"/>
            <w:noWrap/>
            <w:vAlign w:val="bottom"/>
            <w:hideMark/>
          </w:tcPr>
          <w:p w14:paraId="48B17F10"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2.85689</w:t>
            </w:r>
          </w:p>
        </w:tc>
        <w:tc>
          <w:tcPr>
            <w:tcW w:w="1096" w:type="dxa"/>
            <w:tcBorders>
              <w:top w:val="nil"/>
              <w:left w:val="nil"/>
              <w:bottom w:val="nil"/>
              <w:right w:val="single" w:sz="8" w:space="0" w:color="auto"/>
            </w:tcBorders>
            <w:shd w:val="clear" w:color="auto" w:fill="auto"/>
            <w:noWrap/>
            <w:vAlign w:val="bottom"/>
            <w:hideMark/>
          </w:tcPr>
          <w:p w14:paraId="5C6452D7"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7.609283</w:t>
            </w:r>
          </w:p>
        </w:tc>
        <w:tc>
          <w:tcPr>
            <w:tcW w:w="688" w:type="dxa"/>
            <w:tcBorders>
              <w:top w:val="nil"/>
              <w:left w:val="nil"/>
              <w:bottom w:val="nil"/>
              <w:right w:val="nil"/>
            </w:tcBorders>
            <w:shd w:val="clear" w:color="auto" w:fill="auto"/>
            <w:noWrap/>
            <w:vAlign w:val="bottom"/>
            <w:hideMark/>
          </w:tcPr>
          <w:p w14:paraId="0FCAF918"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std</w:t>
            </w:r>
          </w:p>
        </w:tc>
        <w:tc>
          <w:tcPr>
            <w:tcW w:w="1096" w:type="dxa"/>
            <w:tcBorders>
              <w:top w:val="nil"/>
              <w:left w:val="nil"/>
              <w:bottom w:val="nil"/>
              <w:right w:val="nil"/>
            </w:tcBorders>
            <w:shd w:val="clear" w:color="auto" w:fill="auto"/>
            <w:noWrap/>
            <w:vAlign w:val="bottom"/>
            <w:hideMark/>
          </w:tcPr>
          <w:p w14:paraId="78C2D246"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2.962073</w:t>
            </w:r>
          </w:p>
        </w:tc>
        <w:tc>
          <w:tcPr>
            <w:tcW w:w="1096" w:type="dxa"/>
            <w:tcBorders>
              <w:top w:val="nil"/>
              <w:left w:val="nil"/>
              <w:bottom w:val="nil"/>
              <w:right w:val="single" w:sz="8" w:space="0" w:color="auto"/>
            </w:tcBorders>
            <w:shd w:val="clear" w:color="auto" w:fill="auto"/>
            <w:noWrap/>
            <w:vAlign w:val="bottom"/>
            <w:hideMark/>
          </w:tcPr>
          <w:p w14:paraId="6509CF59"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7.519202</w:t>
            </w:r>
          </w:p>
        </w:tc>
        <w:tc>
          <w:tcPr>
            <w:tcW w:w="688" w:type="dxa"/>
            <w:tcBorders>
              <w:top w:val="nil"/>
              <w:left w:val="nil"/>
              <w:bottom w:val="nil"/>
              <w:right w:val="nil"/>
            </w:tcBorders>
            <w:shd w:val="clear" w:color="auto" w:fill="auto"/>
            <w:noWrap/>
            <w:vAlign w:val="bottom"/>
            <w:hideMark/>
          </w:tcPr>
          <w:p w14:paraId="4464765A"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std</w:t>
            </w:r>
          </w:p>
        </w:tc>
        <w:tc>
          <w:tcPr>
            <w:tcW w:w="1096" w:type="dxa"/>
            <w:tcBorders>
              <w:top w:val="nil"/>
              <w:left w:val="nil"/>
              <w:bottom w:val="nil"/>
              <w:right w:val="nil"/>
            </w:tcBorders>
            <w:shd w:val="clear" w:color="auto" w:fill="auto"/>
            <w:noWrap/>
            <w:vAlign w:val="bottom"/>
            <w:hideMark/>
          </w:tcPr>
          <w:p w14:paraId="5D1D3F8C"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1.767306</w:t>
            </w:r>
          </w:p>
        </w:tc>
        <w:tc>
          <w:tcPr>
            <w:tcW w:w="1096" w:type="dxa"/>
            <w:tcBorders>
              <w:top w:val="nil"/>
              <w:left w:val="nil"/>
              <w:bottom w:val="nil"/>
              <w:right w:val="single" w:sz="8" w:space="0" w:color="auto"/>
            </w:tcBorders>
            <w:shd w:val="clear" w:color="auto" w:fill="auto"/>
            <w:noWrap/>
            <w:vAlign w:val="bottom"/>
            <w:hideMark/>
          </w:tcPr>
          <w:p w14:paraId="461BCA6E"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7.374364</w:t>
            </w:r>
          </w:p>
        </w:tc>
      </w:tr>
      <w:tr w:rsidR="00B8553C" w:rsidRPr="00B8553C" w14:paraId="1FBFCC6F" w14:textId="77777777" w:rsidTr="00B8553C">
        <w:trPr>
          <w:trHeight w:val="290"/>
        </w:trPr>
        <w:tc>
          <w:tcPr>
            <w:tcW w:w="688" w:type="dxa"/>
            <w:tcBorders>
              <w:top w:val="nil"/>
              <w:left w:val="single" w:sz="8" w:space="0" w:color="auto"/>
              <w:bottom w:val="nil"/>
              <w:right w:val="nil"/>
            </w:tcBorders>
            <w:shd w:val="clear" w:color="auto" w:fill="auto"/>
            <w:noWrap/>
            <w:vAlign w:val="bottom"/>
            <w:hideMark/>
          </w:tcPr>
          <w:p w14:paraId="16875816"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min</w:t>
            </w:r>
          </w:p>
        </w:tc>
        <w:tc>
          <w:tcPr>
            <w:tcW w:w="1096" w:type="dxa"/>
            <w:tcBorders>
              <w:top w:val="nil"/>
              <w:left w:val="nil"/>
              <w:bottom w:val="nil"/>
              <w:right w:val="nil"/>
            </w:tcBorders>
            <w:shd w:val="clear" w:color="auto" w:fill="auto"/>
            <w:noWrap/>
            <w:vAlign w:val="bottom"/>
            <w:hideMark/>
          </w:tcPr>
          <w:p w14:paraId="614AFCC9"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4.13</w:t>
            </w:r>
          </w:p>
        </w:tc>
        <w:tc>
          <w:tcPr>
            <w:tcW w:w="1096" w:type="dxa"/>
            <w:tcBorders>
              <w:top w:val="nil"/>
              <w:left w:val="nil"/>
              <w:bottom w:val="nil"/>
              <w:right w:val="single" w:sz="8" w:space="0" w:color="auto"/>
            </w:tcBorders>
            <w:shd w:val="clear" w:color="auto" w:fill="auto"/>
            <w:noWrap/>
            <w:vAlign w:val="bottom"/>
            <w:hideMark/>
          </w:tcPr>
          <w:p w14:paraId="14D09F16"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13.28</w:t>
            </w:r>
          </w:p>
        </w:tc>
        <w:tc>
          <w:tcPr>
            <w:tcW w:w="688" w:type="dxa"/>
            <w:tcBorders>
              <w:top w:val="nil"/>
              <w:left w:val="nil"/>
              <w:bottom w:val="nil"/>
              <w:right w:val="nil"/>
            </w:tcBorders>
            <w:shd w:val="clear" w:color="auto" w:fill="auto"/>
            <w:noWrap/>
            <w:vAlign w:val="bottom"/>
            <w:hideMark/>
          </w:tcPr>
          <w:p w14:paraId="2273D055"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min</w:t>
            </w:r>
          </w:p>
        </w:tc>
        <w:tc>
          <w:tcPr>
            <w:tcW w:w="1096" w:type="dxa"/>
            <w:tcBorders>
              <w:top w:val="nil"/>
              <w:left w:val="nil"/>
              <w:bottom w:val="nil"/>
              <w:right w:val="nil"/>
            </w:tcBorders>
            <w:shd w:val="clear" w:color="auto" w:fill="auto"/>
            <w:noWrap/>
            <w:vAlign w:val="bottom"/>
            <w:hideMark/>
          </w:tcPr>
          <w:p w14:paraId="500C0F57"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4.69</w:t>
            </w:r>
          </w:p>
        </w:tc>
        <w:tc>
          <w:tcPr>
            <w:tcW w:w="1096" w:type="dxa"/>
            <w:tcBorders>
              <w:top w:val="nil"/>
              <w:left w:val="nil"/>
              <w:bottom w:val="nil"/>
              <w:right w:val="single" w:sz="8" w:space="0" w:color="auto"/>
            </w:tcBorders>
            <w:shd w:val="clear" w:color="auto" w:fill="auto"/>
            <w:noWrap/>
            <w:vAlign w:val="bottom"/>
            <w:hideMark/>
          </w:tcPr>
          <w:p w14:paraId="79B55ADD"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13.71</w:t>
            </w:r>
          </w:p>
        </w:tc>
        <w:tc>
          <w:tcPr>
            <w:tcW w:w="688" w:type="dxa"/>
            <w:tcBorders>
              <w:top w:val="nil"/>
              <w:left w:val="nil"/>
              <w:bottom w:val="nil"/>
              <w:right w:val="nil"/>
            </w:tcBorders>
            <w:shd w:val="clear" w:color="auto" w:fill="auto"/>
            <w:noWrap/>
            <w:vAlign w:val="bottom"/>
            <w:hideMark/>
          </w:tcPr>
          <w:p w14:paraId="3D6BBD75"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min</w:t>
            </w:r>
          </w:p>
        </w:tc>
        <w:tc>
          <w:tcPr>
            <w:tcW w:w="1096" w:type="dxa"/>
            <w:tcBorders>
              <w:top w:val="nil"/>
              <w:left w:val="nil"/>
              <w:bottom w:val="nil"/>
              <w:right w:val="nil"/>
            </w:tcBorders>
            <w:shd w:val="clear" w:color="auto" w:fill="auto"/>
            <w:noWrap/>
            <w:vAlign w:val="bottom"/>
            <w:hideMark/>
          </w:tcPr>
          <w:p w14:paraId="694FFE01"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4.13</w:t>
            </w:r>
          </w:p>
        </w:tc>
        <w:tc>
          <w:tcPr>
            <w:tcW w:w="1096" w:type="dxa"/>
            <w:tcBorders>
              <w:top w:val="nil"/>
              <w:left w:val="nil"/>
              <w:bottom w:val="nil"/>
              <w:right w:val="single" w:sz="8" w:space="0" w:color="auto"/>
            </w:tcBorders>
            <w:shd w:val="clear" w:color="auto" w:fill="auto"/>
            <w:noWrap/>
            <w:vAlign w:val="bottom"/>
            <w:hideMark/>
          </w:tcPr>
          <w:p w14:paraId="3CD057A9"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13.28</w:t>
            </w:r>
          </w:p>
        </w:tc>
      </w:tr>
      <w:tr w:rsidR="00B8553C" w:rsidRPr="00B8553C" w14:paraId="557A8687" w14:textId="77777777" w:rsidTr="00B8553C">
        <w:trPr>
          <w:trHeight w:val="290"/>
        </w:trPr>
        <w:tc>
          <w:tcPr>
            <w:tcW w:w="688" w:type="dxa"/>
            <w:tcBorders>
              <w:top w:val="nil"/>
              <w:left w:val="single" w:sz="8" w:space="0" w:color="auto"/>
              <w:bottom w:val="nil"/>
              <w:right w:val="nil"/>
            </w:tcBorders>
            <w:shd w:val="clear" w:color="auto" w:fill="auto"/>
            <w:noWrap/>
            <w:vAlign w:val="bottom"/>
            <w:hideMark/>
          </w:tcPr>
          <w:p w14:paraId="1C12703B"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25%</w:t>
            </w:r>
          </w:p>
        </w:tc>
        <w:tc>
          <w:tcPr>
            <w:tcW w:w="1096" w:type="dxa"/>
            <w:tcBorders>
              <w:top w:val="nil"/>
              <w:left w:val="nil"/>
              <w:bottom w:val="nil"/>
              <w:right w:val="nil"/>
            </w:tcBorders>
            <w:shd w:val="clear" w:color="auto" w:fill="auto"/>
            <w:noWrap/>
            <w:vAlign w:val="bottom"/>
            <w:hideMark/>
          </w:tcPr>
          <w:p w14:paraId="0A6839DD"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6.85</w:t>
            </w:r>
          </w:p>
        </w:tc>
        <w:tc>
          <w:tcPr>
            <w:tcW w:w="1096" w:type="dxa"/>
            <w:tcBorders>
              <w:top w:val="nil"/>
              <w:left w:val="nil"/>
              <w:bottom w:val="nil"/>
              <w:right w:val="single" w:sz="8" w:space="0" w:color="auto"/>
            </w:tcBorders>
            <w:shd w:val="clear" w:color="auto" w:fill="auto"/>
            <w:noWrap/>
            <w:vAlign w:val="bottom"/>
            <w:hideMark/>
          </w:tcPr>
          <w:p w14:paraId="5B809020"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18.6175</w:t>
            </w:r>
          </w:p>
        </w:tc>
        <w:tc>
          <w:tcPr>
            <w:tcW w:w="688" w:type="dxa"/>
            <w:tcBorders>
              <w:top w:val="nil"/>
              <w:left w:val="nil"/>
              <w:bottom w:val="nil"/>
              <w:right w:val="nil"/>
            </w:tcBorders>
            <w:shd w:val="clear" w:color="auto" w:fill="auto"/>
            <w:noWrap/>
            <w:vAlign w:val="bottom"/>
            <w:hideMark/>
          </w:tcPr>
          <w:p w14:paraId="6E260858"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25%</w:t>
            </w:r>
          </w:p>
        </w:tc>
        <w:tc>
          <w:tcPr>
            <w:tcW w:w="1096" w:type="dxa"/>
            <w:tcBorders>
              <w:top w:val="nil"/>
              <w:left w:val="nil"/>
              <w:bottom w:val="nil"/>
              <w:right w:val="nil"/>
            </w:tcBorders>
            <w:shd w:val="clear" w:color="auto" w:fill="auto"/>
            <w:noWrap/>
            <w:vAlign w:val="bottom"/>
            <w:hideMark/>
          </w:tcPr>
          <w:p w14:paraId="441B0750"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8.1725</w:t>
            </w:r>
          </w:p>
        </w:tc>
        <w:tc>
          <w:tcPr>
            <w:tcW w:w="1096" w:type="dxa"/>
            <w:tcBorders>
              <w:top w:val="nil"/>
              <w:left w:val="nil"/>
              <w:bottom w:val="nil"/>
              <w:right w:val="single" w:sz="8" w:space="0" w:color="auto"/>
            </w:tcBorders>
            <w:shd w:val="clear" w:color="auto" w:fill="auto"/>
            <w:noWrap/>
            <w:vAlign w:val="bottom"/>
            <w:hideMark/>
          </w:tcPr>
          <w:p w14:paraId="5BF45EE7"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20.3725</w:t>
            </w:r>
          </w:p>
        </w:tc>
        <w:tc>
          <w:tcPr>
            <w:tcW w:w="688" w:type="dxa"/>
            <w:tcBorders>
              <w:top w:val="nil"/>
              <w:left w:val="nil"/>
              <w:bottom w:val="nil"/>
              <w:right w:val="nil"/>
            </w:tcBorders>
            <w:shd w:val="clear" w:color="auto" w:fill="auto"/>
            <w:noWrap/>
            <w:vAlign w:val="bottom"/>
            <w:hideMark/>
          </w:tcPr>
          <w:p w14:paraId="48E9B1C3"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25%</w:t>
            </w:r>
          </w:p>
        </w:tc>
        <w:tc>
          <w:tcPr>
            <w:tcW w:w="1096" w:type="dxa"/>
            <w:tcBorders>
              <w:top w:val="nil"/>
              <w:left w:val="nil"/>
              <w:bottom w:val="nil"/>
              <w:right w:val="nil"/>
            </w:tcBorders>
            <w:shd w:val="clear" w:color="auto" w:fill="auto"/>
            <w:noWrap/>
            <w:vAlign w:val="bottom"/>
            <w:hideMark/>
          </w:tcPr>
          <w:p w14:paraId="48556A9E"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6.21</w:t>
            </w:r>
          </w:p>
        </w:tc>
        <w:tc>
          <w:tcPr>
            <w:tcW w:w="1096" w:type="dxa"/>
            <w:tcBorders>
              <w:top w:val="nil"/>
              <w:left w:val="nil"/>
              <w:bottom w:val="nil"/>
              <w:right w:val="single" w:sz="8" w:space="0" w:color="auto"/>
            </w:tcBorders>
            <w:shd w:val="clear" w:color="auto" w:fill="auto"/>
            <w:noWrap/>
            <w:vAlign w:val="bottom"/>
            <w:hideMark/>
          </w:tcPr>
          <w:p w14:paraId="0FE81501"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17.4875</w:t>
            </w:r>
          </w:p>
        </w:tc>
      </w:tr>
      <w:tr w:rsidR="00B8553C" w:rsidRPr="00B8553C" w14:paraId="326BFEFB" w14:textId="77777777" w:rsidTr="00B8553C">
        <w:trPr>
          <w:trHeight w:val="290"/>
        </w:trPr>
        <w:tc>
          <w:tcPr>
            <w:tcW w:w="688" w:type="dxa"/>
            <w:tcBorders>
              <w:top w:val="nil"/>
              <w:left w:val="single" w:sz="8" w:space="0" w:color="auto"/>
              <w:bottom w:val="nil"/>
              <w:right w:val="nil"/>
            </w:tcBorders>
            <w:shd w:val="clear" w:color="auto" w:fill="auto"/>
            <w:noWrap/>
            <w:vAlign w:val="bottom"/>
            <w:hideMark/>
          </w:tcPr>
          <w:p w14:paraId="5887C79A"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50%</w:t>
            </w:r>
          </w:p>
        </w:tc>
        <w:tc>
          <w:tcPr>
            <w:tcW w:w="1096" w:type="dxa"/>
            <w:tcBorders>
              <w:top w:val="nil"/>
              <w:left w:val="nil"/>
              <w:bottom w:val="nil"/>
              <w:right w:val="nil"/>
            </w:tcBorders>
            <w:shd w:val="clear" w:color="auto" w:fill="auto"/>
            <w:noWrap/>
            <w:vAlign w:val="bottom"/>
            <w:hideMark/>
          </w:tcPr>
          <w:p w14:paraId="6C0141A0"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8.19</w:t>
            </w:r>
          </w:p>
        </w:tc>
        <w:tc>
          <w:tcPr>
            <w:tcW w:w="1096" w:type="dxa"/>
            <w:tcBorders>
              <w:top w:val="nil"/>
              <w:left w:val="nil"/>
              <w:bottom w:val="nil"/>
              <w:right w:val="single" w:sz="8" w:space="0" w:color="auto"/>
            </w:tcBorders>
            <w:shd w:val="clear" w:color="auto" w:fill="auto"/>
            <w:noWrap/>
            <w:vAlign w:val="bottom"/>
            <w:hideMark/>
          </w:tcPr>
          <w:p w14:paraId="073F796F"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21.965</w:t>
            </w:r>
          </w:p>
        </w:tc>
        <w:tc>
          <w:tcPr>
            <w:tcW w:w="688" w:type="dxa"/>
            <w:tcBorders>
              <w:top w:val="nil"/>
              <w:left w:val="nil"/>
              <w:bottom w:val="nil"/>
              <w:right w:val="nil"/>
            </w:tcBorders>
            <w:shd w:val="clear" w:color="auto" w:fill="auto"/>
            <w:noWrap/>
            <w:vAlign w:val="bottom"/>
            <w:hideMark/>
          </w:tcPr>
          <w:p w14:paraId="292256CA"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50%</w:t>
            </w:r>
          </w:p>
        </w:tc>
        <w:tc>
          <w:tcPr>
            <w:tcW w:w="1096" w:type="dxa"/>
            <w:tcBorders>
              <w:top w:val="nil"/>
              <w:left w:val="nil"/>
              <w:bottom w:val="nil"/>
              <w:right w:val="nil"/>
            </w:tcBorders>
            <w:shd w:val="clear" w:color="auto" w:fill="auto"/>
            <w:noWrap/>
            <w:vAlign w:val="bottom"/>
            <w:hideMark/>
          </w:tcPr>
          <w:p w14:paraId="25685774"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9.9</w:t>
            </w:r>
          </w:p>
        </w:tc>
        <w:tc>
          <w:tcPr>
            <w:tcW w:w="1096" w:type="dxa"/>
            <w:tcBorders>
              <w:top w:val="nil"/>
              <w:left w:val="nil"/>
              <w:bottom w:val="nil"/>
              <w:right w:val="single" w:sz="8" w:space="0" w:color="auto"/>
            </w:tcBorders>
            <w:shd w:val="clear" w:color="auto" w:fill="auto"/>
            <w:noWrap/>
            <w:vAlign w:val="bottom"/>
            <w:hideMark/>
          </w:tcPr>
          <w:p w14:paraId="2EEFCF57"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23.47</w:t>
            </w:r>
          </w:p>
        </w:tc>
        <w:tc>
          <w:tcPr>
            <w:tcW w:w="688" w:type="dxa"/>
            <w:tcBorders>
              <w:top w:val="nil"/>
              <w:left w:val="nil"/>
              <w:bottom w:val="nil"/>
              <w:right w:val="nil"/>
            </w:tcBorders>
            <w:shd w:val="clear" w:color="auto" w:fill="auto"/>
            <w:noWrap/>
            <w:vAlign w:val="bottom"/>
            <w:hideMark/>
          </w:tcPr>
          <w:p w14:paraId="40F1FA0C"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50%</w:t>
            </w:r>
          </w:p>
        </w:tc>
        <w:tc>
          <w:tcPr>
            <w:tcW w:w="1096" w:type="dxa"/>
            <w:tcBorders>
              <w:top w:val="nil"/>
              <w:left w:val="nil"/>
              <w:bottom w:val="nil"/>
              <w:right w:val="nil"/>
            </w:tcBorders>
            <w:shd w:val="clear" w:color="auto" w:fill="auto"/>
            <w:noWrap/>
            <w:vAlign w:val="bottom"/>
            <w:hideMark/>
          </w:tcPr>
          <w:p w14:paraId="1E12761A"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7.3</w:t>
            </w:r>
          </w:p>
        </w:tc>
        <w:tc>
          <w:tcPr>
            <w:tcW w:w="1096" w:type="dxa"/>
            <w:tcBorders>
              <w:top w:val="nil"/>
              <w:left w:val="nil"/>
              <w:bottom w:val="nil"/>
              <w:right w:val="single" w:sz="8" w:space="0" w:color="auto"/>
            </w:tcBorders>
            <w:shd w:val="clear" w:color="auto" w:fill="auto"/>
            <w:noWrap/>
            <w:vAlign w:val="bottom"/>
            <w:hideMark/>
          </w:tcPr>
          <w:p w14:paraId="454991D2"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20.195</w:t>
            </w:r>
          </w:p>
        </w:tc>
      </w:tr>
      <w:tr w:rsidR="00B8553C" w:rsidRPr="00B8553C" w14:paraId="1640EC3E" w14:textId="77777777" w:rsidTr="00B8553C">
        <w:trPr>
          <w:trHeight w:val="290"/>
        </w:trPr>
        <w:tc>
          <w:tcPr>
            <w:tcW w:w="688" w:type="dxa"/>
            <w:tcBorders>
              <w:top w:val="nil"/>
              <w:left w:val="single" w:sz="8" w:space="0" w:color="auto"/>
              <w:bottom w:val="nil"/>
              <w:right w:val="nil"/>
            </w:tcBorders>
            <w:shd w:val="clear" w:color="auto" w:fill="auto"/>
            <w:noWrap/>
            <w:vAlign w:val="bottom"/>
            <w:hideMark/>
          </w:tcPr>
          <w:p w14:paraId="7421A6EA"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75%</w:t>
            </w:r>
          </w:p>
        </w:tc>
        <w:tc>
          <w:tcPr>
            <w:tcW w:w="1096" w:type="dxa"/>
            <w:tcBorders>
              <w:top w:val="nil"/>
              <w:left w:val="nil"/>
              <w:bottom w:val="nil"/>
              <w:right w:val="nil"/>
            </w:tcBorders>
            <w:shd w:val="clear" w:color="auto" w:fill="auto"/>
            <w:noWrap/>
            <w:vAlign w:val="bottom"/>
            <w:hideMark/>
          </w:tcPr>
          <w:p w14:paraId="4A0D6701"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10.2825</w:t>
            </w:r>
          </w:p>
        </w:tc>
        <w:tc>
          <w:tcPr>
            <w:tcW w:w="1096" w:type="dxa"/>
            <w:tcBorders>
              <w:top w:val="nil"/>
              <w:left w:val="nil"/>
              <w:bottom w:val="nil"/>
              <w:right w:val="single" w:sz="8" w:space="0" w:color="auto"/>
            </w:tcBorders>
            <w:shd w:val="clear" w:color="auto" w:fill="auto"/>
            <w:noWrap/>
            <w:vAlign w:val="bottom"/>
            <w:hideMark/>
          </w:tcPr>
          <w:p w14:paraId="7F355EE9"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25.82</w:t>
            </w:r>
          </w:p>
        </w:tc>
        <w:tc>
          <w:tcPr>
            <w:tcW w:w="688" w:type="dxa"/>
            <w:tcBorders>
              <w:top w:val="nil"/>
              <w:left w:val="nil"/>
              <w:bottom w:val="nil"/>
              <w:right w:val="nil"/>
            </w:tcBorders>
            <w:shd w:val="clear" w:color="auto" w:fill="auto"/>
            <w:noWrap/>
            <w:vAlign w:val="bottom"/>
            <w:hideMark/>
          </w:tcPr>
          <w:p w14:paraId="3D8710C6"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75%</w:t>
            </w:r>
          </w:p>
        </w:tc>
        <w:tc>
          <w:tcPr>
            <w:tcW w:w="1096" w:type="dxa"/>
            <w:tcBorders>
              <w:top w:val="nil"/>
              <w:left w:val="nil"/>
              <w:bottom w:val="nil"/>
              <w:right w:val="nil"/>
            </w:tcBorders>
            <w:shd w:val="clear" w:color="auto" w:fill="auto"/>
            <w:noWrap/>
            <w:vAlign w:val="bottom"/>
            <w:hideMark/>
          </w:tcPr>
          <w:p w14:paraId="019B46CA"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12.6025</w:t>
            </w:r>
          </w:p>
        </w:tc>
        <w:tc>
          <w:tcPr>
            <w:tcW w:w="1096" w:type="dxa"/>
            <w:tcBorders>
              <w:top w:val="nil"/>
              <w:left w:val="nil"/>
              <w:bottom w:val="nil"/>
              <w:right w:val="single" w:sz="8" w:space="0" w:color="auto"/>
            </w:tcBorders>
            <w:shd w:val="clear" w:color="auto" w:fill="auto"/>
            <w:noWrap/>
            <w:vAlign w:val="bottom"/>
            <w:hideMark/>
          </w:tcPr>
          <w:p w14:paraId="3CF7521B"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26.97</w:t>
            </w:r>
          </w:p>
        </w:tc>
        <w:tc>
          <w:tcPr>
            <w:tcW w:w="688" w:type="dxa"/>
            <w:tcBorders>
              <w:top w:val="nil"/>
              <w:left w:val="nil"/>
              <w:bottom w:val="nil"/>
              <w:right w:val="nil"/>
            </w:tcBorders>
            <w:shd w:val="clear" w:color="auto" w:fill="auto"/>
            <w:noWrap/>
            <w:vAlign w:val="bottom"/>
            <w:hideMark/>
          </w:tcPr>
          <w:p w14:paraId="77159B6A"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75%</w:t>
            </w:r>
          </w:p>
        </w:tc>
        <w:tc>
          <w:tcPr>
            <w:tcW w:w="1096" w:type="dxa"/>
            <w:tcBorders>
              <w:top w:val="nil"/>
              <w:left w:val="nil"/>
              <w:bottom w:val="nil"/>
              <w:right w:val="nil"/>
            </w:tcBorders>
            <w:shd w:val="clear" w:color="auto" w:fill="auto"/>
            <w:noWrap/>
            <w:vAlign w:val="bottom"/>
            <w:hideMark/>
          </w:tcPr>
          <w:p w14:paraId="12F8335D"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8.19</w:t>
            </w:r>
          </w:p>
        </w:tc>
        <w:tc>
          <w:tcPr>
            <w:tcW w:w="1096" w:type="dxa"/>
            <w:tcBorders>
              <w:top w:val="nil"/>
              <w:left w:val="nil"/>
              <w:bottom w:val="nil"/>
              <w:right w:val="single" w:sz="8" w:space="0" w:color="auto"/>
            </w:tcBorders>
            <w:shd w:val="clear" w:color="auto" w:fill="auto"/>
            <w:noWrap/>
            <w:vAlign w:val="bottom"/>
            <w:hideMark/>
          </w:tcPr>
          <w:p w14:paraId="56D72205"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24.1475</w:t>
            </w:r>
          </w:p>
        </w:tc>
      </w:tr>
      <w:tr w:rsidR="00B8553C" w:rsidRPr="00B8553C" w14:paraId="3456314D" w14:textId="77777777" w:rsidTr="00B8553C">
        <w:trPr>
          <w:trHeight w:val="300"/>
        </w:trPr>
        <w:tc>
          <w:tcPr>
            <w:tcW w:w="688" w:type="dxa"/>
            <w:tcBorders>
              <w:top w:val="nil"/>
              <w:left w:val="single" w:sz="8" w:space="0" w:color="auto"/>
              <w:bottom w:val="single" w:sz="8" w:space="0" w:color="auto"/>
              <w:right w:val="nil"/>
            </w:tcBorders>
            <w:shd w:val="clear" w:color="auto" w:fill="auto"/>
            <w:noWrap/>
            <w:vAlign w:val="bottom"/>
            <w:hideMark/>
          </w:tcPr>
          <w:p w14:paraId="53B3B281"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max</w:t>
            </w:r>
          </w:p>
        </w:tc>
        <w:tc>
          <w:tcPr>
            <w:tcW w:w="1096" w:type="dxa"/>
            <w:tcBorders>
              <w:top w:val="nil"/>
              <w:left w:val="nil"/>
              <w:bottom w:val="single" w:sz="8" w:space="0" w:color="auto"/>
              <w:right w:val="nil"/>
            </w:tcBorders>
            <w:shd w:val="clear" w:color="auto" w:fill="auto"/>
            <w:noWrap/>
            <w:vAlign w:val="bottom"/>
            <w:hideMark/>
          </w:tcPr>
          <w:p w14:paraId="2FD3F09B"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19.87</w:t>
            </w:r>
          </w:p>
        </w:tc>
        <w:tc>
          <w:tcPr>
            <w:tcW w:w="1096" w:type="dxa"/>
            <w:tcBorders>
              <w:top w:val="nil"/>
              <w:left w:val="nil"/>
              <w:bottom w:val="single" w:sz="8" w:space="0" w:color="auto"/>
              <w:right w:val="single" w:sz="8" w:space="0" w:color="auto"/>
            </w:tcBorders>
            <w:shd w:val="clear" w:color="auto" w:fill="auto"/>
            <w:noWrap/>
            <w:vAlign w:val="bottom"/>
            <w:hideMark/>
          </w:tcPr>
          <w:p w14:paraId="70C239CE"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92.46</w:t>
            </w:r>
          </w:p>
        </w:tc>
        <w:tc>
          <w:tcPr>
            <w:tcW w:w="688" w:type="dxa"/>
            <w:tcBorders>
              <w:top w:val="nil"/>
              <w:left w:val="nil"/>
              <w:bottom w:val="single" w:sz="8" w:space="0" w:color="auto"/>
              <w:right w:val="nil"/>
            </w:tcBorders>
            <w:shd w:val="clear" w:color="auto" w:fill="auto"/>
            <w:noWrap/>
            <w:vAlign w:val="bottom"/>
            <w:hideMark/>
          </w:tcPr>
          <w:p w14:paraId="66308952"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max</w:t>
            </w:r>
          </w:p>
        </w:tc>
        <w:tc>
          <w:tcPr>
            <w:tcW w:w="1096" w:type="dxa"/>
            <w:tcBorders>
              <w:top w:val="nil"/>
              <w:left w:val="nil"/>
              <w:bottom w:val="single" w:sz="8" w:space="0" w:color="auto"/>
              <w:right w:val="nil"/>
            </w:tcBorders>
            <w:shd w:val="clear" w:color="auto" w:fill="auto"/>
            <w:noWrap/>
            <w:vAlign w:val="bottom"/>
            <w:hideMark/>
          </w:tcPr>
          <w:p w14:paraId="6F1107CC"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19.87</w:t>
            </w:r>
          </w:p>
        </w:tc>
        <w:tc>
          <w:tcPr>
            <w:tcW w:w="1096" w:type="dxa"/>
            <w:tcBorders>
              <w:top w:val="nil"/>
              <w:left w:val="nil"/>
              <w:bottom w:val="single" w:sz="8" w:space="0" w:color="auto"/>
              <w:right w:val="single" w:sz="8" w:space="0" w:color="auto"/>
            </w:tcBorders>
            <w:shd w:val="clear" w:color="auto" w:fill="auto"/>
            <w:noWrap/>
            <w:vAlign w:val="bottom"/>
            <w:hideMark/>
          </w:tcPr>
          <w:p w14:paraId="7B65045B"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64.1</w:t>
            </w:r>
          </w:p>
        </w:tc>
        <w:tc>
          <w:tcPr>
            <w:tcW w:w="688" w:type="dxa"/>
            <w:tcBorders>
              <w:top w:val="nil"/>
              <w:left w:val="nil"/>
              <w:bottom w:val="single" w:sz="8" w:space="0" w:color="auto"/>
              <w:right w:val="nil"/>
            </w:tcBorders>
            <w:shd w:val="clear" w:color="auto" w:fill="auto"/>
            <w:noWrap/>
            <w:vAlign w:val="bottom"/>
            <w:hideMark/>
          </w:tcPr>
          <w:p w14:paraId="6D6522F3" w14:textId="77777777" w:rsidR="00B8553C" w:rsidRPr="00B8553C" w:rsidRDefault="00B8553C" w:rsidP="00B8553C">
            <w:pPr>
              <w:spacing w:after="0" w:line="240" w:lineRule="auto"/>
              <w:rPr>
                <w:rFonts w:ascii="Calibri" w:eastAsia="Times New Roman" w:hAnsi="Calibri" w:cs="Calibri"/>
                <w:color w:val="000000"/>
              </w:rPr>
            </w:pPr>
            <w:r w:rsidRPr="00B8553C">
              <w:rPr>
                <w:rFonts w:ascii="Calibri" w:eastAsia="Times New Roman" w:hAnsi="Calibri" w:cs="Calibri"/>
                <w:color w:val="000000"/>
              </w:rPr>
              <w:t>max</w:t>
            </w:r>
          </w:p>
        </w:tc>
        <w:tc>
          <w:tcPr>
            <w:tcW w:w="1096" w:type="dxa"/>
            <w:tcBorders>
              <w:top w:val="nil"/>
              <w:left w:val="nil"/>
              <w:bottom w:val="single" w:sz="8" w:space="0" w:color="auto"/>
              <w:right w:val="nil"/>
            </w:tcBorders>
            <w:shd w:val="clear" w:color="auto" w:fill="auto"/>
            <w:noWrap/>
            <w:vAlign w:val="bottom"/>
            <w:hideMark/>
          </w:tcPr>
          <w:p w14:paraId="5BFAA2E9"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19.31</w:t>
            </w:r>
          </w:p>
        </w:tc>
        <w:tc>
          <w:tcPr>
            <w:tcW w:w="1096" w:type="dxa"/>
            <w:tcBorders>
              <w:top w:val="nil"/>
              <w:left w:val="nil"/>
              <w:bottom w:val="single" w:sz="8" w:space="0" w:color="auto"/>
              <w:right w:val="single" w:sz="8" w:space="0" w:color="auto"/>
            </w:tcBorders>
            <w:shd w:val="clear" w:color="auto" w:fill="auto"/>
            <w:noWrap/>
            <w:vAlign w:val="bottom"/>
            <w:hideMark/>
          </w:tcPr>
          <w:p w14:paraId="3948AE5E" w14:textId="77777777" w:rsidR="00B8553C" w:rsidRPr="00B8553C" w:rsidRDefault="00B8553C" w:rsidP="00B8553C">
            <w:pPr>
              <w:spacing w:after="0" w:line="240" w:lineRule="auto"/>
              <w:jc w:val="right"/>
              <w:rPr>
                <w:rFonts w:ascii="Calibri" w:eastAsia="Times New Roman" w:hAnsi="Calibri" w:cs="Calibri"/>
                <w:color w:val="000000"/>
              </w:rPr>
            </w:pPr>
            <w:r w:rsidRPr="00B8553C">
              <w:rPr>
                <w:rFonts w:ascii="Calibri" w:eastAsia="Times New Roman" w:hAnsi="Calibri" w:cs="Calibri"/>
                <w:color w:val="000000"/>
              </w:rPr>
              <w:t>92.46</w:t>
            </w:r>
          </w:p>
        </w:tc>
      </w:tr>
    </w:tbl>
    <w:p w14:paraId="041C4388" w14:textId="77777777" w:rsidR="00B8553C" w:rsidRDefault="00B8553C" w:rsidP="00CE60D1"/>
    <w:p w14:paraId="67948D8F" w14:textId="5E321015" w:rsidR="005E50DE" w:rsidRDefault="001362F0" w:rsidP="00CE60D1">
      <w:r>
        <w:t>Above is a table of the descriptive statistics for the whole sample of data for EVZ and VXEEM, the 1</w:t>
      </w:r>
      <w:r w:rsidRPr="001362F0">
        <w:rPr>
          <w:vertAlign w:val="superscript"/>
        </w:rPr>
        <w:t>st</w:t>
      </w:r>
      <w:r>
        <w:t xml:space="preserve"> split sample and the 2</w:t>
      </w:r>
      <w:r w:rsidRPr="001362F0">
        <w:rPr>
          <w:vertAlign w:val="superscript"/>
        </w:rPr>
        <w:t>nd</w:t>
      </w:r>
      <w:r>
        <w:t xml:space="preserve"> split sample. I decided to split my sample in half rather than splitting into 2 thirds and one third because of higher variability in more recent data due to COVID. By splitting my data in half the 2</w:t>
      </w:r>
      <w:r w:rsidRPr="001362F0">
        <w:rPr>
          <w:vertAlign w:val="superscript"/>
        </w:rPr>
        <w:t>nd</w:t>
      </w:r>
      <w:r>
        <w:t xml:space="preserve"> split sample has a more accurate estimate of its standard deviation since the higher variability portion of the data isn’t weighted as heavily. </w:t>
      </w:r>
      <w:r w:rsidR="005E50DE">
        <w:t xml:space="preserve">When comparing the mean and standard deviation between the two split samples for EVZ and VXEEM there seems to be some fair differences. The mean of split sample 2 for EVZ is 7.40 which is about 25% lower than the mean of 10.38 in sample 1. The standard deviation for EVZ in sample 2 has surprisingly decreased despite COVID taking place in that samples data. On the other hand, VXEEM’s mean doesn’t change too much between the two samples and the standard deviation is surprisingly very similar. However, we can’t come to any conclusions without doing some t tests and f tests. Below </w:t>
      </w:r>
      <w:r w:rsidR="003B6EC0">
        <w:t>are</w:t>
      </w:r>
      <w:r w:rsidR="005E50DE">
        <w:t xml:space="preserve"> the codes outputs for these tests:</w:t>
      </w:r>
    </w:p>
    <w:p w14:paraId="0015FA9C" w14:textId="77777777" w:rsidR="005E50DE" w:rsidRDefault="005E50DE" w:rsidP="00CE60D1"/>
    <w:p w14:paraId="75FFE763" w14:textId="385F993F" w:rsidR="005E50DE" w:rsidRPr="005E50DE" w:rsidRDefault="005E50DE" w:rsidP="005E50DE">
      <w:pPr>
        <w:rPr>
          <w:b/>
          <w:bCs/>
        </w:rPr>
      </w:pPr>
      <w:r w:rsidRPr="005E50DE">
        <w:rPr>
          <w:b/>
          <w:bCs/>
        </w:rPr>
        <w:t>t-statistic (EVZ) = 31.4688 p-value =  0.0</w:t>
      </w:r>
    </w:p>
    <w:p w14:paraId="755CC450" w14:textId="43833657" w:rsidR="005E50DE" w:rsidRPr="005E50DE" w:rsidRDefault="005E50DE" w:rsidP="005E50DE">
      <w:pPr>
        <w:rPr>
          <w:b/>
          <w:bCs/>
        </w:rPr>
      </w:pPr>
      <w:r w:rsidRPr="005E50DE">
        <w:rPr>
          <w:b/>
          <w:bCs/>
        </w:rPr>
        <w:t>F (EVZ) = 2.8091  p-value =  0.0</w:t>
      </w:r>
    </w:p>
    <w:p w14:paraId="02E41AF1" w14:textId="73912150" w:rsidR="005E50DE" w:rsidRPr="005E50DE" w:rsidRDefault="005E50DE" w:rsidP="005E50DE">
      <w:pPr>
        <w:rPr>
          <w:b/>
          <w:bCs/>
        </w:rPr>
      </w:pPr>
      <w:r w:rsidRPr="005E50DE">
        <w:rPr>
          <w:b/>
          <w:bCs/>
        </w:rPr>
        <w:t>t-statistic (VXEEM) = 31.4688  p-value =  0.0</w:t>
      </w:r>
    </w:p>
    <w:p w14:paraId="03EA35FE" w14:textId="77777777" w:rsidR="005E50DE" w:rsidRPr="005E50DE" w:rsidRDefault="005E50DE" w:rsidP="005E50DE">
      <w:pPr>
        <w:rPr>
          <w:b/>
          <w:bCs/>
        </w:rPr>
      </w:pPr>
      <w:r w:rsidRPr="005E50DE">
        <w:rPr>
          <w:b/>
          <w:bCs/>
        </w:rPr>
        <w:t>F (VXEEM) =  1.0397  p-value =  0.2391</w:t>
      </w:r>
    </w:p>
    <w:p w14:paraId="44105F54" w14:textId="554BF338" w:rsidR="005E50DE" w:rsidRDefault="005E50DE" w:rsidP="005E50DE"/>
    <w:p w14:paraId="5DBE7C6A" w14:textId="11D23ED4" w:rsidR="005E50DE" w:rsidRDefault="005E50DE" w:rsidP="005E50DE">
      <w:r>
        <w:t xml:space="preserve">After completing the t test and f test between the two samples </w:t>
      </w:r>
      <w:r w:rsidR="00AF5076">
        <w:t>it seems that we will reject the null hypothesis that there is no difference between the two means for both data sets</w:t>
      </w:r>
      <w:r w:rsidR="003B6EC0">
        <w:t>.</w:t>
      </w:r>
      <w:r w:rsidR="00AF5076">
        <w:t xml:space="preserve"> </w:t>
      </w:r>
      <w:r w:rsidR="00AF41DF">
        <w:t>We can also reject the null that there is not difference in variances for EVZ but not for VXEEM. From these results it appears that our data is not stationary, however, this could be due to the increased volatility in split sample 2 due to COVID-19. If retested on data that doesn’t include high volatility periods during 2020 we may come to a different conclusion.</w:t>
      </w:r>
    </w:p>
    <w:p w14:paraId="24572051" w14:textId="77777777" w:rsidR="005E50DE" w:rsidRDefault="005E50DE" w:rsidP="005E50DE"/>
    <w:p w14:paraId="5F3D7F5D" w14:textId="587AF9F6" w:rsidR="005E50DE" w:rsidRDefault="005E50DE" w:rsidP="005E50DE"/>
    <w:p w14:paraId="00D446E3" w14:textId="6AB010E2" w:rsidR="00AF5076" w:rsidRDefault="00AF5076" w:rsidP="005E50DE"/>
    <w:p w14:paraId="7F84A490" w14:textId="1EAA1449" w:rsidR="00AF5076" w:rsidRDefault="00AF5076" w:rsidP="005E50DE"/>
    <w:p w14:paraId="7DD9049D" w14:textId="099301E9" w:rsidR="00AF5076" w:rsidRDefault="00AF5076" w:rsidP="005E50DE"/>
    <w:p w14:paraId="67BCF952" w14:textId="69AA6900" w:rsidR="00AF5076" w:rsidRDefault="00AF5076" w:rsidP="005E50DE">
      <w:r>
        <w:t>After completing an ADF test we get the output below:</w:t>
      </w:r>
    </w:p>
    <w:p w14:paraId="4B260BB8" w14:textId="3D7F7F25" w:rsidR="005E50DE" w:rsidRDefault="005E50DE" w:rsidP="005E50DE">
      <w:r>
        <w:t>Untransformed ADF test statistic for EVZ =  -4.0508  p-value = 0.0012</w:t>
      </w:r>
    </w:p>
    <w:p w14:paraId="41AAC29F" w14:textId="0D9C7664" w:rsidR="005E50DE" w:rsidRDefault="005E50DE" w:rsidP="005E50DE">
      <w:r>
        <w:t>Untransformed ADF test statistic for VXEEM =  -6.3726  p-value = 0.0</w:t>
      </w:r>
    </w:p>
    <w:p w14:paraId="78590D49" w14:textId="0B5F901A" w:rsidR="00152D8A" w:rsidRDefault="00152D8A" w:rsidP="00CE60D1"/>
    <w:p w14:paraId="6C27DC2E" w14:textId="4C73132E" w:rsidR="00152D8A" w:rsidRDefault="00231FAF" w:rsidP="00CE60D1">
      <w:r>
        <w:t xml:space="preserve">Before we can use an autoarima model or test for cointegration we must ensure our data is stationary, so I conducted an ADF test. </w:t>
      </w:r>
      <w:r w:rsidR="00AF5076">
        <w:t xml:space="preserve">Surprisingly enough we are going to reject the null hypothesis that the series is a unit root for both series, meaning that the series are in fact stationary. However, I was curious as to how much I could improve these test statistics and it seemed that differencing was the best transformation to use based on the trend of the data found by </w:t>
      </w:r>
      <w:r>
        <w:t>using</w:t>
      </w:r>
      <w:r w:rsidR="00AF5076">
        <w:t xml:space="preserve"> decomposition. Afterwards I got the following results from the ADF test: </w:t>
      </w:r>
    </w:p>
    <w:p w14:paraId="777099B8" w14:textId="77777777" w:rsidR="00AF5076" w:rsidRPr="00AF5076" w:rsidRDefault="00AF5076" w:rsidP="00AF5076">
      <w:pPr>
        <w:rPr>
          <w:b/>
          <w:bCs/>
        </w:rPr>
      </w:pPr>
      <w:r w:rsidRPr="00AF5076">
        <w:rPr>
          <w:b/>
          <w:bCs/>
        </w:rPr>
        <w:t>First difference transformed ADF test statistic for EVZ = -56.3133 p-value =  0.0</w:t>
      </w:r>
    </w:p>
    <w:p w14:paraId="7CE2C644" w14:textId="3234BB6B" w:rsidR="00AF5076" w:rsidRPr="00AF5076" w:rsidRDefault="00AF5076" w:rsidP="00AF5076">
      <w:pPr>
        <w:rPr>
          <w:b/>
          <w:bCs/>
        </w:rPr>
      </w:pPr>
      <w:r w:rsidRPr="00AF5076">
        <w:rPr>
          <w:b/>
          <w:bCs/>
        </w:rPr>
        <w:t>First difference transformed ADF test statistic for VXEEM = -63.2902 p-value =  0.0</w:t>
      </w:r>
    </w:p>
    <w:p w14:paraId="2C06BE3B" w14:textId="19BCA66B" w:rsidR="00AF5076" w:rsidRPr="00AF5076" w:rsidRDefault="00AF5076" w:rsidP="00AF5076">
      <w:pPr>
        <w:rPr>
          <w:b/>
          <w:bCs/>
        </w:rPr>
      </w:pPr>
    </w:p>
    <w:p w14:paraId="75490732" w14:textId="343E4853" w:rsidR="00AF5076" w:rsidRPr="00AF5076" w:rsidRDefault="00AF5076" w:rsidP="00AF5076">
      <w:pPr>
        <w:rPr>
          <w:b/>
          <w:bCs/>
        </w:rPr>
      </w:pPr>
      <w:r w:rsidRPr="00AF5076">
        <w:rPr>
          <w:b/>
          <w:bCs/>
        </w:rPr>
        <w:t>coint t-statistic: -3.4963099974492273 coint p-value: 0.03272390376215259 critical values for t-statistic: [-3.90056355 -3.33842886 -3.04604542]</w:t>
      </w:r>
    </w:p>
    <w:p w14:paraId="36AB0259" w14:textId="40A46532" w:rsidR="00AF5076" w:rsidRPr="00CE60D1" w:rsidRDefault="00AF5076" w:rsidP="00AF5076">
      <w:r>
        <w:t xml:space="preserve">Lastly, is the test for cointegration which outputted the values above. We can conclude that EVZ and VXEEM are in fact cointegrated meaning they have a mean reverting relationship that can be statistically exploited for pairs trading. Because these series are correlated in the long term if they ever diverge from this relationship it would give us a trading opportunity to short one and long the other. </w:t>
      </w:r>
    </w:p>
    <w:sectPr w:rsidR="00AF5076" w:rsidRPr="00CE6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5D6"/>
    <w:rsid w:val="001362F0"/>
    <w:rsid w:val="00152D8A"/>
    <w:rsid w:val="001778F9"/>
    <w:rsid w:val="00231FAF"/>
    <w:rsid w:val="003B5F64"/>
    <w:rsid w:val="003B6EC0"/>
    <w:rsid w:val="0043449A"/>
    <w:rsid w:val="00486458"/>
    <w:rsid w:val="00542918"/>
    <w:rsid w:val="005E50DE"/>
    <w:rsid w:val="00846921"/>
    <w:rsid w:val="009125D6"/>
    <w:rsid w:val="00925128"/>
    <w:rsid w:val="009628BA"/>
    <w:rsid w:val="00AF41DF"/>
    <w:rsid w:val="00AF5076"/>
    <w:rsid w:val="00B131C6"/>
    <w:rsid w:val="00B8553C"/>
    <w:rsid w:val="00BB17D4"/>
    <w:rsid w:val="00C16577"/>
    <w:rsid w:val="00C55D9E"/>
    <w:rsid w:val="00CE60D1"/>
    <w:rsid w:val="00E5604A"/>
    <w:rsid w:val="00F772B1"/>
    <w:rsid w:val="00FE0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4FB0B"/>
  <w15:chartTrackingRefBased/>
  <w15:docId w15:val="{AB0D60FA-B537-4EF1-A767-0466A728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147411">
      <w:bodyDiv w:val="1"/>
      <w:marLeft w:val="0"/>
      <w:marRight w:val="0"/>
      <w:marTop w:val="0"/>
      <w:marBottom w:val="0"/>
      <w:divBdr>
        <w:top w:val="none" w:sz="0" w:space="0" w:color="auto"/>
        <w:left w:val="none" w:sz="0" w:space="0" w:color="auto"/>
        <w:bottom w:val="none" w:sz="0" w:space="0" w:color="auto"/>
        <w:right w:val="none" w:sz="0" w:space="0" w:color="auto"/>
      </w:divBdr>
    </w:div>
    <w:div w:id="1042050617">
      <w:bodyDiv w:val="1"/>
      <w:marLeft w:val="0"/>
      <w:marRight w:val="0"/>
      <w:marTop w:val="0"/>
      <w:marBottom w:val="0"/>
      <w:divBdr>
        <w:top w:val="none" w:sz="0" w:space="0" w:color="auto"/>
        <w:left w:val="none" w:sz="0" w:space="0" w:color="auto"/>
        <w:bottom w:val="none" w:sz="0" w:space="0" w:color="auto"/>
        <w:right w:val="none" w:sz="0" w:space="0" w:color="auto"/>
      </w:divBdr>
    </w:div>
    <w:div w:id="110619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TotalTime>
  <Pages>4</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Miller</dc:creator>
  <cp:keywords/>
  <dc:description/>
  <cp:lastModifiedBy>Gordon Miller</cp:lastModifiedBy>
  <cp:revision>6</cp:revision>
  <dcterms:created xsi:type="dcterms:W3CDTF">2021-11-02T15:14:00Z</dcterms:created>
  <dcterms:modified xsi:type="dcterms:W3CDTF">2022-04-10T20:10:00Z</dcterms:modified>
</cp:coreProperties>
</file>