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left"/>
      </w:pPr>
      <w:r>
        <w:rPr>
          <w:b/>
          <w:bCs/>
          <w:color w:val="2E75B6"/>
          <w:sz w:val="22"/>
          <w:szCs w:val="22"/>
        </w:rPr>
        <w:t xml:space="preserve">GORDON365  ·  MICROSOFT 365 TEMPLATE</w:t>
      </w:r>
    </w:p>
    <w:p>
      <w:pPr>
        <w:spacing w:before="200"/>
      </w:pPr>
      <w:r>
        <w:rPr>
          <w:b/>
          <w:bCs/>
          <w:color w:val="1F2937"/>
          <w:sz w:val="56"/>
          <w:szCs w:val="56"/>
        </w:rPr>
        <w:t xml:space="preserve">Conditional Access</w:t>
      </w:r>
    </w:p>
    <w:p>
      <w:r>
        <w:rPr>
          <w:b/>
          <w:bCs/>
          <w:color w:val="1F2937"/>
          <w:sz w:val="56"/>
          <w:szCs w:val="56"/>
        </w:rPr>
        <w:t xml:space="preserve">Hardening Pack</w:t>
      </w:r>
    </w:p>
    <w:p>
      <w:pPr>
        <w:spacing w:after="400" w:before="300"/>
      </w:pPr>
      <w:r>
        <w:rPr>
          <w:color w:val="6B7280"/>
          <w:sz w:val="26"/>
          <w:szCs w:val="26"/>
        </w:rPr>
        <w:t xml:space="preserve">10 production-ready Conditional Access policies for Microsoft Entra ID — with rollout plan, risk analysis, and Microsoft365DSC export readiness.</w:t>
      </w:r>
    </w:p>
    <w:p>
      <w:pPr>
        <w:spacing w:before="600"/>
      </w:pPr>
      <w:r>
        <w:rPr>
          <w:b/>
          <w:bCs/>
          <w:sz w:val="22"/>
          <w:szCs w:val="22"/>
        </w:rPr>
        <w:t xml:space="preserve">Product Tier:  </w:t>
      </w:r>
      <w:r>
        <w:rPr>
          <w:b/>
          <w:bCs/>
          <w:color w:val="2E75B6"/>
          <w:sz w:val="22"/>
          <w:szCs w:val="22"/>
        </w:rPr>
        <w:t xml:space="preserve">Professional Pack</w:t>
      </w:r>
    </w:p>
    <w:p>
      <w:r>
        <w:rPr>
          <w:b/>
          <w:bCs/>
          <w:sz w:val="22"/>
          <w:szCs w:val="22"/>
        </w:rPr>
        <w:t xml:space="preserve">Price:  </w:t>
      </w:r>
      <w:r>
        <w:rPr>
          <w:b/>
          <w:bCs/>
          <w:color w:val="2E75B6"/>
          <w:sz w:val="22"/>
          <w:szCs w:val="22"/>
        </w:rPr>
        <w:t xml:space="preserve">€149</w:t>
      </w:r>
    </w:p>
    <w:p>
      <w:r>
        <w:rPr>
          <w:b/>
          <w:bCs/>
          <w:sz w:val="22"/>
          <w:szCs w:val="22"/>
        </w:rPr>
        <w:t xml:space="preserve">Category:  </w:t>
      </w:r>
      <w:r>
        <w:rPr>
          <w:sz w:val="22"/>
          <w:szCs w:val="22"/>
        </w:rPr>
        <w:t xml:space="preserve">Security</w:t>
      </w:r>
    </w:p>
    <w:p>
      <w:r>
        <w:rPr>
          <w:b/>
          <w:bCs/>
          <w:sz w:val="22"/>
          <w:szCs w:val="22"/>
        </w:rPr>
        <w:t xml:space="preserve">Required Licenses:  </w:t>
      </w:r>
      <w:r>
        <w:rPr>
          <w:sz w:val="22"/>
          <w:szCs w:val="22"/>
        </w:rPr>
        <w:t xml:space="preserve">Microsoft 365 Business Premium, Entra ID P1 (P2 for 2 policies)</w:t>
      </w:r>
    </w:p>
    <w:p>
      <w:pPr>
        <w:spacing w:before="600"/>
      </w:pPr>
      <w:r>
        <w:rPr>
          <w:i/>
          <w:iCs/>
          <w:color w:val="6B7280"/>
          <w:sz w:val="20"/>
          <w:szCs w:val="20"/>
        </w:rPr>
        <w:t xml:space="preserve">Includes machine-readable policy file: ca-hardening-pack.json</w:t>
      </w:r>
    </w:p>
    <w:p>
      <w:r>
        <w:br w:type="page"/>
      </w:r>
    </w:p>
    <w:p>
      <w:pPr>
        <w:pStyle w:val="Heading1"/>
      </w:pPr>
      <w:r>
        <w:t xml:space="preserve">1. Problem</w:t>
      </w:r>
    </w:p>
    <w:p>
      <w:pPr>
        <w:spacing w:after="160"/>
      </w:pPr>
      <w:r>
        <w:t xml:space="preserve">Most Microsoft 365 tenants run with Microsoft's Security Defaults at best — a one-size-fits-all baseline that cannot be tuned to an organization's risk profile. Without Conditional Access, organizations cannot: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Block legacy authentication protocols that bypass MFA entirely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Apply stricter controls to privileged administrator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Respond to real-time sign-in risk signals (impossible travel, leaked credentials, anomalous IPs)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Restrict access based on device compliance, location, or app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Create an audit trail for external guest access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The result is a tenant that technically has "some" security but no defense-in-depth — a single compromised password without MFA enforcement can lead to full account takeover, and there is no secondary control to catch it.</w:t>
      </w:r>
    </w:p>
    <w:p>
      <w:pPr>
        <w:pStyle w:val="Heading1"/>
      </w:pPr>
      <w:r>
        <w:t xml:space="preserve">2. Zielzustand (Target State)</w:t>
      </w:r>
    </w:p>
    <w:p>
      <w:pPr>
        <w:spacing w:after="160"/>
      </w:pPr>
      <w:r>
        <w:t xml:space="preserve">After implementing this pack, the tenant has 10 layered Conditional Access policies covering authentication protocol hardening, privileged access protection, risk-based access control, device compliance enforcement, and guest access governance.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000"/>
      </w:tblGrid>
      <w:tr>
        <w:trPr>
          <w:tblHeader/>
        </w:trPr>
        <w:tc>
          <w:tcPr>
            <w:tcW w:type="dxa" w:w="70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6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Policy</w:t>
            </w:r>
          </w:p>
        </w:tc>
        <w:tc>
          <w:tcPr>
            <w:tcW w:type="dxa" w:w="400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 Control</w:t>
            </w:r>
          </w:p>
        </w:tc>
      </w:tr>
      <w:tr>
        <w:tc>
          <w:tcPr>
            <w:tcW w:type="dxa" w:w="70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01</w:t>
            </w:r>
          </w:p>
        </w:tc>
        <w:tc>
          <w:tcPr>
            <w:tcW w:type="dxa" w:w="466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Block Legacy Authentication</w:t>
            </w:r>
          </w:p>
        </w:tc>
        <w:tc>
          <w:tcPr>
            <w:tcW w:type="dxa" w:w="400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Block IMAP/POP/SMTP AUTH &amp; legacy clients</w:t>
            </w:r>
          </w:p>
        </w:tc>
      </w:tr>
      <w:tr>
        <w:tc>
          <w:tcPr>
            <w:tcW w:type="dxa" w:w="70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02</w:t>
            </w:r>
          </w:p>
        </w:tc>
        <w:tc>
          <w:tcPr>
            <w:tcW w:type="dxa" w:w="466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Require MFA for Admins</w:t>
            </w:r>
          </w:p>
        </w:tc>
        <w:tc>
          <w:tcPr>
            <w:tcW w:type="dxa" w:w="400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MFA for all privileged roles</w:t>
            </w:r>
          </w:p>
        </w:tc>
      </w:tr>
      <w:tr>
        <w:tc>
          <w:tcPr>
            <w:tcW w:type="dxa" w:w="70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03</w:t>
            </w:r>
          </w:p>
        </w:tc>
        <w:tc>
          <w:tcPr>
            <w:tcW w:type="dxa" w:w="466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Require MFA for All Users</w:t>
            </w:r>
          </w:p>
        </w:tc>
        <w:tc>
          <w:tcPr>
            <w:tcW w:type="dxa" w:w="400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Tenant-wide MFA</w:t>
            </w:r>
          </w:p>
        </w:tc>
      </w:tr>
      <w:tr>
        <w:tc>
          <w:tcPr>
            <w:tcW w:type="dxa" w:w="70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04</w:t>
            </w:r>
          </w:p>
        </w:tc>
        <w:tc>
          <w:tcPr>
            <w:tcW w:type="dxa" w:w="466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Compliant/Hybrid Device for Admins</w:t>
            </w:r>
          </w:p>
        </w:tc>
        <w:tc>
          <w:tcPr>
            <w:tcW w:type="dxa" w:w="400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Device-based admin restriction</w:t>
            </w:r>
          </w:p>
        </w:tc>
      </w:tr>
      <w:tr>
        <w:tc>
          <w:tcPr>
            <w:tcW w:type="dxa" w:w="70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05</w:t>
            </w:r>
          </w:p>
        </w:tc>
        <w:tc>
          <w:tcPr>
            <w:tcW w:type="dxa" w:w="466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Block High-Risk Sign-Ins</w:t>
            </w:r>
          </w:p>
        </w:tc>
        <w:tc>
          <w:tcPr>
            <w:tcW w:type="dxa" w:w="400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Identity Protection risk block (P2)</w:t>
            </w:r>
          </w:p>
        </w:tc>
      </w:tr>
      <w:tr>
        <w:tc>
          <w:tcPr>
            <w:tcW w:type="dxa" w:w="70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06</w:t>
            </w:r>
          </w:p>
        </w:tc>
        <w:tc>
          <w:tcPr>
            <w:tcW w:type="dxa" w:w="466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Password Change for Medium-Risk Users</w:t>
            </w:r>
          </w:p>
        </w:tc>
        <w:tc>
          <w:tcPr>
            <w:tcW w:type="dxa" w:w="400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Forced remediation (P2)</w:t>
            </w:r>
          </w:p>
        </w:tc>
      </w:tr>
      <w:tr>
        <w:tc>
          <w:tcPr>
            <w:tcW w:type="dxa" w:w="70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07</w:t>
            </w:r>
          </w:p>
        </w:tc>
        <w:tc>
          <w:tcPr>
            <w:tcW w:type="dxa" w:w="466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Geo-Block High-Risk Countries</w:t>
            </w:r>
          </w:p>
        </w:tc>
        <w:tc>
          <w:tcPr>
            <w:tcW w:type="dxa" w:w="400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Location-based block (customizable)</w:t>
            </w:r>
          </w:p>
        </w:tc>
      </w:tr>
      <w:tr>
        <w:tc>
          <w:tcPr>
            <w:tcW w:type="dxa" w:w="70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08</w:t>
            </w:r>
          </w:p>
        </w:tc>
        <w:tc>
          <w:tcPr>
            <w:tcW w:type="dxa" w:w="466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Approved Client App for Mobile</w:t>
            </w:r>
          </w:p>
        </w:tc>
        <w:tc>
          <w:tcPr>
            <w:tcW w:type="dxa" w:w="400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MAM enforcement on iOS/Android</w:t>
            </w:r>
          </w:p>
        </w:tc>
      </w:tr>
      <w:tr>
        <w:tc>
          <w:tcPr>
            <w:tcW w:type="dxa" w:w="70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09</w:t>
            </w:r>
          </w:p>
        </w:tc>
        <w:tc>
          <w:tcPr>
            <w:tcW w:type="dxa" w:w="466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Session Frequency for Unmanaged Devices</w:t>
            </w:r>
          </w:p>
        </w:tc>
        <w:tc>
          <w:tcPr>
            <w:tcW w:type="dxa" w:w="400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4h re-auth, no persistent browser</w:t>
            </w:r>
          </w:p>
        </w:tc>
      </w:tr>
      <w:tr>
        <w:tc>
          <w:tcPr>
            <w:tcW w:type="dxa" w:w="70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466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Terms of Use for Guests</w:t>
            </w:r>
          </w:p>
        </w:tc>
        <w:tc>
          <w:tcPr>
            <w:tcW w:type="dxa" w:w="400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MFA + ToU acceptance for external users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Implementation Guide</w:t>
      </w:r>
    </w:p>
    <w:p>
      <w:pPr>
        <w:spacing w:after="160"/>
      </w:pPr>
      <w:r>
        <w:t xml:space="preserve">This pack is designed for a phased rollout. Every policy ships in report-only mode (enabledForReportingButNotEnforced) by default — nothing blocks access until you explicitly switch it to On. This lets you observe impact in the sign-in logs before enforcing.</w:t>
      </w:r>
    </w:p>
    <w:p>
      <w:pPr>
        <w:pStyle w:val="Heading2"/>
      </w:pPr>
      <w:r>
        <w:t xml:space="preserve">3.1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Microsoft Entra ID P1 license (P2 required for policies CA005 and CA006)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Global Administrator or Conditional Access Administrator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At least 2 break-glass emergency access accounts created and excluded from all policies (see section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For CA004/CA008/CA009: Intune enrollment or App Protection Policies should be configured first</w:t>
      </w:r>
    </w:p>
    <w:p>
      <w:pPr>
        <w:pStyle w:val="Heading2"/>
      </w:pPr>
      <w:r>
        <w:t xml:space="preserve">3.2 Import Methods</w:t>
      </w:r>
    </w:p>
    <w:p>
      <w:pPr>
        <w:pStyle w:val="Heading3"/>
      </w:pPr>
      <w:r>
        <w:t xml:space="preserve">Option A — Manual import via Entra Admin Center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Navigate to Entra Admin Center → Protection → Conditional Access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each policy in ca-hardening-pack.json, create a new policy with matching name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Configure Users, Cloud apps, Conditions, and Grant/Session controls per the JSON values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state to "Report-only" initially — do NOT select "On" yet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Save and repeat for all 10 policies in the order specified in deploymentOrder</w:t>
      </w:r>
    </w:p>
    <w:p>
      <w:pPr>
        <w:pStyle w:val="Heading3"/>
      </w:pPr>
      <w:r>
        <w:t xml:space="preserve">Option B — Microsoft Graph API (recommended for bulk import)</w:t>
      </w:r>
    </w:p>
    <w:p>
      <w:pPr>
        <w:spacing w:after="160"/>
      </w:pPr>
      <w:r>
        <w:t xml:space="preserve">Each policy object in the JSON maps directly to the Microsoft Graph identity/conditionalAccess/policies resource (Graph API v1.0). A script can POST each policy object to:</w:t>
      </w:r>
    </w:p>
    <w:p>
      <w:pPr>
        <w:spacing w:after="1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POST https://graph.microsoft.com/v1.0/identity/conditionalAccess/policies</w:t>
      </w:r>
    </w:p>
    <w:p>
      <w:pPr>
        <w:spacing w:after="160"/>
      </w:pPr>
      <w:r>
        <w:t xml:space="preserve">Required Graph permission: Policy.ReadWrite.ConditionalAccess (Application or Delegated, admin consent required).</w:t>
      </w:r>
    </w:p>
    <w:p>
      <w:pPr>
        <w:pStyle w:val="Heading2"/>
      </w:pPr>
      <w:r>
        <w:t xml:space="preserve">3.3 Recommended Deployment Order</w:t>
      </w:r>
    </w:p>
    <w:p>
      <w:pPr>
        <w:spacing w:after="160"/>
      </w:pPr>
      <w:r>
        <w:t xml:space="preserve">Deploy in this order to minimize disruption risk — low-friction policies first, broad enforcement last: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CA001 – Block Legacy Authentication (report-only for 7 days first)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CA002 – Require MFA for Admins (enforce directly, low user count)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CA004 – Compliant/Hybrid Device for Admins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CA008 – Approved Client App for Mobile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CA009 – Session Frequency for Unmanaged Devices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CA010 – Terms of Use for Guests (requires ToU document configured first)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CA003 – Require MFA for All Users (pair with MFA Rollout Kit — 3-week phased plan)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CA007 – Geo-Block High-Risk Countries (customize Named Location first)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CA005 – Block High-Risk Sign-Ins (Entra ID P2 required)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CA006 – Password Change for Medium-Risk Users (Entra ID P2 required)</w:t>
      </w:r>
    </w:p>
    <w:p>
      <w:pPr>
        <w:pStyle w:val="Heading2"/>
      </w:pPr>
      <w:r>
        <w:t xml:space="preserve">3.4 Validation</w:t>
      </w:r>
    </w:p>
    <w:p>
      <w:pPr>
        <w:spacing w:after="160"/>
      </w:pPr>
      <w:r>
        <w:t xml:space="preserve">Before switching each policy from report-only to On, review: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Entra Admin Center → Protection → Conditional Access → Insights and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Filter sign-in logs by the specific policy name under "Conditional Access" column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Confirm no legitimate business sign-ins would be blocked — investigate any "Failure" results in report-only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Run validation for a minimum of 5–7 business days per policy before enforcing</w:t>
      </w:r>
    </w:p>
    <w:p>
      <w:r>
        <w:br w:type="page"/>
      </w:r>
    </w:p>
    <w:p>
      <w:pPr>
        <w:pStyle w:val="Heading1"/>
      </w:pPr>
      <w:r>
        <w:t xml:space="preserve">4. Risikoanalyse (Risk Analysis)</w:t>
      </w:r>
    </w:p>
    <w:p>
      <w:pPr>
        <w:pStyle w:val="Heading2"/>
      </w:pPr>
      <w:r>
        <w:t xml:space="preserve">4.1 Risks Mitigated by This Pack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Mitigating Policy</w:t>
            </w:r>
          </w:p>
        </w:tc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 Before</w:t>
            </w:r>
          </w:p>
        </w:tc>
      </w:tr>
      <w:tr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 spray via legacy protocols (IMAP/POP)</w:t>
            </w:r>
          </w:p>
        </w:tc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CA001</w:t>
            </w:r>
          </w:p>
        </w:tc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Compromised admin account = full tenant takeover</w:t>
            </w:r>
          </w:p>
        </w:tc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CA002, CA004</w:t>
            </w:r>
          </w:p>
        </w:tc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Phished credentials used without MFA</w:t>
            </w:r>
          </w:p>
        </w:tc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CA003</w:t>
            </w:r>
          </w:p>
        </w:tc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Sign-in from leaked credential dumps</w:t>
            </w:r>
          </w:p>
        </w:tc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CA005, CA006</w:t>
            </w:r>
          </w:p>
        </w:tc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 from anonymized/unexpected geographies</w:t>
            </w:r>
          </w:p>
        </w:tc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CA007</w:t>
            </w:r>
          </w:p>
        </w:tc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Corporate data leakage via unmanaged mobile apps</w:t>
            </w:r>
          </w:p>
        </w:tc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CA008</w:t>
            </w:r>
          </w:p>
        </w:tc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Stale sessions on shared/personal devices</w:t>
            </w:r>
          </w:p>
        </w:tc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CA009</w:t>
            </w:r>
          </w:p>
        </w:tc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Unaudited external guest access</w:t>
            </w:r>
          </w:p>
        </w:tc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CA010</w:t>
            </w:r>
          </w:p>
        </w:tc>
        <w:tc>
          <w:tcPr>
            <w:tcW w:type="dxa" w:w="312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</w:pPr>
      <w:r>
        <w:t xml:space="preserve">4.2 Implementation Risks</w:t>
      </w:r>
    </w:p>
    <w:p>
      <w:pPr>
        <w:spacing w:after="160"/>
      </w:pPr>
      <w:r>
        <w:t xml:space="preserve">Conditional Access misconfiguration is one of the most common causes of tenant-wide admin lockout. The following risks must be actively managed: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Lockout risk: A misconfigured CA003 (MFA for all users) without break-glass exclusions can lock out every administrator simultaneously. Break-glass accounts are mandatory, not optional.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Legacy auth dependency: Some line-of-business applications (older scanners, fax-to-email, legacy CRM integrations) may rely on legacy authentication. CA001 in report-only mode will surface these before they break.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Geo-block over-restriction: CA007 must be customized to the organization's actual footprint. Deploying the placeholder list as-is may block legitimate traveling employees.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License gaps: CA005 and CA006 silently fail or cannot be created without Entra ID P2. Verify licensing before attempting import.</w:t>
      </w:r>
    </w:p>
    <w:p>
      <w:r>
        <w:br w:type="page"/>
      </w:r>
    </w:p>
    <w:p>
      <w:pPr>
        <w:pStyle w:val="Heading1"/>
      </w:pPr>
      <w:r>
        <w:t xml:space="preserve">5. Business Impact</w:t>
      </w:r>
    </w:p>
    <w:p>
      <w:pPr>
        <w:pStyle w:val="Heading2"/>
      </w:pPr>
      <w:r>
        <w:t xml:space="preserve">5.1 Quantifiable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</w:tr>
      <w:tr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Account compromise reduction</w:t>
            </w:r>
          </w:p>
        </w:tc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 to 99.9% reduction with MFA enforced tenant-wide (Microsoft Security Intelligence Report)</w:t>
            </w:r>
          </w:p>
        </w:tc>
      </w:tr>
      <w:tr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Microsoft Secure Score increase</w:t>
            </w:r>
          </w:p>
        </w:tc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Typically +15 to +30 points depending on starting baseline</w:t>
            </w:r>
          </w:p>
        </w:tc>
      </w:tr>
      <w:tr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Legacy auth attack surface</w:t>
            </w:r>
          </w:p>
        </w:tc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Eliminated entirely once CA001 is enforced</w:t>
            </w:r>
          </w:p>
        </w:tc>
      </w:tr>
      <w:tr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Insurance / compliance readiness</w:t>
            </w:r>
          </w:p>
        </w:tc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Conditional Access is commonly required evidence for cyber insurance applications and ISO 27001 / SOC 2 audits</w:t>
            </w:r>
          </w:p>
        </w:tc>
      </w:tr>
      <w:tr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 account exposure window</w:t>
            </w:r>
          </w:p>
        </w:tc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Reduced from unlimited to 4-hour max session on unmanaged devices</w:t>
            </w:r>
          </w:p>
        </w:tc>
      </w:tr>
    </w:tbl>
    <w:p>
      <w:pPr>
        <w:pStyle w:val="Heading2"/>
      </w:pPr>
      <w:r>
        <w:t xml:space="preserve">5.2 Effort Estimate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Initial import (Graph API method): ~30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Initial import (manual via Admin Center): ~2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Report-only observation period: 5–7 business days per policy (can run in parallel)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Full rollout including MFA enforcement: 3–4 weeks (when paired with MFA Rollout Kit communication plan)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Ongoing maintenance: minimal — review Conditional Access Insights monthly</w:t>
      </w:r>
    </w:p>
    <w:p>
      <w:r>
        <w:br w:type="page"/>
      </w:r>
    </w:p>
    <w:p>
      <w:pPr>
        <w:pStyle w:val="Heading1"/>
      </w:pPr>
      <w:r>
        <w:t xml:space="preserve">6. Break-Glass Emergency Access</w:t>
      </w:r>
    </w:p>
    <w:p>
      <w:pPr>
        <w:spacing w:after="160"/>
      </w:pPr>
      <w:r>
        <w:t xml:space="preserve">Mandatory before enforcing any policy in this pack.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Create at least 2 cloud-only accounts (not synced from on-prem 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Assign Global Administrator role to both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Use 16+ character randomly generated passwords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Store credentials in a physical safe or offline password manager — never in the cloud tenant being protected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Exclude both accounts from every Conditional Access policy in this pack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Configure high-priority alerts (via Entra Workbooks or Sentinel) for any sign-in to these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Test sign-in to break-glass accounts quarterly</w:t>
      </w:r>
    </w:p>
    <w:p>
      <w:pPr>
        <w:pStyle w:val="Heading1"/>
      </w:pPr>
      <w:r>
        <w:t xml:space="preserve">7. Microsoft365DSC Mapping (Phase 2 — Ready, Not Yet Active)</w:t>
      </w:r>
    </w:p>
    <w:p>
      <w:pPr>
        <w:spacing w:after="160"/>
      </w:pPr>
      <w:r>
        <w:t xml:space="preserve">Each policy in ca-hardening-pack.json is structured to map directly onto the AADConditionalAccessPolicy resource block in the Microsoft365DSC PowerShell module (version 1.24 or later).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9CA3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JSON Field</w:t>
            </w:r>
          </w:p>
        </w:tc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9CA3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DSC Resource Property (Phase 2)</w:t>
            </w:r>
          </w:p>
        </w:tc>
      </w:tr>
      <w:tr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displayName</w:t>
            </w:r>
          </w:p>
        </w:tc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DisplayName</w:t>
            </w:r>
          </w:p>
        </w:tc>
      </w:tr>
      <w:tr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State</w:t>
            </w:r>
          </w:p>
        </w:tc>
      </w:tr>
      <w:tr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conditions.users</w:t>
            </w:r>
          </w:p>
        </w:tc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Conditions.Users</w:t>
            </w:r>
          </w:p>
        </w:tc>
      </w:tr>
      <w:tr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conditions.applications</w:t>
            </w:r>
          </w:p>
        </w:tc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Conditions.Applications</w:t>
            </w:r>
          </w:p>
        </w:tc>
      </w:tr>
      <w:tr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grantControls</w:t>
            </w:r>
          </w:p>
        </w:tc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GrantControls</w:t>
            </w:r>
          </w:p>
        </w:tc>
      </w:tr>
      <w:tr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sessionControls</w:t>
            </w:r>
          </w:p>
        </w:tc>
        <w:tc>
          <w:tcPr>
            <w:tcW w:type="dxa" w:w="4680"/>
            <w:tcBorders>
              <w:top w:val="single" w:color="D7DEE6" w:sz="1"/>
              <w:left w:val="single" w:color="D7DEE6" w:sz="1"/>
              <w:bottom w:val="single" w:color="D7DEE6" w:sz="1"/>
              <w:right w:val="single" w:color="D7DEE6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SessionControls</w:t>
            </w:r>
          </w:p>
        </w:tc>
      </w:tr>
    </w:tbl>
    <w:p>
      <w:pPr>
        <w:spacing w:before="200"/>
      </w:pPr>
      <w:r>
        <w:rPr>
          <w:b/>
          <w:bCs/>
        </w:rPr>
        <w:t xml:space="preserve">Status: </w:t>
      </w:r>
      <w:r>
        <w:rPr>
          <w:color w:val="6B7280"/>
        </w:rPr>
        <w:t xml:space="preserve">Mapping defined, not yet executable. Phase 2 will provide an automatic export generating a ready-to-run .ps1 DSC configuration file from this JSON. No action required from the customer in Phase 1 — import remains manual via Admin Center or Graph API as described in Section 3.</w:t>
      </w:r>
    </w:p>
    <w:p>
      <w:pPr>
        <w:pStyle w:val="Heading1"/>
      </w:pPr>
      <w:r>
        <w:t xml:space="preserve">8. Support &amp; Updates</w:t>
      </w:r>
    </w:p>
    <w:p>
      <w:pPr>
        <w:spacing w:after="160"/>
      </w:pPr>
      <w:r>
        <w:t xml:space="preserve">This product includes lifetime updates as Microsoft changes Conditional Access capabilities. Questions about implementation: support@gordon365.com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B7280"/>
        <w:sz w:val="16"/>
        <w:szCs w:val="16"/>
      </w:rPr>
      <w:t xml:space="preserve">© Gordon365 — All rights reserved</w:t>
    </w:r>
    <w:r>
      <w:rPr>
        <w:color w:val="6B7280"/>
        <w:sz w:val="16"/>
        <w:szCs w:val="16"/>
      </w:rPr>
      <w:t xml:space="preserve">gordon365.com/templates/ca-hardening-pack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EE6" w:sz="4" w:space="1"/>
      </w:pBdr>
      <w:tabs>
        <w:tab w:val="right" w:pos="9026"/>
      </w:tabs>
    </w:pPr>
    <w:r>
      <w:rPr>
        <w:b/>
        <w:bCs/>
        <w:color w:val="2E75B6"/>
        <w:sz w:val="18"/>
        <w:szCs w:val="18"/>
      </w:rPr>
      <w:t xml:space="preserve">Gordon365</w:t>
    </w:r>
    <w:r>
      <w:rPr>
        <w:color w:val="6B7280"/>
        <w:sz w:val="18"/>
        <w:szCs w:val="18"/>
      </w:rPr>
      <w:t xml:space="preserve">	Conditional Access Hardening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2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2026-06-12T08:54:13.469Z</dcterms:created>
  <dcterms:modified xsi:type="dcterms:W3CDTF">2026-06-12T08:54:13.469Z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