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Test Guide – Lumen Renewal Kit Prototype</w:t>
      </w:r>
    </w:p>
    <w:p>
      <w:pPr/>
      <w:r>
        <w:t xml:space="preserve">Oct 31, 2026</w:t>
      </w:r>
      <w:r>
        <w:t xml:space="preserve"> · </w:t>
      </w:r>
      <w:r>
        <w:t xml:space="preserve">@Alexander Boll</w:t>
      </w:r>
    </w:p>
    <w:p>
      <w:pPr>
        <w:pStyle w:val="Heading2"/>
      </w:pPr>
      <w:r>
        <w:t xml:space="preserve">At a glance</w:t>
      </w:r>
    </w:p>
    <w:p>
      <w:pPr/>
      <w:r>
        <w:t xml:space="preserve">This guide tests one question: does the renewal kit get a credible case for renewal to the Executive Board without anyone at the library rebuilding it? Six 50-minute sessions, one per persona, walk through five screens of the prototype. Each session scores six assumptions in the test cockpit (Excel).</w:t>
      </w:r>
    </w:p>
    <w:tbl>
      <w:tblPr>
        <w:tblStyle w:val="TableGrid"/>
        <w:tblW w:w="0" w:type="auto"/>
        <w:tblLayout w:type="fixed"/>
        <w:tblLook w:val="04A0" w:firstRow="1" w:lastRow="0" w:firstColumn="0" w:lastColumn="0" w:noHBand="0" w:noVBand="1"/>
      </w:tblPr>
      <w:tblGrid>
        <w:gridCol w:w="2190"/>
        <w:gridCol w:w="7169"/>
      </w:tblGrid>
      <w:tr>
        <w:trPr>
          <w:tblHeader/>
        </w:trPr>
        <w:tc>
          <w:tcPr>
            <w:tcW w:w="2190" w:type="dxa"/>
            <w:shd w:val="clear" w:color="auto" w:fill="F2F2F2"/>
          </w:tcPr>
          <w:p>
            <w:pPr/>
            <w:r>
              <w:t xml:space="preserve">Item</w:t>
            </w:r>
          </w:p>
        </w:tc>
        <w:tc>
          <w:tcPr>
            <w:tcW w:w="7169" w:type="dxa"/>
            <w:shd w:val="clear" w:color="auto" w:fill="F2F2F2"/>
          </w:tcPr>
          <w:p>
            <w:pPr/>
            <w:r>
              <w:t xml:space="preserve">Detail</w:t>
            </w:r>
          </w:p>
        </w:tc>
      </w:tr>
      <w:tr>
        <w:tc>
          <w:tcPr>
            <w:tcW w:w="2190" w:type="dxa"/>
          </w:tcPr>
          <w:p>
            <w:pPr/>
            <w:r>
              <w:t xml:space="preserve">Prototype</w:t>
            </w:r>
          </w:p>
        </w:tc>
        <w:tc>
          <w:tcPr>
            <w:tcW w:w="7169" w:type="dxa"/>
          </w:tcPr>
          <w:p>
            <w:pPr/>
            <w:r>
              <w:t xml:space="preserve">Renewal Kit – Lumen Prototype (PDF, 7 pages), screens S1–S5</w:t>
            </w:r>
          </w:p>
        </w:tc>
      </w:tr>
      <w:tr>
        <w:tc>
          <w:tcPr>
            <w:tcW w:w="2190" w:type="dxa"/>
          </w:tcPr>
          <w:p>
            <w:pPr/>
            <w:r>
              <w:t xml:space="preserve">Scenario</w:t>
            </w:r>
          </w:p>
        </w:tc>
        <w:tc>
          <w:tcPr>
            <w:tcW w:w="7169" w:type="dxa"/>
          </w:tcPr>
          <w:p>
            <w:pPr/>
            <w:r>
              <w:t xml:space="preserve">Monday 4 January 2027. The University of Rheinfeld's agreement with Lumen ends on 31 March 2027, in 86 days.</w:t>
            </w:r>
          </w:p>
        </w:tc>
      </w:tr>
      <w:tr>
        <w:tc>
          <w:tcPr>
            <w:tcW w:w="2190" w:type="dxa"/>
          </w:tcPr>
          <w:p>
            <w:pPr/>
            <w:r>
              <w:t xml:space="preserve">Participants</w:t>
            </w:r>
          </w:p>
        </w:tc>
        <w:tc>
          <w:tcPr>
            <w:tcW w:w="7169" w:type="dxa"/>
          </w:tcPr>
          <w:p>
            <w:pPr/>
            <w:r>
              <w:t xml:space="preserve">Six persona twins (P1–P6), starting with Dr. Miriam Kessler (P1); then real librarians to validate</w:t>
            </w:r>
          </w:p>
        </w:tc>
      </w:tr>
      <w:tr>
        <w:tc>
          <w:tcPr>
            <w:tcW w:w="2190" w:type="dxa"/>
          </w:tcPr>
          <w:p>
            <w:pPr/>
            <w:r>
              <w:t xml:space="preserve">Length</w:t>
            </w:r>
          </w:p>
        </w:tc>
        <w:tc>
          <w:tcPr>
            <w:tcW w:w="7169" w:type="dxa"/>
          </w:tcPr>
          <w:p>
            <w:pPr/>
            <w:r>
              <w:t xml:space="preserve">50 min: welcome 5 · context 10 · tasks 25 · debrief 10</w:t>
            </w:r>
          </w:p>
        </w:tc>
      </w:tr>
      <w:tr>
        <w:tc>
          <w:tcPr>
            <w:tcW w:w="2190" w:type="dxa"/>
          </w:tcPr>
          <w:p>
            <w:pPr/>
            <w:r>
              <w:t xml:space="preserve">Roles</w:t>
            </w:r>
          </w:p>
        </w:tc>
        <w:tc>
          <w:tcPr>
            <w:tcW w:w="7169" w:type="dxa"/>
          </w:tcPr>
          <w:p>
            <w:pPr/>
            <w:r>
              <w:t xml:space="preserve">Interviewer: Alexander Boll. Note-taker: logs every task and rating in the test cockpit during the session</w:t>
            </w:r>
          </w:p>
        </w:tc>
      </w:tr>
      <w:tr>
        <w:tc>
          <w:tcPr>
            <w:tcW w:w="2190" w:type="dxa"/>
          </w:tcPr>
          <w:p>
            <w:pPr/>
            <w:r>
              <w:t xml:space="preserve">Outcome</w:t>
            </w:r>
          </w:p>
        </w:tc>
        <w:tc>
          <w:tcPr>
            <w:tcW w:w="7169" w:type="dxa"/>
          </w:tcPr>
          <w:p>
            <w:pPr/>
            <w:r>
              <w:t xml:space="preserve">Each assumption marked Confirmed, Mixed or Rejected against the thresholds in the next section</w:t>
            </w:r>
          </w:p>
        </w:tc>
      </w:tr>
    </w:tbl>
    <w:p>
      <w:pPr>
        <w:pStyle w:val="Heading2"/>
      </w:pPr>
      <w:r>
        <w:t xml:space="preserve">Assumptions and metrics</w:t>
      </w:r>
    </w:p>
    <w:p>
      <w:pPr/>
      <w:r>
        <w:t xml:space="preserve">Six assumptions carry the renewal kit; each has one metric, computed across all six sessions in the test cockpit. An assumption is Confirmed at or above the first threshold, Rejected below the second, and Mixed in between.</w:t>
      </w:r>
    </w:p>
    <w:tbl>
      <w:tblPr>
        <w:tblStyle w:val="TableGrid"/>
        <w:tblW w:w="0" w:type="auto"/>
        <w:tblLayout w:type="fixed"/>
        <w:tblLook w:val="04A0" w:firstRow="1" w:lastRow="0" w:firstColumn="0" w:lastColumn="0" w:noHBand="0" w:noVBand="1"/>
      </w:tblPr>
      <w:tblGrid>
        <w:gridCol w:w="720"/>
        <w:gridCol w:w="2187"/>
        <w:gridCol w:w="1108"/>
        <w:gridCol w:w="2888"/>
        <w:gridCol w:w="1311"/>
        <w:gridCol w:w="1146"/>
      </w:tblGrid>
      <w:tr>
        <w:trPr>
          <w:tblHeader/>
        </w:trPr>
        <w:tc>
          <w:tcPr>
            <w:tcW w:w="720" w:type="dxa"/>
            <w:shd w:val="clear" w:color="auto" w:fill="F2F2F2"/>
          </w:tcPr>
          <w:p>
            <w:pPr/>
            <w:r>
              <w:t xml:space="preserve">ID</w:t>
            </w:r>
          </w:p>
        </w:tc>
        <w:tc>
          <w:tcPr>
            <w:tcW w:w="2187" w:type="dxa"/>
            <w:shd w:val="clear" w:color="auto" w:fill="F2F2F2"/>
          </w:tcPr>
          <w:p>
            <w:pPr/>
            <w:r>
              <w:t xml:space="preserve">Assumption</w:t>
            </w:r>
          </w:p>
        </w:tc>
        <w:tc>
          <w:tcPr>
            <w:tcW w:w="1108" w:type="dxa"/>
            <w:shd w:val="clear" w:color="auto" w:fill="F2F2F2"/>
          </w:tcPr>
          <w:p>
            <w:pPr/>
            <w:r>
              <w:t xml:space="preserve">Sprint question</w:t>
            </w:r>
          </w:p>
        </w:tc>
        <w:tc>
          <w:tcPr>
            <w:tcW w:w="2888" w:type="dxa"/>
            <w:shd w:val="clear" w:color="auto" w:fill="F2F2F2"/>
          </w:tcPr>
          <w:p>
            <w:pPr/>
            <w:r>
              <w:t xml:space="preserve">Metric (across 6 sessions)</w:t>
            </w:r>
          </w:p>
        </w:tc>
        <w:tc>
          <w:tcPr>
            <w:tcW w:w="1311" w:type="dxa"/>
            <w:shd w:val="clear" w:color="auto" w:fill="F2F2F2"/>
          </w:tcPr>
          <w:p>
            <w:pPr/>
            <w:r>
              <w:t xml:space="preserve">Confirmed at</w:t>
            </w:r>
          </w:p>
        </w:tc>
        <w:tc>
          <w:tcPr>
            <w:tcW w:w="1146" w:type="dxa"/>
            <w:shd w:val="clear" w:color="auto" w:fill="F2F2F2"/>
          </w:tcPr>
          <w:p>
            <w:pPr/>
            <w:r>
              <w:t xml:space="preserve">Rejected below</w:t>
            </w:r>
          </w:p>
        </w:tc>
      </w:tr>
      <w:tr>
        <w:tc>
          <w:tcPr>
            <w:tcW w:w="720" w:type="dxa"/>
          </w:tcPr>
          <w:p>
            <w:pPr/>
            <w:r>
              <w:t xml:space="preserve">A1</w:t>
            </w:r>
          </w:p>
        </w:tc>
        <w:tc>
          <w:tcPr>
            <w:tcW w:w="2187" w:type="dxa"/>
          </w:tcPr>
          <w:p>
            <w:pPr/>
            <w:r>
              <w:t xml:space="preserve">Librarians forward the kit as it is</w:t>
            </w:r>
          </w:p>
        </w:tc>
        <w:tc>
          <w:tcPr>
            <w:tcW w:w="1108" w:type="dxa"/>
          </w:tcPr>
          <w:p>
            <w:pPr/>
            <w:r>
              <w:t xml:space="preserve">SQ1</w:t>
            </w:r>
          </w:p>
        </w:tc>
        <w:tc>
          <w:tcPr>
            <w:tcW w:w="2888" w:type="dxa"/>
          </w:tcPr>
          <w:p>
            <w:pPr/>
            <w:r>
              <w:t xml:space="preserve">Share who would forward or accept the slide unchanged</w:t>
            </w:r>
          </w:p>
        </w:tc>
        <w:tc>
          <w:tcPr>
            <w:tcW w:w="1311" w:type="dxa"/>
          </w:tcPr>
          <w:p>
            <w:pPr/>
            <w:r>
              <w:t xml:space="preserve">≥ 67%</w:t>
            </w:r>
          </w:p>
        </w:tc>
        <w:tc>
          <w:tcPr>
            <w:tcW w:w="1146" w:type="dxa"/>
          </w:tcPr>
          <w:p>
            <w:pPr/>
            <w:r>
              <w:t xml:space="preserve">&lt; 50%</w:t>
            </w:r>
          </w:p>
        </w:tc>
      </w:tr>
      <w:tr>
        <w:tc>
          <w:tcPr>
            <w:tcW w:w="720" w:type="dxa"/>
          </w:tcPr>
          <w:p>
            <w:pPr/>
            <w:r>
              <w:t xml:space="preserve">A2</w:t>
            </w:r>
          </w:p>
        </w:tc>
        <w:tc>
          <w:tcPr>
            <w:tcW w:w="2187" w:type="dxa"/>
          </w:tcPr>
          <w:p>
            <w:pPr/>
            <w:r>
              <w:t xml:space="preserve">Push beats login: people act on the email</w:t>
            </w:r>
          </w:p>
        </w:tc>
        <w:tc>
          <w:tcPr>
            <w:tcW w:w="1108" w:type="dxa"/>
          </w:tcPr>
          <w:p>
            <w:pPr/>
            <w:r>
              <w:t xml:space="preserve">SQ1</w:t>
            </w:r>
          </w:p>
        </w:tc>
        <w:tc>
          <w:tcPr>
            <w:tcW w:w="2888" w:type="dxa"/>
          </w:tcPr>
          <w:p>
            <w:pPr/>
            <w:r>
              <w:t xml:space="preserve">Share who take a meaningful action from the email (S1) without a prompt</w:t>
            </w:r>
          </w:p>
        </w:tc>
        <w:tc>
          <w:tcPr>
            <w:tcW w:w="1311" w:type="dxa"/>
          </w:tcPr>
          <w:p>
            <w:pPr/>
            <w:r>
              <w:t xml:space="preserve">≥ 83%</w:t>
            </w:r>
          </w:p>
        </w:tc>
        <w:tc>
          <w:tcPr>
            <w:tcW w:w="1146" w:type="dxa"/>
          </w:tcPr>
          <w:p>
            <w:pPr/>
            <w:r>
              <w:t xml:space="preserve">&lt; 67%</w:t>
            </w:r>
          </w:p>
        </w:tc>
      </w:tr>
      <w:tr>
        <w:tc>
          <w:tcPr>
            <w:tcW w:w="720" w:type="dxa"/>
          </w:tcPr>
          <w:p>
            <w:pPr/>
            <w:r>
              <w:t xml:space="preserve">A3</w:t>
            </w:r>
          </w:p>
        </w:tc>
        <w:tc>
          <w:tcPr>
            <w:tcW w:w="2187" w:type="dxa"/>
          </w:tcPr>
          <w:p>
            <w:pPr/>
            <w:r>
              <w:t xml:space="preserve">A disclosed method makes publisher figures credible</w:t>
            </w:r>
          </w:p>
        </w:tc>
        <w:tc>
          <w:tcPr>
            <w:tcW w:w="1108" w:type="dxa"/>
          </w:tcPr>
          <w:p>
            <w:pPr/>
            <w:r>
              <w:t xml:space="preserve">SQ2</w:t>
            </w:r>
          </w:p>
        </w:tc>
        <w:tc>
          <w:tcPr>
            <w:tcW w:w="2888" w:type="dxa"/>
          </w:tcPr>
          <w:p>
            <w:pPr/>
            <w:r>
              <w:t xml:space="preserve">Average trust rating after seeing the method (1–5)</w:t>
            </w:r>
          </w:p>
        </w:tc>
        <w:tc>
          <w:tcPr>
            <w:tcW w:w="1311" w:type="dxa"/>
          </w:tcPr>
          <w:p>
            <w:pPr/>
            <w:r>
              <w:t xml:space="preserve">≥ 4.0</w:t>
            </w:r>
          </w:p>
        </w:tc>
        <w:tc>
          <w:tcPr>
            <w:tcW w:w="1146" w:type="dxa"/>
          </w:tcPr>
          <w:p>
            <w:pPr/>
            <w:r>
              <w:t xml:space="preserve">&lt; 3.5</w:t>
            </w:r>
          </w:p>
        </w:tc>
      </w:tr>
      <w:tr>
        <w:tc>
          <w:tcPr>
            <w:tcW w:w="720" w:type="dxa"/>
          </w:tcPr>
          <w:p>
            <w:pPr/>
            <w:r>
              <w:t xml:space="preserve">A4</w:t>
            </w:r>
          </w:p>
        </w:tc>
        <w:tc>
          <w:tcPr>
            <w:tcW w:w="2187" w:type="dxa"/>
          </w:tcPr>
          <w:p>
            <w:pPr/>
            <w:r>
              <w:t xml:space="preserve">Cost and compliance tip the decision, not impact</w:t>
            </w:r>
          </w:p>
        </w:tc>
        <w:tc>
          <w:tcPr>
            <w:tcW w:w="1108" w:type="dxa"/>
          </w:tcPr>
          <w:p>
            <w:pPr/>
            <w:r>
              <w:t xml:space="preserve">SQ3</w:t>
            </w:r>
          </w:p>
        </w:tc>
        <w:tc>
          <w:tcPr>
            <w:tcW w:w="2888" w:type="dxa"/>
          </w:tcPr>
          <w:p>
            <w:pPr/>
            <w:r>
              <w:t xml:space="preserve">Share naming Cost or Compliance as the most persuasive tile</w:t>
            </w:r>
          </w:p>
        </w:tc>
        <w:tc>
          <w:tcPr>
            <w:tcW w:w="1311" w:type="dxa"/>
          </w:tcPr>
          <w:p>
            <w:pPr/>
            <w:r>
              <w:t xml:space="preserve">≥ 67%</w:t>
            </w:r>
          </w:p>
        </w:tc>
        <w:tc>
          <w:tcPr>
            <w:tcW w:w="1146" w:type="dxa"/>
          </w:tcPr>
          <w:p>
            <w:pPr/>
            <w:r>
              <w:t xml:space="preserve">&lt; 50%</w:t>
            </w:r>
          </w:p>
        </w:tc>
      </w:tr>
      <w:tr>
        <w:tc>
          <w:tcPr>
            <w:tcW w:w="720" w:type="dxa"/>
          </w:tcPr>
          <w:p>
            <w:pPr/>
            <w:r>
              <w:t xml:space="preserve">A5</w:t>
            </w:r>
          </w:p>
        </w:tc>
        <w:tc>
          <w:tcPr>
            <w:tcW w:w="2187" w:type="dxa"/>
          </w:tcPr>
          <w:p>
            <w:pPr/>
            <w:r>
              <w:t xml:space="preserve">The kit is complete without manual additions</w:t>
            </w:r>
          </w:p>
        </w:tc>
        <w:tc>
          <w:tcPr>
            <w:tcW w:w="1108" w:type="dxa"/>
          </w:tcPr>
          <w:p>
            <w:pPr/>
            <w:r>
              <w:t xml:space="preserve">SQ4</w:t>
            </w:r>
          </w:p>
        </w:tc>
        <w:tc>
          <w:tcPr>
            <w:tcW w:w="2888" w:type="dxa"/>
          </w:tcPr>
          <w:p>
            <w:pPr/>
            <w:r>
              <w:t xml:space="preserve">Share with no must-have item missing</w:t>
            </w:r>
          </w:p>
        </w:tc>
        <w:tc>
          <w:tcPr>
            <w:tcW w:w="1311" w:type="dxa"/>
          </w:tcPr>
          <w:p>
            <w:pPr/>
            <w:r>
              <w:t xml:space="preserve">≥ 67%</w:t>
            </w:r>
          </w:p>
        </w:tc>
        <w:tc>
          <w:tcPr>
            <w:tcW w:w="1146" w:type="dxa"/>
          </w:tcPr>
          <w:p>
            <w:pPr/>
            <w:r>
              <w:t xml:space="preserve">&lt; 50%</w:t>
            </w:r>
          </w:p>
        </w:tc>
      </w:tr>
      <w:tr>
        <w:tc>
          <w:tcPr>
            <w:tcW w:w="720" w:type="dxa"/>
          </w:tcPr>
          <w:p>
            <w:pPr/>
            <w:r>
              <w:t xml:space="preserve">A6</w:t>
            </w:r>
          </w:p>
        </w:tc>
        <w:tc>
          <w:tcPr>
            <w:tcW w:w="2187" w:type="dxa"/>
          </w:tcPr>
          <w:p>
            <w:pPr/>
            <w:r>
              <w:t xml:space="preserve">The kit sparks interest in expanding</w:t>
            </w:r>
          </w:p>
        </w:tc>
        <w:tc>
          <w:tcPr>
            <w:tcW w:w="1108" w:type="dxa"/>
          </w:tcPr>
          <w:p>
            <w:pPr/>
            <w:r>
              <w:t xml:space="preserve">SQ5</w:t>
            </w:r>
          </w:p>
        </w:tc>
        <w:tc>
          <w:tcPr>
            <w:tcW w:w="2888" w:type="dxa"/>
          </w:tcPr>
          <w:p>
            <w:pPr/>
            <w:r>
              <w:t xml:space="preserve">Share who ask about or act on the 2027 prepayment scenario</w:t>
            </w:r>
          </w:p>
        </w:tc>
        <w:tc>
          <w:tcPr>
            <w:tcW w:w="1311" w:type="dxa"/>
          </w:tcPr>
          <w:p>
            <w:pPr/>
            <w:r>
              <w:t xml:space="preserve">≥ 50%</w:t>
            </w:r>
          </w:p>
        </w:tc>
        <w:tc>
          <w:tcPr>
            <w:tcW w:w="1146" w:type="dxa"/>
          </w:tcPr>
          <w:p>
            <w:pPr/>
            <w:r>
              <w:t xml:space="preserve">&lt; 33%</w:t>
            </w:r>
          </w:p>
        </w:tc>
      </w:tr>
    </w:tbl>
    <w:p>
      <w:pPr/>
      <w:r>
        <w:t xml:space="preserve">Task-level usability is tracked alongside: task success (success, with help, failed), time on task and ease per task (1–7).</w:t>
      </w:r>
    </w:p>
    <w:p>
      <w:pPr>
        <w:pStyle w:val="Heading2"/>
      </w:pPr>
      <w:r>
        <w:t xml:space="preserve">Setup</w:t>
      </w:r>
    </w:p>
    <w:p>
      <w:pPr/>
      <w:r>
        <w:t xml:space="preserve">Show one screen at a time and only move on when the participant asks to or the task says so. With a twin, share each page of the PDF as the screen it would see; with a real person, share the PDF full screen and let them say where they would click.</w:t>
      </w:r>
    </w:p>
    <w:tbl>
      <w:tblPr>
        <w:tblStyle w:val="TableGrid"/>
        <w:tblW w:w="0" w:type="auto"/>
        <w:tblLayout w:type="fixed"/>
        <w:tblLook w:val="04A0" w:firstRow="1" w:lastRow="0" w:firstColumn="0" w:lastColumn="0" w:noHBand="0" w:noVBand="1"/>
      </w:tblPr>
      <w:tblGrid>
        <w:gridCol w:w="1795"/>
        <w:gridCol w:w="1263"/>
        <w:gridCol w:w="4920"/>
        <w:gridCol w:w="1382"/>
      </w:tblGrid>
      <w:tr>
        <w:trPr>
          <w:tblHeader/>
        </w:trPr>
        <w:tc>
          <w:tcPr>
            <w:tcW w:w="1795" w:type="dxa"/>
            <w:shd w:val="clear" w:color="auto" w:fill="F2F2F2"/>
          </w:tcPr>
          <w:p>
            <w:pPr/>
            <w:r>
              <w:t xml:space="preserve">Screen</w:t>
            </w:r>
          </w:p>
        </w:tc>
        <w:tc>
          <w:tcPr>
            <w:tcW w:w="1263" w:type="dxa"/>
            <w:shd w:val="clear" w:color="auto" w:fill="F2F2F2"/>
          </w:tcPr>
          <w:p>
            <w:pPr/>
            <w:r>
              <w:t xml:space="preserve">PDF page</w:t>
            </w:r>
          </w:p>
        </w:tc>
        <w:tc>
          <w:tcPr>
            <w:tcW w:w="4920" w:type="dxa"/>
            <w:shd w:val="clear" w:color="auto" w:fill="F2F2F2"/>
          </w:tcPr>
          <w:p>
            <w:pPr/>
            <w:r>
              <w:t xml:space="preserve">What it shows</w:t>
            </w:r>
          </w:p>
        </w:tc>
        <w:tc>
          <w:tcPr>
            <w:tcW w:w="1382" w:type="dxa"/>
            <w:shd w:val="clear" w:color="auto" w:fill="F2F2F2"/>
          </w:tcPr>
          <w:p>
            <w:pPr/>
            <w:r>
              <w:t xml:space="preserve">Used in</w:t>
            </w:r>
          </w:p>
        </w:tc>
      </w:tr>
      <w:tr>
        <w:tc>
          <w:tcPr>
            <w:tcW w:w="1795" w:type="dxa"/>
          </w:tcPr>
          <w:p>
            <w:pPr/>
            <w:r>
              <w:t xml:space="preserve">S1 Email</w:t>
            </w:r>
          </w:p>
        </w:tc>
        <w:tc>
          <w:tcPr>
            <w:tcW w:w="1263" w:type="dxa"/>
          </w:tcPr>
          <w:p>
            <w:pPr/>
            <w:r>
              <w:t xml:space="preserve">1</w:t>
            </w:r>
          </w:p>
        </w:tc>
        <w:tc>
          <w:tcPr>
            <w:tcW w:w="4920" w:type="dxa"/>
          </w:tcPr>
          <w:p>
            <w:pPr/>
            <w:r>
              <w:t xml:space="preserve">"Your renewal kit is ready": three figures (EUR 51,060 saved, 93% funder requirements met, 27 editors), buttons to open the kit or download the slide</w:t>
            </w:r>
          </w:p>
        </w:tc>
        <w:tc>
          <w:tcPr>
            <w:tcW w:w="1382" w:type="dxa"/>
          </w:tcPr>
          <w:p>
            <w:pPr/>
            <w:r>
              <w:t xml:space="preserve">T1</w:t>
            </w:r>
          </w:p>
        </w:tc>
      </w:tr>
      <w:tr>
        <w:tc>
          <w:tcPr>
            <w:tcW w:w="1795" w:type="dxa"/>
          </w:tcPr>
          <w:p>
            <w:pPr/>
            <w:r>
              <w:t xml:space="preserve">S2 Renewal kit page</w:t>
            </w:r>
          </w:p>
        </w:tc>
        <w:tc>
          <w:tcPr>
            <w:tcW w:w="1263" w:type="dxa"/>
          </w:tcPr>
          <w:p>
            <w:pPr/>
            <w:r>
              <w:t xml:space="preserve">2–3</w:t>
            </w:r>
          </w:p>
        </w:tc>
        <w:tc>
          <w:tcPr>
            <w:tcW w:w="4920" w:type="dxa"/>
          </w:tcPr>
          <w:p>
            <w:pPr/>
            <w:r>
              <w:t xml:space="preserve">86-day countdown, board slide preview, "Behind every figure" with Check this figure, Planning 2027, Method &amp; data</w:t>
            </w:r>
          </w:p>
        </w:tc>
        <w:tc>
          <w:tcPr>
            <w:tcW w:w="1382" w:type="dxa"/>
          </w:tcPr>
          <w:p>
            <w:pPr/>
            <w:r>
              <w:t xml:space="preserve">T1, T2, T5</w:t>
            </w:r>
          </w:p>
        </w:tc>
      </w:tr>
      <w:tr>
        <w:tc>
          <w:tcPr>
            <w:tcW w:w="1795" w:type="dxa"/>
          </w:tcPr>
          <w:p>
            <w:pPr/>
            <w:r>
              <w:t xml:space="preserve">S3 Board slide</w:t>
            </w:r>
          </w:p>
        </w:tc>
        <w:tc>
          <w:tcPr>
            <w:tcW w:w="1263" w:type="dxa"/>
          </w:tcPr>
          <w:p>
            <w:pPr/>
            <w:r>
              <w:t xml:space="preserve">4</w:t>
            </w:r>
          </w:p>
        </w:tc>
        <w:tc>
          <w:tcPr>
            <w:tcW w:w="4920" w:type="dxa"/>
          </w:tcPr>
          <w:p>
            <w:pPr/>
            <w:r>
              <w:t xml:space="preserve">The one slide in Rheinfeld design: Cost, Compliance, People</w:t>
            </w:r>
          </w:p>
        </w:tc>
        <w:tc>
          <w:tcPr>
            <w:tcW w:w="1382" w:type="dxa"/>
          </w:tcPr>
          <w:p>
            <w:pPr/>
            <w:r>
              <w:t xml:space="preserve">T3, T4</w:t>
            </w:r>
          </w:p>
        </w:tc>
      </w:tr>
      <w:tr>
        <w:tc>
          <w:tcPr>
            <w:tcW w:w="1795" w:type="dxa"/>
          </w:tcPr>
          <w:p>
            <w:pPr/>
            <w:r>
              <w:t xml:space="preserve">S4 Method sheet</w:t>
            </w:r>
          </w:p>
        </w:tc>
        <w:tc>
          <w:tcPr>
            <w:tcW w:w="1263" w:type="dxa"/>
          </w:tcPr>
          <w:p>
            <w:pPr/>
            <w:r>
              <w:t xml:space="preserve">5</w:t>
            </w:r>
          </w:p>
        </w:tc>
        <w:tc>
          <w:tcPr>
            <w:tcW w:w="4920" w:type="dxa"/>
          </w:tcPr>
          <w:p>
            <w:pPr/>
            <w:r>
              <w:t xml:space="preserve">Method v1.2: calculation, source and result for every figure</w:t>
            </w:r>
          </w:p>
        </w:tc>
        <w:tc>
          <w:tcPr>
            <w:tcW w:w="1382" w:type="dxa"/>
          </w:tcPr>
          <w:p>
            <w:pPr/>
            <w:r>
              <w:t xml:space="preserve">T2</w:t>
            </w:r>
          </w:p>
        </w:tc>
      </w:tr>
      <w:tr>
        <w:tc>
          <w:tcPr>
            <w:tcW w:w="1795" w:type="dxa"/>
          </w:tcPr>
          <w:p>
            <w:pPr/>
            <w:r>
              <w:t xml:space="preserve">S5 Forward dialog</w:t>
            </w:r>
          </w:p>
        </w:tc>
        <w:tc>
          <w:tcPr>
            <w:tcW w:w="1263" w:type="dxa"/>
          </w:tcPr>
          <w:p>
            <w:pPr/>
            <w:r>
              <w:t xml:space="preserve">6</w:t>
            </w:r>
          </w:p>
        </w:tc>
        <w:tc>
          <w:tcPr>
            <w:tcW w:w="4920" w:type="dxa"/>
          </w:tcPr>
          <w:p>
            <w:pPr/>
            <w:r>
              <w:t xml:space="preserve">Email to the director with slide, method sheet and prepayment scenario; opt-in for a quarterly update</w:t>
            </w:r>
          </w:p>
        </w:tc>
        <w:tc>
          <w:tcPr>
            <w:tcW w:w="1382" w:type="dxa"/>
          </w:tcPr>
          <w:p>
            <w:pPr/>
            <w:r>
              <w:t xml:space="preserve">T3</w:t>
            </w:r>
          </w:p>
        </w:tc>
      </w:tr>
    </w:tbl>
    <w:p>
      <w:pPr/>
      <w:r>
        <w:t xml:space="preserve">Page 7 (brand sheet) is not shown to participants.</w:t>
      </w:r>
    </w:p>
    <w:p>
      <w:pPr>
        <w:pStyle w:val="ListParagraph"/>
        <w:numPr>
          <w:ilvl w:val="0"/>
          <w:numId w:val="2"/>
        </w:numPr>
      </w:pPr>
      <w:r>
        <w:t xml:space="preserve">☐ Prototype PDF open, page navigation tested</w:t>
      </w:r>
    </w:p>
    <w:p>
      <w:pPr>
        <w:pStyle w:val="ListParagraph"/>
        <w:numPr>
          <w:ilvl w:val="0"/>
          <w:numId w:val="2"/>
        </w:numPr>
      </w:pPr>
      <w:r>
        <w:t xml:space="preserve">☐ Test cockpit open: session row created on the Sessions sheet</w:t>
      </w:r>
    </w:p>
    <w:p>
      <w:pPr>
        <w:pStyle w:val="ListParagraph"/>
        <w:numPr>
          <w:ilvl w:val="0"/>
          <w:numId w:val="2"/>
        </w:numPr>
      </w:pPr>
      <w:r>
        <w:t xml:space="preserve">☐ Consent to record confirmed (real participants: in writing)</w:t>
      </w:r>
    </w:p>
    <w:p>
      <w:pPr>
        <w:pStyle w:val="ListParagraph"/>
        <w:numPr>
          <w:ilvl w:val="0"/>
          <w:numId w:val="2"/>
        </w:numPr>
      </w:pPr>
      <w:r>
        <w:t xml:space="preserve">☐ Timer ready for time on task</w:t>
      </w:r>
    </w:p>
    <w:p>
      <w:pPr>
        <w:pStyle w:val="ListParagraph"/>
        <w:numPr>
          <w:ilvl w:val="0"/>
          <w:numId w:val="2"/>
        </w:numPr>
      </w:pPr>
      <w:r>
        <w:t xml:space="preserve">☐ Note-taker knows which tasks this persona does (see Persona variants)</w:t>
      </w:r>
    </w:p>
    <w:p>
      <w:pPr>
        <w:pStyle w:val="Heading2"/>
      </w:pPr>
      <w:r>
        <w:t xml:space="preserve">Part 1–2: Welcome and context (15 min)</w:t>
      </w:r>
    </w:p>
    <w:p>
      <w:pPr>
        <w:pStyle w:val="Heading3"/>
      </w:pPr>
      <w:r>
        <w:t xml:space="preserve">Welcome (5 min) – read aloud</w:t>
      </w:r>
    </w:p>
    <w:p>
      <w:pPr/>
      <w:r>
        <w:rPr>
          <w:i/>
          <w:iCs/>
        </w:rPr>
        <w:t xml:space="preserve">"Hello [name], thank you for your time. Today we're testing an early prototype of a renewal report for a Lumen partnership. We're testing the prototype, not you – if something is unclear, that's exactly what we need to hear.</w:t>
      </w:r>
    </w:p>
    <w:p>
      <w:pPr/>
      <w:r>
        <w:rPr>
          <w:i/>
          <w:iCs/>
        </w:rPr>
        <w:t xml:space="preserve">Please think aloud as you go: what you look at, what you expect, what surprises you. There are no wrong answers, and you can stop at any time. May we record the session? The recording stays in the team and is deleted after the analysis."</w:t>
      </w:r>
    </w:p>
    <w:p>
      <w:pPr/>
      <w:r>
        <w:t xml:space="preserve">Log in the cockpit: consent yes/no, start time.</w:t>
      </w:r>
    </w:p>
    <w:p>
      <w:pPr>
        <w:pStyle w:val="Heading3"/>
      </w:pPr>
      <w:r>
        <w:t xml:space="preserve">Context (10 min)</w:t>
      </w:r>
    </w:p>
    <w:p>
      <w:pPr/>
      <w:r>
        <w:t xml:space="preserve">Ask all five; follow up with "why?" and "can you give an example?" rather than new questions.</w:t>
      </w:r>
    </w:p>
    <w:p>
      <w:pPr>
        <w:pStyle w:val="ListParagraph"/>
        <w:numPr>
          <w:ilvl w:val="0"/>
          <w:numId w:val="3"/>
        </w:numPr>
      </w:pPr>
      <w:r>
        <w:t xml:space="preserve">What is your role, and what part do you play when a publisher agreement comes up for renewal?</w:t>
      </w:r>
    </w:p>
    <w:p>
      <w:pPr>
        <w:pStyle w:val="ListParagraph"/>
        <w:numPr>
          <w:ilvl w:val="0"/>
          <w:numId w:val="3"/>
        </w:numPr>
      </w:pPr>
      <w:r>
        <w:t xml:space="preserve">How did the last renewal go? Who prepared what, and who decided?</w:t>
      </w:r>
    </w:p>
    <w:p>
      <w:pPr>
        <w:pStyle w:val="ListParagraph"/>
        <w:numPr>
          <w:ilvl w:val="0"/>
          <w:numId w:val="3"/>
        </w:numPr>
      </w:pPr>
      <w:r>
        <w:t xml:space="preserve">What convinced the decision-maker last time – or what nearly didn't?</w:t>
      </w:r>
    </w:p>
    <w:p>
      <w:pPr>
        <w:pStyle w:val="ListParagraph"/>
        <w:numPr>
          <w:ilvl w:val="0"/>
          <w:numId w:val="3"/>
        </w:numPr>
      </w:pPr>
      <w:r>
        <w:t xml:space="preserve">Where do the figures come from today, and how long does it take to put them together?</w:t>
      </w:r>
    </w:p>
    <w:p>
      <w:pPr>
        <w:pStyle w:val="ListParagraph"/>
        <w:numPr>
          <w:ilvl w:val="0"/>
          <w:numId w:val="3"/>
        </w:numPr>
      </w:pPr>
      <w:r>
        <w:t xml:space="preserve">How do you feel about figures that come from the publisher itself?</w:t>
      </w:r>
    </w:p>
    <w:p>
      <w:pPr/>
      <w:r>
        <w:t xml:space="preserve">Don't show the prototype before question 5 is answered: their unprompted view of publisher figures is the baseline for A3.</w:t>
      </w:r>
    </w:p>
    <w:p>
      <w:pPr>
        <w:pStyle w:val="Heading2"/>
      </w:pPr>
      <w:r>
        <w:t xml:space="preserve">Part 3: Walking through the prototype (25 min)</w:t>
      </w:r>
    </w:p>
    <w:p>
      <w:pPr/>
      <w:r>
        <w:t xml:space="preserve">Five tasks follow the kit from inbox to board meeting. After each task, ask the ease question: </w:t>
      </w:r>
      <w:r>
        <w:rPr>
          <w:i/>
          <w:iCs/>
        </w:rPr>
        <w:t xml:space="preserve">"On a scale from 1 (very hard) to 7 (very easy), how easy was that?"</w:t>
      </w:r>
      <w:r>
        <w:t xml:space="preserve"> Prompt only after 30 seconds of silence, and log any prompt as "with help".</w:t>
      </w:r>
    </w:p>
    <w:p>
      <w:pPr>
        <w:pStyle w:val="Heading3"/>
      </w:pPr>
      <w:r>
        <w:t xml:space="preserve">T1 · Receive the kit (S1 → S2, 5 min) – A2, A4</w:t>
      </w:r>
    </w:p>
    <w:p>
      <w:pPr/>
      <w:r>
        <w:rPr>
          <w:b/>
          <w:bCs/>
        </w:rPr>
        <w:t xml:space="preserve">Say:</w:t>
      </w:r>
      <w:r>
        <w:t xml:space="preserve"> </w:t>
      </w:r>
      <w:r>
        <w:rPr>
          <w:i/>
          <w:iCs/>
        </w:rPr>
        <w:t xml:space="preserve">"It's Monday morning, 4 January 2027. This email has just arrived. Show me what you'd do."</w:t>
      </w:r>
      <w:r>
        <w:t xml:space="preserve"> Show S1.</w:t>
      </w:r>
    </w:p>
    <w:p>
      <w:pPr>
        <w:pStyle w:val="ListParagraph"/>
        <w:numPr>
          <w:ilvl w:val="0"/>
          <w:numId w:val="4"/>
        </w:numPr>
      </w:pPr>
      <w:r>
        <w:t xml:space="preserve">If stuck: </w:t>
      </w:r>
      <w:r>
        <w:rPr>
          <w:i/>
          <w:iCs/>
        </w:rPr>
        <w:t xml:space="preserve">"What is this email asking you to do?"</w:t>
      </w:r>
    </w:p>
    <w:p>
      <w:pPr>
        <w:pStyle w:val="ListParagraph"/>
        <w:numPr>
          <w:ilvl w:val="0"/>
          <w:numId w:val="4"/>
        </w:numPr>
      </w:pPr>
      <w:r>
        <w:t xml:space="preserve">When they open the kit, show S2: </w:t>
      </w:r>
      <w:r>
        <w:rPr>
          <w:i/>
          <w:iCs/>
        </w:rPr>
        <w:t xml:space="preserve">"What is this page telling you?"</w:t>
      </w:r>
    </w:p>
    <w:p>
      <w:pPr>
        <w:pStyle w:val="ListParagraph"/>
        <w:numPr>
          <w:ilvl w:val="0"/>
          <w:numId w:val="4"/>
        </w:numPr>
      </w:pPr>
      <w:r>
        <w:t xml:space="preserve">Observe: which of the three figures they read first; whether they click Open your renewal kit, Download slide or Forward; whether they look for a login.</w:t>
      </w:r>
    </w:p>
    <w:p>
      <w:pPr>
        <w:pStyle w:val="ListParagraph"/>
        <w:numPr>
          <w:ilvl w:val="0"/>
          <w:numId w:val="4"/>
        </w:numPr>
      </w:pPr>
      <w:r>
        <w:t xml:space="preserve">Log: success, time to first action, first figure mentioned, acted without prompt (A2).</w:t>
      </w:r>
    </w:p>
    <w:p>
      <w:pPr>
        <w:pStyle w:val="ListParagraph"/>
        <w:numPr>
          <w:ilvl w:val="0"/>
          <w:numId w:val="4"/>
        </w:numPr>
      </w:pPr>
      <w:r>
        <w:t xml:space="preserve">Success: opens the kit or downloads the slide within 60 seconds, unprompted.</w:t>
      </w:r>
    </w:p>
    <w:p>
      <w:pPr>
        <w:pStyle w:val="Heading3"/>
      </w:pPr>
      <w:r>
        <w:t xml:space="preserve">T2 · Check a figure (S2 → S4, 6 min) – A3</w:t>
      </w:r>
    </w:p>
    <w:p>
      <w:pPr/>
      <w:r>
        <w:rPr>
          <w:b/>
          <w:bCs/>
        </w:rPr>
        <w:t xml:space="preserve">Say:</w:t>
      </w:r>
      <w:r>
        <w:t xml:space="preserve"> </w:t>
      </w:r>
      <w:r>
        <w:rPr>
          <w:i/>
          <w:iCs/>
        </w:rPr>
        <w:t xml:space="preserve">"Your director will ask where the EUR 51,060 comes from. Find out."</w:t>
      </w:r>
    </w:p>
    <w:p>
      <w:pPr>
        <w:pStyle w:val="ListParagraph"/>
        <w:numPr>
          <w:ilvl w:val="0"/>
          <w:numId w:val="5"/>
        </w:numPr>
      </w:pPr>
      <w:r>
        <w:t xml:space="preserve">If stuck: </w:t>
      </w:r>
      <w:r>
        <w:rPr>
          <w:i/>
          <w:iCs/>
        </w:rPr>
        <w:t xml:space="preserve">"Is there anything on this page that explains the numbers?"</w:t>
      </w:r>
    </w:p>
    <w:p>
      <w:pPr>
        <w:pStyle w:val="ListParagraph"/>
        <w:numPr>
          <w:ilvl w:val="0"/>
          <w:numId w:val="5"/>
        </w:numPr>
      </w:pPr>
      <w:r>
        <w:t xml:space="preserve">Show S4 once they click Check this figure or How we calculate.</w:t>
      </w:r>
    </w:p>
    <w:p>
      <w:pPr>
        <w:pStyle w:val="ListParagraph"/>
        <w:numPr>
          <w:ilvl w:val="0"/>
          <w:numId w:val="5"/>
        </w:numPr>
      </w:pPr>
      <w:r>
        <w:t xml:space="preserve">Observe: do they find the calculation (338,100 − 287,040) unprompted; do they read the List price and Names and consent notes; do they ask who checked it.</w:t>
      </w:r>
    </w:p>
    <w:p>
      <w:pPr>
        <w:pStyle w:val="ListParagraph"/>
        <w:numPr>
          <w:ilvl w:val="0"/>
          <w:numId w:val="5"/>
        </w:numPr>
      </w:pPr>
      <w:r>
        <w:t xml:space="preserve">Ask after S4: </w:t>
      </w:r>
      <w:r>
        <w:rPr>
          <w:i/>
          <w:iCs/>
        </w:rPr>
        <w:t xml:space="preserve">"How much do you trust this figure now, from 1 (not at all) to 5 (fully)? Why?"</w:t>
      </w:r>
    </w:p>
    <w:p>
      <w:pPr>
        <w:pStyle w:val="ListParagraph"/>
        <w:numPr>
          <w:ilvl w:val="0"/>
          <w:numId w:val="5"/>
        </w:numPr>
      </w:pPr>
      <w:r>
        <w:t xml:space="preserve">Log: success, time, found method unprompted, trust rating (A3).</w:t>
      </w:r>
    </w:p>
    <w:p>
      <w:pPr>
        <w:pStyle w:val="ListParagraph"/>
        <w:numPr>
          <w:ilvl w:val="0"/>
          <w:numId w:val="5"/>
        </w:numPr>
      </w:pPr>
      <w:r>
        <w:t xml:space="preserve">Success: explains the saving in their own words within 2 minutes.</w:t>
      </w:r>
    </w:p>
    <w:p>
      <w:pPr>
        <w:pStyle w:val="Heading3"/>
      </w:pPr>
      <w:r>
        <w:t xml:space="preserve">T3 · Pass it on (S3 → S5, 5 min) – A1, A5</w:t>
      </w:r>
    </w:p>
    <w:p>
      <w:pPr/>
      <w:r>
        <w:rPr>
          <w:b/>
          <w:bCs/>
        </w:rPr>
        <w:t xml:space="preserve">Say:</w:t>
      </w:r>
      <w:r>
        <w:t xml:space="preserve"> </w:t>
      </w:r>
      <w:r>
        <w:rPr>
          <w:i/>
          <w:iCs/>
        </w:rPr>
        <w:t xml:space="preserve">"Brief Dr. Hollmann before the Executive Board meeting. Show us how you'd do it."</w:t>
      </w:r>
    </w:p>
    <w:p>
      <w:pPr>
        <w:pStyle w:val="ListParagraph"/>
        <w:numPr>
          <w:ilvl w:val="0"/>
          <w:numId w:val="6"/>
        </w:numPr>
      </w:pPr>
      <w:r>
        <w:t xml:space="preserve">Show S3 when they open the slide, S5 when they choose Forward to director.</w:t>
      </w:r>
    </w:p>
    <w:p>
      <w:pPr>
        <w:pStyle w:val="ListParagraph"/>
        <w:numPr>
          <w:ilvl w:val="0"/>
          <w:numId w:val="6"/>
        </w:numPr>
      </w:pPr>
      <w:r>
        <w:t xml:space="preserve">Ask: </w:t>
      </w:r>
      <w:r>
        <w:rPr>
          <w:i/>
          <w:iCs/>
        </w:rPr>
        <w:t xml:space="preserve">"Would you send the slide as it is? What would you change before it goes out?"</w:t>
      </w:r>
    </w:p>
    <w:p>
      <w:pPr>
        <w:pStyle w:val="ListParagraph"/>
        <w:numPr>
          <w:ilvl w:val="0"/>
          <w:numId w:val="6"/>
        </w:numPr>
      </w:pPr>
      <w:r>
        <w:t xml:space="preserve">Ask: </w:t>
      </w:r>
      <w:r>
        <w:rPr>
          <w:i/>
          <w:iCs/>
        </w:rPr>
        <w:t xml:space="preserve">"Is anything missing that you'd have to add by hand?"</w:t>
      </w:r>
      <w:r>
        <w:t xml:space="preserve"> Note the board meeting date placeholder ([YOUR DATE]) on S2 if they spot it.</w:t>
      </w:r>
    </w:p>
    <w:p>
      <w:pPr>
        <w:pStyle w:val="ListParagraph"/>
        <w:numPr>
          <w:ilvl w:val="0"/>
          <w:numId w:val="6"/>
        </w:numPr>
      </w:pPr>
      <w:r>
        <w:t xml:space="preserve">Observe: reaction to the quarterly-update opt-in on S5.</w:t>
      </w:r>
    </w:p>
    <w:p>
      <w:pPr>
        <w:pStyle w:val="ListParagraph"/>
        <w:numPr>
          <w:ilvl w:val="0"/>
          <w:numId w:val="6"/>
        </w:numPr>
      </w:pPr>
      <w:r>
        <w:t xml:space="preserve">Log: success, time, forward unchanged yes/no (A1), each missing item and whether it is a must-have (A5).</w:t>
      </w:r>
    </w:p>
    <w:p>
      <w:pPr>
        <w:pStyle w:val="ListParagraph"/>
        <w:numPr>
          <w:ilvl w:val="0"/>
          <w:numId w:val="6"/>
        </w:numPr>
      </w:pPr>
      <w:r>
        <w:t xml:space="preserve">Success: chooses a way to send the kit without rebuilding the slide.</w:t>
      </w:r>
    </w:p>
    <w:p>
      <w:pPr>
        <w:pStyle w:val="Heading3"/>
      </w:pPr>
      <w:r>
        <w:t xml:space="preserve">T4 · Make the case (S3, 5 min) – A4</w:t>
      </w:r>
    </w:p>
    <w:p>
      <w:pPr/>
      <w:r>
        <w:rPr>
          <w:b/>
          <w:bCs/>
        </w:rPr>
        <w:t xml:space="preserve">Say:</w:t>
      </w:r>
      <w:r>
        <w:t xml:space="preserve"> </w:t>
      </w:r>
      <w:r>
        <w:rPr>
          <w:i/>
          <w:iCs/>
        </w:rPr>
        <w:t xml:space="preserve">"Imagine you're in the Executive Board meeting. I'll show you the slide for 10 seconds."</w:t>
      </w:r>
      <w:r>
        <w:t xml:space="preserve"> Show S3, hide it after 10 seconds.</w:t>
      </w:r>
    </w:p>
    <w:p>
      <w:pPr>
        <w:pStyle w:val="ListParagraph"/>
        <w:numPr>
          <w:ilvl w:val="0"/>
          <w:numId w:val="7"/>
        </w:numPr>
      </w:pPr>
      <w:r>
        <w:t xml:space="preserve">Ask: </w:t>
      </w:r>
      <w:r>
        <w:rPr>
          <w:i/>
          <w:iCs/>
        </w:rPr>
        <w:t xml:space="preserve">"What do you remember? Which of the three tiles makes the case for renewal?"</w:t>
      </w:r>
    </w:p>
    <w:p>
      <w:pPr>
        <w:pStyle w:val="ListParagraph"/>
        <w:numPr>
          <w:ilvl w:val="0"/>
          <w:numId w:val="7"/>
        </w:numPr>
      </w:pPr>
      <w:r>
        <w:t xml:space="preserve">Show S3 again: </w:t>
      </w:r>
      <w:r>
        <w:rPr>
          <w:i/>
          <w:iCs/>
        </w:rPr>
        <w:t xml:space="preserve">"What would a sceptical vice-president ask about this slide?"</w:t>
      </w:r>
    </w:p>
    <w:p>
      <w:pPr>
        <w:pStyle w:val="ListParagraph"/>
        <w:numPr>
          <w:ilvl w:val="0"/>
          <w:numId w:val="7"/>
        </w:numPr>
      </w:pPr>
      <w:r>
        <w:t xml:space="preserve">Log: what they recall, most persuasive tile (Cost, Compliance or People) (A4), objections raised.</w:t>
      </w:r>
    </w:p>
    <w:p>
      <w:pPr>
        <w:pStyle w:val="ListParagraph"/>
        <w:numPr>
          <w:ilvl w:val="0"/>
          <w:numId w:val="7"/>
        </w:numPr>
      </w:pPr>
      <w:r>
        <w:t xml:space="preserve">Success: recalls at least one figure and its meaning after 10 seconds.</w:t>
      </w:r>
    </w:p>
    <w:p>
      <w:pPr>
        <w:pStyle w:val="Heading3"/>
      </w:pPr>
      <w:r>
        <w:t xml:space="preserve">T5 · Plan ahead (S2 Planning 2027, 4 min) – A6</w:t>
      </w:r>
    </w:p>
    <w:p>
      <w:pPr/>
      <w:r>
        <w:rPr>
          <w:b/>
          <w:bCs/>
        </w:rPr>
        <w:t xml:space="preserve">Say:</w:t>
      </w:r>
      <w:r>
        <w:t xml:space="preserve"> </w:t>
      </w:r>
      <w:r>
        <w:rPr>
          <w:i/>
          <w:iCs/>
        </w:rPr>
        <w:t xml:space="preserve">"Scroll to the end of the kit. What would you do with this section?"</w:t>
      </w:r>
    </w:p>
    <w:p>
      <w:pPr>
        <w:pStyle w:val="ListParagraph"/>
        <w:numPr>
          <w:ilvl w:val="0"/>
          <w:numId w:val="8"/>
        </w:numPr>
      </w:pPr>
      <w:r>
        <w:t xml:space="preserve">Observe: do they mention topping up the prepayment account, or click Send scenario to director.</w:t>
      </w:r>
    </w:p>
    <w:p>
      <w:pPr>
        <w:pStyle w:val="ListParagraph"/>
        <w:numPr>
          <w:ilvl w:val="0"/>
          <w:numId w:val="8"/>
        </w:numPr>
      </w:pPr>
      <w:r>
        <w:t xml:space="preserve">Ask: </w:t>
      </w:r>
      <w:r>
        <w:rPr>
          <w:i/>
          <w:iCs/>
        </w:rPr>
        <w:t xml:space="preserve">"How likely is it that this changes your budget plan for 2027, from 1 to 5?"</w:t>
      </w:r>
    </w:p>
    <w:p>
      <w:pPr>
        <w:pStyle w:val="ListParagraph"/>
        <w:numPr>
          <w:ilvl w:val="0"/>
          <w:numId w:val="8"/>
        </w:numPr>
      </w:pPr>
      <w:r>
        <w:t xml:space="preserve">Log: success, interest in expansion yes/no, intent rating (A6).</w:t>
      </w:r>
    </w:p>
    <w:p>
      <w:pPr>
        <w:pStyle w:val="ListParagraph"/>
        <w:numPr>
          <w:ilvl w:val="0"/>
          <w:numId w:val="8"/>
        </w:numPr>
      </w:pPr>
      <w:r>
        <w:t xml:space="preserve">Success: understands what the 2027 forecast (about 162 articles, EUR 336,960) means for their budget.</w:t>
      </w:r>
    </w:p>
    <w:p>
      <w:pPr>
        <w:pStyle w:val="Heading2"/>
      </w:pPr>
      <w:r>
        <w:t xml:space="preserve">Part 4: Debrief (10 min)</w:t>
      </w:r>
    </w:p>
    <w:p>
      <w:pPr/>
      <w:r>
        <w:t xml:space="preserve">Close with three open questions, then the ratings. Open questions first, so the scales don't steer the answers.</w:t>
      </w:r>
    </w:p>
    <w:p>
      <w:pPr>
        <w:pStyle w:val="ListParagraph"/>
        <w:numPr>
          <w:ilvl w:val="0"/>
          <w:numId w:val="9"/>
        </w:numPr>
      </w:pPr>
      <w:r>
        <w:rPr>
          <w:i/>
          <w:iCs/>
        </w:rPr>
        <w:t xml:space="preserve">"If you could change one thing about the kit before it goes out, what would it be?"</w:t>
      </w:r>
    </w:p>
    <w:p>
      <w:pPr>
        <w:pStyle w:val="ListParagraph"/>
        <w:numPr>
          <w:ilvl w:val="0"/>
          <w:numId w:val="9"/>
        </w:numPr>
      </w:pPr>
      <w:r>
        <w:rPr>
          <w:i/>
          <w:iCs/>
        </w:rPr>
        <w:t xml:space="preserve">"Would you rather get this by email, as here, or log in to a dashboard? Why?"</w:t>
      </w:r>
    </w:p>
    <w:p>
      <w:pPr>
        <w:pStyle w:val="ListParagraph"/>
        <w:numPr>
          <w:ilvl w:val="0"/>
          <w:numId w:val="9"/>
        </w:numPr>
      </w:pPr>
      <w:r>
        <w:rPr>
          <w:i/>
          <w:iCs/>
        </w:rPr>
        <w:t xml:space="preserve">"Who at your institution would need to see this, and who would push back?"</w:t>
      </w:r>
    </w:p>
    <w:tbl>
      <w:tblPr>
        <w:tblStyle w:val="TableGrid"/>
        <w:tblW w:w="0" w:type="auto"/>
        <w:tblLayout w:type="fixed"/>
        <w:tblLook w:val="04A0" w:firstRow="1" w:lastRow="0" w:firstColumn="0" w:lastColumn="0" w:noHBand="0" w:noVBand="1"/>
      </w:tblPr>
      <w:tblGrid>
        <w:gridCol w:w="2129"/>
        <w:gridCol w:w="5280"/>
        <w:gridCol w:w="889"/>
        <w:gridCol w:w="1060"/>
      </w:tblGrid>
      <w:tr>
        <w:trPr>
          <w:tblHeader/>
        </w:trPr>
        <w:tc>
          <w:tcPr>
            <w:tcW w:w="2129" w:type="dxa"/>
            <w:shd w:val="clear" w:color="auto" w:fill="F2F2F2"/>
          </w:tcPr>
          <w:p>
            <w:pPr/>
            <w:r>
              <w:t xml:space="preserve">Rating</w:t>
            </w:r>
          </w:p>
        </w:tc>
        <w:tc>
          <w:tcPr>
            <w:tcW w:w="5280" w:type="dxa"/>
            <w:shd w:val="clear" w:color="auto" w:fill="F2F2F2"/>
          </w:tcPr>
          <w:p>
            <w:pPr/>
            <w:r>
              <w:t xml:space="preserve">Question</w:t>
            </w:r>
          </w:p>
        </w:tc>
        <w:tc>
          <w:tcPr>
            <w:tcW w:w="889" w:type="dxa"/>
            <w:shd w:val="clear" w:color="auto" w:fill="F2F2F2"/>
          </w:tcPr>
          <w:p>
            <w:pPr/>
            <w:r>
              <w:t xml:space="preserve">Scale</w:t>
            </w:r>
          </w:p>
        </w:tc>
        <w:tc>
          <w:tcPr>
            <w:tcW w:w="1060" w:type="dxa"/>
            <w:shd w:val="clear" w:color="auto" w:fill="F2F2F2"/>
          </w:tcPr>
          <w:p>
            <w:pPr/>
            <w:r>
              <w:t xml:space="preserve">Feeds</w:t>
            </w:r>
          </w:p>
        </w:tc>
      </w:tr>
      <w:tr>
        <w:tc>
          <w:tcPr>
            <w:tcW w:w="2129" w:type="dxa"/>
          </w:tcPr>
          <w:p>
            <w:pPr/>
            <w:r>
              <w:t xml:space="preserve">Usefulness</w:t>
            </w:r>
          </w:p>
        </w:tc>
        <w:tc>
          <w:tcPr>
            <w:tcW w:w="5280" w:type="dxa"/>
          </w:tcPr>
          <w:p>
            <w:pPr/>
            <w:r>
              <w:t xml:space="preserve">How useful would this kit be for your next renewal?</w:t>
            </w:r>
          </w:p>
        </w:tc>
        <w:tc>
          <w:tcPr>
            <w:tcW w:w="889" w:type="dxa"/>
          </w:tcPr>
          <w:p>
            <w:pPr/>
            <w:r>
              <w:t xml:space="preserve">1–5</w:t>
            </w:r>
          </w:p>
        </w:tc>
        <w:tc>
          <w:tcPr>
            <w:tcW w:w="1060" w:type="dxa"/>
          </w:tcPr>
          <w:p>
            <w:pPr/>
            <w:r>
              <w:t xml:space="preserve">Overall</w:t>
            </w:r>
          </w:p>
        </w:tc>
      </w:tr>
      <w:tr>
        <w:tc>
          <w:tcPr>
            <w:tcW w:w="2129" w:type="dxa"/>
          </w:tcPr>
          <w:p>
            <w:pPr/>
            <w:r>
              <w:t xml:space="preserve">Email over login</w:t>
            </w:r>
          </w:p>
        </w:tc>
        <w:tc>
          <w:tcPr>
            <w:tcW w:w="5280" w:type="dxa"/>
          </w:tcPr>
          <w:p>
            <w:pPr/>
            <w:r>
              <w:t xml:space="preserve">How much do you prefer getting this by email over logging in?</w:t>
            </w:r>
          </w:p>
        </w:tc>
        <w:tc>
          <w:tcPr>
            <w:tcW w:w="889" w:type="dxa"/>
          </w:tcPr>
          <w:p>
            <w:pPr/>
            <w:r>
              <w:t xml:space="preserve">1–5</w:t>
            </w:r>
          </w:p>
        </w:tc>
        <w:tc>
          <w:tcPr>
            <w:tcW w:w="1060" w:type="dxa"/>
          </w:tcPr>
          <w:p>
            <w:pPr/>
            <w:r>
              <w:t xml:space="preserve">A2</w:t>
            </w:r>
          </w:p>
        </w:tc>
      </w:tr>
      <w:tr>
        <w:tc>
          <w:tcPr>
            <w:tcW w:w="2129" w:type="dxa"/>
          </w:tcPr>
          <w:p>
            <w:pPr/>
            <w:r>
              <w:t xml:space="preserve">Trust</w:t>
            </w:r>
          </w:p>
        </w:tc>
        <w:tc>
          <w:tcPr>
            <w:tcW w:w="5280" w:type="dxa"/>
          </w:tcPr>
          <w:p>
            <w:pPr/>
            <w:r>
              <w:t xml:space="preserve">How much do you trust the figures in the kit? (re-ask if T2 was skipped)</w:t>
            </w:r>
          </w:p>
        </w:tc>
        <w:tc>
          <w:tcPr>
            <w:tcW w:w="889" w:type="dxa"/>
          </w:tcPr>
          <w:p>
            <w:pPr/>
            <w:r>
              <w:t xml:space="preserve">1–5</w:t>
            </w:r>
          </w:p>
        </w:tc>
        <w:tc>
          <w:tcPr>
            <w:tcW w:w="1060" w:type="dxa"/>
          </w:tcPr>
          <w:p>
            <w:pPr/>
            <w:r>
              <w:t xml:space="preserve">A3</w:t>
            </w:r>
          </w:p>
        </w:tc>
      </w:tr>
      <w:tr>
        <w:tc>
          <w:tcPr>
            <w:tcW w:w="2129" w:type="dxa"/>
          </w:tcPr>
          <w:p>
            <w:pPr/>
            <w:r>
              <w:t xml:space="preserve">Forward intent</w:t>
            </w:r>
          </w:p>
        </w:tc>
        <w:tc>
          <w:tcPr>
            <w:tcW w:w="5280" w:type="dxa"/>
          </w:tcPr>
          <w:p>
            <w:pPr/>
            <w:r>
              <w:t xml:space="preserve">How likely are you to forward the kit unchanged?</w:t>
            </w:r>
          </w:p>
        </w:tc>
        <w:tc>
          <w:tcPr>
            <w:tcW w:w="889" w:type="dxa"/>
          </w:tcPr>
          <w:p>
            <w:pPr/>
            <w:r>
              <w:t xml:space="preserve">1–5</w:t>
            </w:r>
          </w:p>
        </w:tc>
        <w:tc>
          <w:tcPr>
            <w:tcW w:w="1060" w:type="dxa"/>
          </w:tcPr>
          <w:p>
            <w:pPr/>
            <w:r>
              <w:t xml:space="preserve">A1</w:t>
            </w:r>
          </w:p>
        </w:tc>
      </w:tr>
    </w:tbl>
    <w:p>
      <w:pPr/>
      <w:r>
        <w:t xml:space="preserve">End: </w:t>
      </w:r>
      <w:r>
        <w:rPr>
          <w:i/>
          <w:iCs/>
        </w:rPr>
        <w:t xml:space="preserve">"Thank you. Is there anything we didn't ask that we should have?"</w:t>
      </w:r>
      <w:r>
        <w:t xml:space="preserve"> Log the closing quote verbatim.</w:t>
      </w:r>
    </w:p>
    <w:p>
      <w:pPr>
        <w:pStyle w:val="Heading2"/>
      </w:pPr>
      <w:r>
        <w:t xml:space="preserve">Persona variants</w:t>
      </w:r>
    </w:p>
    <w:p>
      <w:pPr/>
      <w:r>
        <w:t xml:space="preserve">Every session runs welcome, context and debrief in full; the tasks differ by role, so each persona spends the 25 minutes where its decision happens. Run them in this order: the decision chain first, then the researcher and the two contrast personas.</w:t>
      </w:r>
    </w:p>
    <w:tbl>
      <w:tblPr>
        <w:tblStyle w:val="TableGrid"/>
        <w:tblW w:w="0" w:type="auto"/>
        <w:tblLayout w:type="fixed"/>
        <w:tblLook w:val="04A0" w:firstRow="1" w:lastRow="0" w:firstColumn="0" w:lastColumn="0" w:noHBand="0" w:noVBand="1"/>
      </w:tblPr>
      <w:tblGrid>
        <w:gridCol w:w="790"/>
        <w:gridCol w:w="2023"/>
        <w:gridCol w:w="1816"/>
        <w:gridCol w:w="2453"/>
        <w:gridCol w:w="2278"/>
      </w:tblGrid>
      <w:tr>
        <w:trPr>
          <w:tblHeader/>
        </w:trPr>
        <w:tc>
          <w:tcPr>
            <w:tcW w:w="790" w:type="dxa"/>
            <w:shd w:val="clear" w:color="auto" w:fill="F2F2F2"/>
          </w:tcPr>
          <w:p>
            <w:pPr/>
            <w:r>
              <w:t xml:space="preserve">Order</w:t>
            </w:r>
          </w:p>
        </w:tc>
        <w:tc>
          <w:tcPr>
            <w:tcW w:w="2023" w:type="dxa"/>
            <w:shd w:val="clear" w:color="auto" w:fill="F2F2F2"/>
          </w:tcPr>
          <w:p>
            <w:pPr/>
            <w:r>
              <w:t xml:space="preserve">Persona</w:t>
            </w:r>
          </w:p>
        </w:tc>
        <w:tc>
          <w:tcPr>
            <w:tcW w:w="1816" w:type="dxa"/>
            <w:shd w:val="clear" w:color="auto" w:fill="F2F2F2"/>
          </w:tcPr>
          <w:p>
            <w:pPr/>
            <w:r>
              <w:t xml:space="preserve">Tasks</w:t>
            </w:r>
          </w:p>
        </w:tc>
        <w:tc>
          <w:tcPr>
            <w:tcW w:w="2453" w:type="dxa"/>
            <w:shd w:val="clear" w:color="auto" w:fill="F2F2F2"/>
          </w:tcPr>
          <w:p>
            <w:pPr/>
            <w:r>
              <w:t xml:space="preserve">Persona-specific probe</w:t>
            </w:r>
          </w:p>
        </w:tc>
        <w:tc>
          <w:tcPr>
            <w:tcW w:w="2278" w:type="dxa"/>
            <w:shd w:val="clear" w:color="auto" w:fill="F2F2F2"/>
          </w:tcPr>
          <w:p>
            <w:pPr/>
            <w:r>
              <w:t xml:space="preserve">Watch for</w:t>
            </w:r>
          </w:p>
        </w:tc>
      </w:tr>
      <w:tr>
        <w:tc>
          <w:tcPr>
            <w:tcW w:w="790" w:type="dxa"/>
          </w:tcPr>
          <w:p>
            <w:pPr/>
            <w:r>
              <w:t xml:space="preserve">1</w:t>
            </w:r>
          </w:p>
        </w:tc>
        <w:tc>
          <w:tcPr>
            <w:tcW w:w="2023" w:type="dxa"/>
          </w:tcPr>
          <w:p>
            <w:pPr/>
            <w:r>
              <w:t xml:space="preserve">P1 Dr. Miriam Kessler, OA Coordinator, Rheinfeld</w:t>
            </w:r>
          </w:p>
        </w:tc>
        <w:tc>
          <w:tcPr>
            <w:tcW w:w="1816" w:type="dxa"/>
          </w:tcPr>
          <w:p>
            <w:pPr/>
            <w:r>
              <w:t xml:space="preserve">T1, T2, T3, T5</w:t>
            </w:r>
          </w:p>
        </w:tc>
        <w:tc>
          <w:tcPr>
            <w:tcW w:w="2453" w:type="dxa"/>
          </w:tcPr>
          <w:p>
            <w:pPr/>
            <w:r>
              <w:t xml:space="preserve">"What would you normally have to add before this goes to Dr. Hollmann?"</w:t>
            </w:r>
          </w:p>
        </w:tc>
        <w:tc>
          <w:tcPr>
            <w:tcW w:w="2278" w:type="dxa"/>
          </w:tcPr>
          <w:p>
            <w:pPr/>
            <w:r>
              <w:t xml:space="preserve">Spots the [YOUR DATE] placeholder; edits the slide or not</w:t>
            </w:r>
          </w:p>
        </w:tc>
      </w:tr>
      <w:tr>
        <w:tc>
          <w:tcPr>
            <w:tcW w:w="790" w:type="dxa"/>
          </w:tcPr>
          <w:p>
            <w:pPr/>
            <w:r>
              <w:t xml:space="preserve">2</w:t>
            </w:r>
          </w:p>
        </w:tc>
        <w:tc>
          <w:tcPr>
            <w:tcW w:w="2023" w:type="dxa"/>
          </w:tcPr>
          <w:p>
            <w:pPr/>
            <w:r>
              <w:t xml:space="preserve">P3 Dr. Rainer Hollmann, Library Director, Rheinfeld</w:t>
            </w:r>
          </w:p>
        </w:tc>
        <w:tc>
          <w:tcPr>
            <w:tcW w:w="1816" w:type="dxa"/>
          </w:tcPr>
          <w:p>
            <w:pPr/>
            <w:r>
              <w:t xml:space="preserve">T2, T4, T5</w:t>
            </w:r>
          </w:p>
        </w:tc>
        <w:tc>
          <w:tcPr>
            <w:tcW w:w="2453" w:type="dxa"/>
          </w:tcPr>
          <w:p>
            <w:pPr/>
            <w:r>
              <w:t xml:space="preserve">"Is one page enough for the Executive Board?"</w:t>
            </w:r>
          </w:p>
        </w:tc>
        <w:tc>
          <w:tcPr>
            <w:tcW w:w="2278" w:type="dxa"/>
          </w:tcPr>
          <w:p>
            <w:pPr/>
            <w:r>
              <w:t xml:space="preserve">Asks for comparison with other publishers (out of scope)</w:t>
            </w:r>
          </w:p>
        </w:tc>
      </w:tr>
      <w:tr>
        <w:tc>
          <w:tcPr>
            <w:tcW w:w="790" w:type="dxa"/>
          </w:tcPr>
          <w:p>
            <w:pPr/>
            <w:r>
              <w:t xml:space="preserve">3</w:t>
            </w:r>
          </w:p>
        </w:tc>
        <w:tc>
          <w:tcPr>
            <w:tcW w:w="2023" w:type="dxa"/>
          </w:tcPr>
          <w:p>
            <w:pPr/>
            <w:r>
              <w:t xml:space="preserve">P4 Prof. Dr. Sabine Aigner, VP Research, Rheinfeld</w:t>
            </w:r>
          </w:p>
        </w:tc>
        <w:tc>
          <w:tcPr>
            <w:tcW w:w="1816" w:type="dxa"/>
          </w:tcPr>
          <w:p>
            <w:pPr/>
            <w:r>
              <w:t xml:space="preserve">T4, then T2</w:t>
            </w:r>
          </w:p>
        </w:tc>
        <w:tc>
          <w:tcPr>
            <w:tcW w:w="2453" w:type="dxa"/>
          </w:tcPr>
          <w:p>
            <w:pPr/>
            <w:r>
              <w:t xml:space="preserve">"What does this partnership do for Rheinfeld's reputation?"</w:t>
            </w:r>
          </w:p>
        </w:tc>
        <w:tc>
          <w:tcPr>
            <w:tcW w:w="2278" w:type="dxa"/>
          </w:tcPr>
          <w:p>
            <w:pPr/>
            <w:r>
              <w:t xml:space="preserve">Scepticism about publisher claims; reaction to the People tile</w:t>
            </w:r>
          </w:p>
        </w:tc>
      </w:tr>
      <w:tr>
        <w:tc>
          <w:tcPr>
            <w:tcW w:w="790" w:type="dxa"/>
          </w:tcPr>
          <w:p>
            <w:pPr/>
            <w:r>
              <w:t xml:space="preserve">4</w:t>
            </w:r>
          </w:p>
        </w:tc>
        <w:tc>
          <w:tcPr>
            <w:tcW w:w="2023" w:type="dxa"/>
          </w:tcPr>
          <w:p>
            <w:pPr/>
            <w:r>
              <w:t xml:space="preserve">P6 Dr. Ana Ferreira, Group Leader, guest editor</w:t>
            </w:r>
          </w:p>
        </w:tc>
        <w:tc>
          <w:tcPr>
            <w:tcW w:w="1816" w:type="dxa"/>
          </w:tcPr>
          <w:p>
            <w:pPr/>
            <w:r>
              <w:t xml:space="preserve">T1, T4</w:t>
            </w:r>
          </w:p>
        </w:tc>
        <w:tc>
          <w:tcPr>
            <w:tcW w:w="2453" w:type="dxa"/>
          </w:tcPr>
          <w:p>
            <w:pPr/>
            <w:r>
              <w:t xml:space="preserve">"You appear on this slide by name. How do you feel about that?"</w:t>
            </w:r>
          </w:p>
        </w:tc>
        <w:tc>
          <w:tcPr>
            <w:tcW w:w="2278" w:type="dxa"/>
          </w:tcPr>
          <w:p>
            <w:pPr/>
            <w:r>
              <w:t xml:space="preserve">Consent and recognition; whether review work feels valued</w:t>
            </w:r>
          </w:p>
        </w:tc>
      </w:tr>
      <w:tr>
        <w:tc>
          <w:tcPr>
            <w:tcW w:w="790" w:type="dxa"/>
          </w:tcPr>
          <w:p>
            <w:pPr/>
            <w:r>
              <w:t xml:space="preserve">5</w:t>
            </w:r>
          </w:p>
        </w:tc>
        <w:tc>
          <w:tcPr>
            <w:tcW w:w="2023" w:type="dxa"/>
          </w:tcPr>
          <w:p>
            <w:pPr/>
            <w:r>
              <w:t xml:space="preserve">P2 Jonas Brändli, Data Steward, Aaretal UAS (CH)</w:t>
            </w:r>
          </w:p>
        </w:tc>
        <w:tc>
          <w:tcPr>
            <w:tcW w:w="1816" w:type="dxa"/>
          </w:tcPr>
          <w:p>
            <w:pPr/>
            <w:r>
              <w:t xml:space="preserve">T1, T2, T3</w:t>
            </w:r>
          </w:p>
        </w:tc>
        <w:tc>
          <w:tcPr>
            <w:tcW w:w="2453" w:type="dxa"/>
          </w:tcPr>
          <w:p>
            <w:pPr/>
            <w:r>
              <w:t xml:space="preserve">"Imagine this is Aaretal's kit. Does it prove SNSF compliance?"</w:t>
            </w:r>
          </w:p>
        </w:tc>
        <w:tc>
          <w:tcPr>
            <w:tcW w:w="2278" w:type="dxa"/>
          </w:tcPr>
          <w:p>
            <w:pPr/>
            <w:r>
              <w:t xml:space="preserve">Funder list shows DFG, ERC, Horizon Europe only; effort to forward</w:t>
            </w:r>
          </w:p>
        </w:tc>
      </w:tr>
      <w:tr>
        <w:tc>
          <w:tcPr>
            <w:tcW w:w="790" w:type="dxa"/>
          </w:tcPr>
          <w:p>
            <w:pPr/>
            <w:r>
              <w:t xml:space="preserve">6</w:t>
            </w:r>
          </w:p>
        </w:tc>
        <w:tc>
          <w:tcPr>
            <w:tcW w:w="2023" w:type="dxa"/>
          </w:tcPr>
          <w:p>
            <w:pPr/>
            <w:r>
              <w:t xml:space="preserve">P5 Ulrike Sandmann, Head of Licensing, consortium of 14</w:t>
            </w:r>
          </w:p>
        </w:tc>
        <w:tc>
          <w:tcPr>
            <w:tcW w:w="1816" w:type="dxa"/>
          </w:tcPr>
          <w:p>
            <w:pPr/>
            <w:r>
              <w:t xml:space="preserve">T2, T4</w:t>
            </w:r>
          </w:p>
        </w:tc>
        <w:tc>
          <w:tcPr>
            <w:tcW w:w="2453" w:type="dxa"/>
          </w:tcPr>
          <w:p>
            <w:pPr/>
            <w:r>
              <w:t xml:space="preserve">"Could you put these figures into your monitoring as they are?"</w:t>
            </w:r>
          </w:p>
        </w:tc>
        <w:tc>
          <w:tcPr>
            <w:tcW w:w="2278" w:type="dxa"/>
          </w:tcPr>
          <w:p>
            <w:pPr/>
            <w:r>
              <w:t xml:space="preserve">Uses Raw data (CSV); asks for peer benchmarks</w:t>
            </w:r>
          </w:p>
        </w:tc>
      </w:tr>
    </w:tbl>
    <w:p>
      <w:pPr/>
      <w:r>
        <w:t xml:space="preserve">For P2 and P5, introduce the Rheinfeld kit as an example of what their institution or members would receive.</w:t>
      </w:r>
    </w:p>
    <w:p>
      <w:pPr>
        <w:pStyle w:val="Heading2"/>
      </w:pPr>
      <w:r>
        <w:t xml:space="preserve">After the session</w:t>
      </w:r>
    </w:p>
    <w:p>
      <w:pPr/>
      <w:r>
        <w:t xml:space="preserve">Log the session in the test cockpit within 15 minutes, while the details are fresh. The Report sheet updates itself and shows each assumption's status after every session.</w:t>
      </w:r>
    </w:p>
    <w:p>
      <w:pPr>
        <w:pStyle w:val="ListParagraph"/>
        <w:numPr>
          <w:ilvl w:val="0"/>
          <w:numId w:val="10"/>
        </w:numPr>
      </w:pPr>
      <w:r>
        <w:rPr>
          <w:b/>
          <w:bCs/>
        </w:rPr>
        <w:t xml:space="preserve">Task Log</w:t>
      </w:r>
      <w:r>
        <w:t xml:space="preserve"> – one row per task: success, time on task, ease (1–7), prompt needed, one quote.</w:t>
      </w:r>
    </w:p>
    <w:p>
      <w:pPr>
        <w:pStyle w:val="ListParagraph"/>
        <w:numPr>
          <w:ilvl w:val="0"/>
          <w:numId w:val="10"/>
        </w:numPr>
      </w:pPr>
      <w:r>
        <w:rPr>
          <w:b/>
          <w:bCs/>
        </w:rPr>
        <w:t xml:space="preserve">Observations</w:t>
      </w:r>
      <w:r>
        <w:t xml:space="preserve"> – one row per session: the A1–A6 fields, the four debrief ratings, missing items, closing quote.</w:t>
      </w:r>
    </w:p>
    <w:p>
      <w:pPr>
        <w:pStyle w:val="ListParagraph"/>
        <w:numPr>
          <w:ilvl w:val="0"/>
          <w:numId w:val="10"/>
        </w:numPr>
      </w:pPr>
      <w:r>
        <w:rPr>
          <w:b/>
          <w:bCs/>
        </w:rPr>
        <w:t xml:space="preserve">Report</w:t>
      </w:r>
      <w:r>
        <w:t xml:space="preserve"> – check the scoreboard; a status can still flip until all six sessions are in.</w:t>
      </w:r>
    </w:p>
    <w:p>
      <w:pPr/>
      <w:r>
        <w:t xml:space="preserve">After all six sessions:</w:t>
      </w:r>
    </w:p>
    <w:p>
      <w:pPr>
        <w:pStyle w:val="ListParagraph"/>
        <w:numPr>
          <w:ilvl w:val="0"/>
          <w:numId w:val="11"/>
        </w:numPr>
      </w:pPr>
      <w:r>
        <w:rPr>
          <w:b/>
          <w:bCs/>
        </w:rPr>
        <w:t xml:space="preserve">Confirmed</w:t>
      </w:r>
      <w:r>
        <w:t xml:space="preserve"> – keep it in the kit as it is.</w:t>
      </w:r>
    </w:p>
    <w:p>
      <w:pPr>
        <w:pStyle w:val="ListParagraph"/>
        <w:numPr>
          <w:ilvl w:val="0"/>
          <w:numId w:val="11"/>
        </w:numPr>
      </w:pPr>
      <w:r>
        <w:rPr>
          <w:b/>
          <w:bCs/>
        </w:rPr>
        <w:t xml:space="preserve">Mixed</w:t>
      </w:r>
      <w:r>
        <w:t xml:space="preserve"> – change the kit, then re-test with the personas whose answers were split.</w:t>
      </w:r>
    </w:p>
    <w:p>
      <w:pPr>
        <w:pStyle w:val="ListParagraph"/>
        <w:numPr>
          <w:ilvl w:val="0"/>
          <w:numId w:val="11"/>
        </w:numPr>
      </w:pPr>
      <w:r>
        <w:rPr>
          <w:b/>
          <w:bCs/>
        </w:rPr>
        <w:t xml:space="preserve">Rejected</w:t>
      </w:r>
      <w:r>
        <w:t xml:space="preserve"> – rethink that part of the kit before the next round.</w:t>
      </w:r>
    </w:p>
    <w:p>
      <w:pPr>
        <w:pStyle w:val="ListParagraph"/>
        <w:numPr>
          <w:ilvl w:val="0"/>
          <w:numId w:val="11"/>
        </w:numPr>
      </w:pPr>
      <w:r>
        <w:t xml:space="preserve">Any task with two or more failures – a usability fix, regardless of the assumption status.</w:t>
      </w:r>
    </w:p>
    <w:p>
      <w:pPr/>
      <w:r>
        <w:t xml:space="preserve">Then validate with real people: run the same guide with two or three real librarians (for example the Open Science team at ZHB Luzern, with consent) and compare their answers with the twins'. Where they differ, recalibrate the twin before the next test.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customXml" Target="../customXml/item3.xml"/><Relationship Id="rId4"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576A77E95363242BEAEB8924ABD2C05" ma:contentTypeVersion="12" ma:contentTypeDescription="Ein neues Dokument erstellen." ma:contentTypeScope="" ma:versionID="5493b18cc296a886b4ab261055e97cc8">
  <xsd:schema xmlns:xsd="http://www.w3.org/2001/XMLSchema" xmlns:xs="http://www.w3.org/2001/XMLSchema" xmlns:p="http://schemas.microsoft.com/office/2006/metadata/properties" xmlns:ns2="7a2769ee-156b-4618-a3e5-4d9db9039833" xmlns:ns3="1a9556cc-261a-47bf-93b5-3ab15cd3bb6c" targetNamespace="http://schemas.microsoft.com/office/2006/metadata/properties" ma:root="true" ma:fieldsID="4afece236ef084d6805ea8f62cfca45d" ns2:_="" ns3:_="">
    <xsd:import namespace="7a2769ee-156b-4618-a3e5-4d9db9039833"/>
    <xsd:import namespace="1a9556cc-261a-47bf-93b5-3ab15cd3bb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769ee-156b-4618-a3e5-4d9db90398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6d826492-7cd1-4829-9dae-4a02f8295a3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9556cc-261a-47bf-93b5-3ab15cd3bb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03055b0-2405-4f2b-82ae-daa412e473d6}" ma:internalName="TaxCatchAll" ma:showField="CatchAllData" ma:web="1a9556cc-261a-47bf-93b5-3ab15cd3b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a9556cc-261a-47bf-93b5-3ab15cd3bb6c" xsi:nil="true"/>
    <lcf76f155ced4ddcb4097134ff3c332f xmlns="7a2769ee-156b-4618-a3e5-4d9db90398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04F8FC-08D1-4B7A-936B-589972B2946D}"/>
</file>

<file path=customXml/itemProps2.xml><?xml version="1.0" encoding="utf-8"?>
<ds:datastoreItem xmlns:ds="http://schemas.openxmlformats.org/officeDocument/2006/customXml" ds:itemID="{A96E8AEF-65DC-4721-A502-631694E1F672}"/>
</file>

<file path=customXml/itemProps3.xml><?xml version="1.0" encoding="utf-8"?>
<ds:datastoreItem xmlns:ds="http://schemas.openxmlformats.org/officeDocument/2006/customXml" ds:itemID="{7CB0B189-2711-4F56-9305-5BFE230A5A2E}"/>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Guide – Lumen Renewal Kit Prototype</dc:title>
  <dc:description>Claude Docs node/e64f3f75-64b8@9 docx-w8</dc:description>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0x0101005576A77E95363242BEAEB8924ABD2C05</vt:lpwstr>
  </property>
</Properties>
</file>