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1A58A" w14:textId="4C973195" w:rsidR="00B8485C" w:rsidRDefault="00B8485C" w:rsidP="00B8485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Построение ранжировки</w:t>
      </w:r>
      <w:r w:rsidRPr="00057FC2"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Пусть задано конечное множество альтерна</w:t>
      </w:r>
      <w:r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</w:rPr>
        <w:t>тив, которые надо целиком упорядочить, т.е. ранжировать в порядке «от лучших к худшим». При этом в   результате анализа и обсуждений для каждой пары различных альтернатив получены результаты их попарных сравнений. Это означает, что для любой пары альтернатив</w:t>
      </w:r>
      <w:r w:rsidRPr="00057FC2">
        <w:rPr>
          <w:rFonts w:ascii="Times New Roman" w:eastAsia="Calibri" w:hAnsi="Times New Roman" w:cs="Times New Roman"/>
          <w:sz w:val="28"/>
          <w:szCs w:val="28"/>
        </w:rPr>
        <w:t xml:space="preserve"> {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</w:t>
      </w:r>
      <w:r w:rsidRPr="00057FC2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w:r w:rsidRPr="00057FC2">
        <w:rPr>
          <w:rFonts w:ascii="Times New Roman" w:eastAsia="Calibri" w:hAnsi="Times New Roman" w:cs="Times New Roman"/>
          <w:sz w:val="28"/>
          <w:szCs w:val="28"/>
        </w:rPr>
        <w:t xml:space="preserve">} </w:t>
      </w:r>
      <w:r>
        <w:rPr>
          <w:rFonts w:ascii="Times New Roman" w:eastAsia="Calibri" w:hAnsi="Times New Roman" w:cs="Times New Roman"/>
          <w:sz w:val="28"/>
          <w:szCs w:val="28"/>
        </w:rPr>
        <w:t>имеется один из трёх различных выводов:</w:t>
      </w:r>
    </w:p>
    <w:p w14:paraId="4F987D64" w14:textId="77777777" w:rsidR="00B8485C" w:rsidRPr="003D238D" w:rsidRDefault="00B8485C" w:rsidP="00B8485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А. Альтернатива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превосходит альтернативу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280F5280" w14:textId="77777777" w:rsidR="00B8485C" w:rsidRPr="003D238D" w:rsidRDefault="00B8485C" w:rsidP="00B8485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В. Альтернатива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w:r w:rsidRPr="003D238D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превосходит альтернативу 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>х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EDCC4ED" w14:textId="77777777" w:rsidR="00B8485C" w:rsidRDefault="00B8485C" w:rsidP="00B8485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С. Альтернативы 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>х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несравнимы.</w:t>
      </w:r>
    </w:p>
    <w:p w14:paraId="267B9C6E" w14:textId="762161A0" w:rsidR="00B8485C" w:rsidRDefault="00B8485C" w:rsidP="00B8485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Сейчас не обсуждается, как получены эти </w:t>
      </w:r>
      <w:r>
        <w:rPr>
          <w:rFonts w:ascii="Times New Roman" w:eastAsia="Calibri" w:hAnsi="Times New Roman" w:cs="Times New Roman"/>
          <w:sz w:val="28"/>
          <w:szCs w:val="28"/>
        </w:rPr>
        <w:t>сравнения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какими свойствами они обладают. Воспользуемся обозначением </w:t>
      </w:r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xRy</w:t>
      </w:r>
      <w:r w:rsidRPr="003D238D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если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превосходит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обозначением </w:t>
      </w:r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R</m:t>
            </m:r>
          </m:e>
        </m:acc>
      </m:oMath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w:r w:rsidRPr="003D238D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если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не превосходит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="Calibri" w:hAnsi="Times New Roman" w:cs="Times New Roman"/>
          <w:sz w:val="28"/>
          <w:szCs w:val="28"/>
        </w:rPr>
        <w:t>. Тогда ситуации А, В, С могут быть описаны так:</w:t>
      </w:r>
    </w:p>
    <w:p w14:paraId="6F2CE3D3" w14:textId="77777777" w:rsidR="00B8485C" w:rsidRDefault="00B8485C" w:rsidP="00B848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А − </w:t>
      </w:r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xRy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  <w:r w:rsidRPr="003D238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В − </w:t>
      </w:r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yRx</w:t>
      </w:r>
      <w:r>
        <w:rPr>
          <w:rFonts w:ascii="Times New Roman" w:eastAsia="Calibri" w:hAnsi="Times New Roman" w:cs="Times New Roman"/>
          <w:sz w:val="28"/>
          <w:szCs w:val="28"/>
        </w:rPr>
        <w:t xml:space="preserve">; С − </w:t>
      </w:r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R</m:t>
            </m:r>
          </m:e>
        </m:acc>
      </m:oMath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R</m:t>
            </m:r>
          </m:e>
        </m:acc>
      </m:oMath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82D1AE0" w14:textId="7579130B" w:rsidR="00B8485C" w:rsidRDefault="00B8485C" w:rsidP="00B8485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Последняя ситуация – несравнимость – означает, что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не превосходит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не превосходит </w:t>
      </w:r>
      <w:r w:rsidRPr="00057FC2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sz w:val="28"/>
          <w:szCs w:val="28"/>
        </w:rPr>
        <w:t xml:space="preserve">. Вариант, когда одновременно </w:t>
      </w:r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xRy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3D238D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yRx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3563CB">
        <w:rPr>
          <w:rFonts w:ascii="Times New Roman" w:eastAsia="Calibri" w:hAnsi="Times New Roman" w:cs="Times New Roman"/>
          <w:sz w:val="28"/>
          <w:szCs w:val="28"/>
        </w:rPr>
        <w:t>в данном</w:t>
      </w:r>
      <w:r>
        <w:rPr>
          <w:rFonts w:ascii="Times New Roman" w:eastAsia="Calibri" w:hAnsi="Times New Roman" w:cs="Times New Roman"/>
          <w:sz w:val="28"/>
          <w:szCs w:val="28"/>
        </w:rPr>
        <w:t xml:space="preserve"> тексте не рассматривается.</w:t>
      </w:r>
      <w:r w:rsidRPr="00167AC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Не следует думать, что несравнимость – это какая-то экзотика. Наоборот, в реальной жизни сравнимость всех альтернатив встречается довольно редко. Однако эта сравнимость требуется во многих ситуациях – например, при построении рейтинга студентов. К счастью, полная сравнимость всех со всеми обычно всё же не требуется. Её часто заменяют на (нестрогую) ранжировку. Точно это означает следующее. Все альтернативы разбиваются на группы, так что лучшие альтернативы попадают в 1-ую группу, следующие по качеству – во 2-ую группу, и т.д. Таким образом, мы приходим к необходимости на основе только попарных сравнений получить более «упорядоченную» структуру – ранжировку исходных альтернатив. То есть мы и в этой ситуации сталкиваемся с необходимостью так или иначе уменьшить неопределённость. </w:t>
      </w:r>
    </w:p>
    <w:p w14:paraId="656CDBB7" w14:textId="40DC8794" w:rsidR="00B8485C" w:rsidRDefault="00B8485C" w:rsidP="00B8485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Не стоит удивляться и тому, что известно много методов ранжирования альтернатив. Мы сейчас рассмотрим один из них, называемый </w:t>
      </w:r>
      <w:r w:rsidRPr="00AF2836">
        <w:rPr>
          <w:rFonts w:ascii="Times New Roman" w:eastAsia="Calibri" w:hAnsi="Times New Roman" w:cs="Times New Roman"/>
          <w:b/>
          <w:bCs/>
          <w:sz w:val="28"/>
          <w:szCs w:val="28"/>
        </w:rPr>
        <w:t>правилом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F2836">
        <w:rPr>
          <w:rFonts w:ascii="Times New Roman" w:eastAsia="Calibri" w:hAnsi="Times New Roman" w:cs="Times New Roman"/>
          <w:b/>
          <w:sz w:val="28"/>
          <w:szCs w:val="28"/>
        </w:rPr>
        <w:t>Коупленда.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C35DB3E" w14:textId="20AA0B1F" w:rsidR="00B8485C" w:rsidRPr="002A1089" w:rsidRDefault="00B8485C" w:rsidP="00B8485C">
      <w:pPr>
        <w:shd w:val="clear" w:color="auto" w:fill="FFFFFF"/>
        <w:spacing w:after="0" w:line="240" w:lineRule="auto"/>
        <w:ind w:right="-2" w:firstLine="567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AF2836">
        <w:rPr>
          <w:rFonts w:ascii="Times New Roman" w:eastAsia="Calibri" w:hAnsi="Times New Roman" w:cs="Times New Roman"/>
          <w:bCs/>
          <w:sz w:val="28"/>
          <w:szCs w:val="28"/>
        </w:rPr>
        <w:t>Вве</w:t>
      </w:r>
      <w:r>
        <w:rPr>
          <w:rFonts w:ascii="Times New Roman" w:eastAsia="Calibri" w:hAnsi="Times New Roman" w:cs="Times New Roman"/>
          <w:bCs/>
          <w:sz w:val="28"/>
          <w:szCs w:val="28"/>
        </w:rPr>
        <w:t>дём необходимые обозначения. Обозначим рассматриваемое множес</w:t>
      </w:r>
      <w:r>
        <w:rPr>
          <w:rFonts w:ascii="Times New Roman" w:eastAsia="Calibri" w:hAnsi="Times New Roman" w:cs="Times New Roman"/>
          <w:bCs/>
          <w:sz w:val="28"/>
          <w:szCs w:val="28"/>
        </w:rPr>
        <w:t>-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тво альтернатив через </w:t>
      </w:r>
      <w:r>
        <w:rPr>
          <w:rFonts w:ascii="Times New Roman" w:eastAsia="Calibri" w:hAnsi="Times New Roman" w:cs="Times New Roman"/>
          <w:bCs/>
          <w:sz w:val="28"/>
          <w:szCs w:val="28"/>
        </w:rPr>
        <w:sym w:font="Symbol" w:char="F057"/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Pr="0009013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089">
        <w:rPr>
          <w:rFonts w:ascii="Times New Roman" w:hAnsi="Times New Roman" w:cs="Times New Roman"/>
          <w:color w:val="000000"/>
          <w:sz w:val="28"/>
          <w:szCs w:val="28"/>
        </w:rPr>
        <w:t xml:space="preserve">Для каждого </w:t>
      </w:r>
      <w:r>
        <w:rPr>
          <w:rFonts w:ascii="Times New Roman" w:eastAsia="Calibri" w:hAnsi="Times New Roman" w:cs="Times New Roman"/>
          <w:bCs/>
          <w:sz w:val="28"/>
          <w:szCs w:val="28"/>
        </w:rPr>
        <w:t>альтернативы</w:t>
      </w:r>
      <w:r w:rsidRPr="00D72CA4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2A108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∈</m:t>
        </m:r>
      </m:oMath>
      <w:r w:rsidRPr="002A1089">
        <w:rPr>
          <w:rFonts w:ascii="Times New Roman" w:hAnsi="Times New Roman" w:cs="Times New Roman"/>
          <w:iCs/>
          <w:color w:val="000000"/>
          <w:sz w:val="28"/>
          <w:szCs w:val="28"/>
        </w:rPr>
        <w:t>Ω</w:t>
      </w:r>
      <w:r w:rsidRPr="002A108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2A1089">
        <w:rPr>
          <w:rFonts w:ascii="Times New Roman" w:hAnsi="Times New Roman" w:cs="Times New Roman"/>
          <w:color w:val="000000"/>
          <w:sz w:val="28"/>
          <w:szCs w:val="28"/>
        </w:rPr>
        <w:t xml:space="preserve">определим </w:t>
      </w:r>
      <w:r w:rsidRPr="002A1089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верхний срез </w:t>
      </w:r>
      <w:r w:rsidRPr="002A108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Rx</w:t>
      </w:r>
      <w:r w:rsidRPr="002A108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2A108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и </w:t>
      </w:r>
      <w:r w:rsidRPr="002A1089">
        <w:rPr>
          <w:rFonts w:ascii="Times New Roman" w:hAnsi="Times New Roman" w:cs="Times New Roman"/>
          <w:b/>
          <w:i/>
          <w:iCs/>
          <w:color w:val="000000"/>
          <w:sz w:val="28"/>
          <w:szCs w:val="28"/>
        </w:rPr>
        <w:t xml:space="preserve">нижний срез </w:t>
      </w:r>
      <w:r w:rsidRPr="002A108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xR</w:t>
      </w:r>
      <w:r w:rsidRPr="002A108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2A1089">
        <w:rPr>
          <w:rFonts w:ascii="Times New Roman" w:hAnsi="Times New Roman" w:cs="Times New Roman"/>
          <w:color w:val="000000"/>
          <w:sz w:val="28"/>
          <w:szCs w:val="28"/>
        </w:rPr>
        <w:t xml:space="preserve">элемента </w:t>
      </w:r>
      <w:r w:rsidRPr="002A108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 w:rsidRPr="002A108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2A108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по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сравнению </w:t>
      </w:r>
      <w:r w:rsidRPr="002A108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</w:t>
      </w:r>
      <w:r w:rsidRPr="002A108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: </w:t>
      </w:r>
    </w:p>
    <w:p w14:paraId="5928923E" w14:textId="77777777" w:rsidR="00B8485C" w:rsidRPr="002A1089" w:rsidRDefault="00B8485C" w:rsidP="00B8485C">
      <w:pPr>
        <w:tabs>
          <w:tab w:val="center" w:pos="4820"/>
          <w:tab w:val="right" w:pos="9781"/>
        </w:tabs>
        <w:spacing w:after="0" w:line="24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bookmarkStart w:id="0" w:name="_Hlk123926408"/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R</w:t>
      </w:r>
      <w:bookmarkEnd w:id="0"/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 w:rsidRPr="002A108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= {</w:t>
      </w:r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y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∈</m:t>
        </m:r>
      </m:oMath>
      <w:r w:rsidRPr="005148D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Ω</w:t>
      </w:r>
      <w:r w:rsidRPr="002A10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| </w:t>
      </w:r>
      <w:r w:rsidRPr="002A108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y</w:t>
      </w:r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Rx</w:t>
      </w:r>
      <w:r w:rsidRPr="002A108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},</w:t>
      </w:r>
      <w:r w:rsidRPr="002A108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                                                        (1</w:t>
      </w:r>
      <w:r w:rsidRPr="002A1089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a</w:t>
      </w:r>
      <w:r w:rsidRPr="002A1089">
        <w:rPr>
          <w:rFonts w:ascii="Times New Roman" w:eastAsiaTheme="majorEastAsia" w:hAnsi="Times New Roman" w:cs="Times New Roman"/>
          <w:bCs/>
          <w:sz w:val="28"/>
          <w:szCs w:val="28"/>
        </w:rPr>
        <w:t>)</w:t>
      </w:r>
    </w:p>
    <w:p w14:paraId="047F419F" w14:textId="77777777" w:rsidR="00B8485C" w:rsidRPr="002A1089" w:rsidRDefault="00B8485C" w:rsidP="00B8485C">
      <w:pPr>
        <w:tabs>
          <w:tab w:val="center" w:pos="4820"/>
          <w:tab w:val="right" w:pos="9781"/>
        </w:tabs>
        <w:spacing w:after="0" w:line="24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xR</w:t>
      </w:r>
      <w:r w:rsidRPr="002A108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= {</w:t>
      </w:r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y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∈</m:t>
        </m:r>
      </m:oMath>
      <w:r w:rsidRPr="005148D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Ω</w:t>
      </w:r>
      <w:r w:rsidRPr="002A10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| </w:t>
      </w:r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xR</w:t>
      </w:r>
      <w:r w:rsidRPr="002A108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y</w:t>
      </w:r>
      <w:r w:rsidRPr="002A108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}.</w:t>
      </w:r>
      <w:r w:rsidRPr="002A108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              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2A108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                                       (1</w:t>
      </w:r>
      <w:r w:rsidRPr="002A108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b</w:t>
      </w:r>
      <w:r w:rsidRPr="002A1089">
        <w:rPr>
          <w:rFonts w:ascii="Times New Roman" w:eastAsiaTheme="majorEastAsia" w:hAnsi="Times New Roman" w:cs="Times New Roman"/>
          <w:bCs/>
          <w:sz w:val="28"/>
          <w:szCs w:val="28"/>
        </w:rPr>
        <w:t>)</w:t>
      </w:r>
    </w:p>
    <w:p w14:paraId="21053639" w14:textId="2480F6A5" w:rsidR="00B8485C" w:rsidRPr="00D72CA4" w:rsidRDefault="00B8485C" w:rsidP="00B8485C">
      <w:pPr>
        <w:tabs>
          <w:tab w:val="center" w:pos="4820"/>
          <w:tab w:val="right" w:pos="97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Учитывая введённые ранее обозначения, можно сказать, что </w:t>
      </w:r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Rx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это множес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тво всех альтернатив, превосходящих альтернативу </w:t>
      </w:r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</w:t>
      </w:r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xR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2C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−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это множество всех альтернатив, которые превосходятся альтернативой </w:t>
      </w:r>
      <w:r w:rsidRPr="002A10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D72C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5FFDEACB" w14:textId="77777777" w:rsidR="00B8485C" w:rsidRPr="00D72CA4" w:rsidRDefault="00B8485C" w:rsidP="00B8485C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2CA4">
        <w:rPr>
          <w:rFonts w:ascii="Times New Roman" w:eastAsia="Calibri" w:hAnsi="Times New Roman" w:cs="Times New Roman"/>
          <w:bCs/>
          <w:sz w:val="28"/>
          <w:szCs w:val="28"/>
        </w:rPr>
        <w:t xml:space="preserve">Для каждой альтернативы </w:t>
      </w:r>
      <w:r w:rsidRPr="002E2395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х</w:t>
      </w:r>
      <w:r w:rsidRPr="00D72CA4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 xml:space="preserve">положим </w:t>
      </w:r>
    </w:p>
    <w:p w14:paraId="2B254F87" w14:textId="77777777" w:rsidR="00B8485C" w:rsidRPr="00D72CA4" w:rsidRDefault="00B8485C" w:rsidP="00B8485C">
      <w:pPr>
        <w:shd w:val="clear" w:color="auto" w:fill="FFFFFF"/>
        <w:spacing w:after="0" w:line="240" w:lineRule="auto"/>
        <w:ind w:right="-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x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 xml:space="preserve">) = </w:t>
      </w:r>
      <w:r w:rsidRPr="00D72CA4">
        <w:rPr>
          <w:rFonts w:ascii="Times New Roman" w:hAnsi="Times New Roman" w:cs="Times New Roman"/>
          <w:b/>
          <w:color w:val="000000"/>
          <w:sz w:val="28"/>
          <w:szCs w:val="28"/>
        </w:rPr>
        <w:t>|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xR</w:t>
      </w:r>
      <w:r w:rsidRPr="00D72CA4">
        <w:rPr>
          <w:rFonts w:ascii="Times New Roman" w:hAnsi="Times New Roman" w:cs="Times New Roman"/>
          <w:b/>
          <w:color w:val="000000"/>
          <w:sz w:val="28"/>
          <w:szCs w:val="28"/>
        </w:rPr>
        <w:t>|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 xml:space="preserve"> ‒ </w:t>
      </w:r>
      <w:r w:rsidRPr="00D72CA4">
        <w:rPr>
          <w:rFonts w:ascii="Times New Roman" w:hAnsi="Times New Roman" w:cs="Times New Roman"/>
          <w:b/>
          <w:color w:val="000000"/>
          <w:sz w:val="28"/>
          <w:szCs w:val="28"/>
        </w:rPr>
        <w:t>|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Rx</w:t>
      </w:r>
      <w:r w:rsidRPr="00D72CA4">
        <w:rPr>
          <w:rFonts w:ascii="Times New Roman" w:hAnsi="Times New Roman" w:cs="Times New Roman"/>
          <w:b/>
          <w:color w:val="000000"/>
          <w:sz w:val="28"/>
          <w:szCs w:val="28"/>
        </w:rPr>
        <w:t>|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,                                                           (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168C974" w14:textId="24EEEF12" w:rsidR="00B8485C" w:rsidRDefault="00B8485C" w:rsidP="00B8485C">
      <w:pPr>
        <w:shd w:val="clear" w:color="auto" w:fill="FFFFFF"/>
        <w:spacing w:after="0" w:line="240" w:lineRule="auto"/>
        <w:ind w:right="-2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D72CA4">
        <w:rPr>
          <w:rFonts w:ascii="Times New Roman" w:hAnsi="Times New Roman" w:cs="Times New Roman"/>
          <w:color w:val="000000"/>
          <w:sz w:val="28"/>
          <w:szCs w:val="28"/>
        </w:rPr>
        <w:t xml:space="preserve">где, как обычно, через </w:t>
      </w:r>
      <w:r w:rsidRPr="00D72CA4">
        <w:rPr>
          <w:rFonts w:ascii="Times New Roman" w:hAnsi="Times New Roman" w:cs="Times New Roman"/>
          <w:b/>
          <w:color w:val="000000"/>
          <w:sz w:val="28"/>
          <w:szCs w:val="28"/>
        </w:rPr>
        <w:t>|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</w:rPr>
        <w:t>|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 xml:space="preserve"> обозначено число элементов конечного множества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Понятно, что «качество» альтернативы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естественно зависит от того, сколько альтернатив «хуже»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и сколько альтернатив «лучше» </w:t>
      </w:r>
      <w:r w:rsidRPr="002E2395">
        <w:rPr>
          <w:rFonts w:ascii="Times New Roman" w:hAnsi="Times New Roman" w:cs="Times New Roman"/>
          <w:i/>
          <w:color w:val="000000"/>
          <w:sz w:val="28"/>
          <w:szCs w:val="28"/>
        </w:rPr>
        <w:t>х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. Желательно, чтобы </w:t>
      </w:r>
      <w:r w:rsidR="005148D0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1-ое </w:t>
      </w:r>
      <w:bookmarkStart w:id="1" w:name="_GoBack"/>
      <w:bookmarkEnd w:id="1"/>
      <w:r>
        <w:rPr>
          <w:rFonts w:ascii="Times New Roman" w:hAnsi="Times New Roman" w:cs="Times New Roman"/>
          <w:iCs/>
          <w:color w:val="000000"/>
          <w:sz w:val="28"/>
          <w:szCs w:val="28"/>
        </w:rPr>
        <w:t>число было побольше, а 2-ое число – поменьше.</w:t>
      </w:r>
    </w:p>
    <w:p w14:paraId="3C05580F" w14:textId="1EB1A6ED" w:rsidR="00B8485C" w:rsidRDefault="00B8485C" w:rsidP="00B8485C">
      <w:pPr>
        <w:shd w:val="clear" w:color="auto" w:fill="FFFFFF"/>
        <w:spacing w:after="0" w:line="240" w:lineRule="auto"/>
        <w:ind w:right="-2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lastRenderedPageBreak/>
        <w:t xml:space="preserve">Число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x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легко подсчитывается для любой альтернативы </w:t>
      </w:r>
      <w:r w:rsidRPr="00CC4D58">
        <w:rPr>
          <w:rFonts w:ascii="Times New Roman" w:hAnsi="Times New Roman" w:cs="Times New Roman"/>
          <w:i/>
          <w:color w:val="000000"/>
          <w:sz w:val="28"/>
          <w:szCs w:val="28"/>
        </w:rPr>
        <w:t>х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. Ранжировка по этим числам строится так. В 1-ую группу попадают все альтернативы с максимальным значением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x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во 2-ую группы 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попадают все альтернативы со следующим (меньшим) значением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x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, и т.д. Указанное правило называет</w:t>
      </w: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ся </w:t>
      </w:r>
      <w:r w:rsidRPr="009531E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правилом Коупленда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34100706" w14:textId="77777777" w:rsidR="00B8485C" w:rsidRDefault="00B8485C" w:rsidP="00B8485C">
      <w:pPr>
        <w:shd w:val="clear" w:color="auto" w:fill="FFFFFF"/>
        <w:spacing w:after="0" w:line="240" w:lineRule="auto"/>
        <w:ind w:right="-2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459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Пример.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Рассмотрим следующую таблицу размера 6</w:t>
      </w:r>
      <w:r>
        <w:rPr>
          <w:rFonts w:ascii="Times New Roman" w:hAnsi="Times New Roman" w:cs="Times New Roman"/>
          <w:color w:val="000000"/>
          <w:sz w:val="28"/>
          <w:szCs w:val="28"/>
        </w:rPr>
        <w:sym w:font="Symbol" w:char="F0B4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6, в которую занесены данные о сравнениях всех пар 6-и альтернатив. Как обычно  </w:t>
      </w:r>
    </w:p>
    <w:p w14:paraId="65EA4745" w14:textId="77777777" w:rsidR="00B8485C" w:rsidRDefault="00B8485C" w:rsidP="00B8485C">
      <w:pPr>
        <w:shd w:val="clear" w:color="auto" w:fill="FFFFFF"/>
        <w:spacing w:after="0" w:line="240" w:lineRule="auto"/>
        <w:ind w:right="-2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7BD16F4" w14:textId="77777777" w:rsidR="00B8485C" w:rsidRDefault="00B8485C" w:rsidP="00B8485C">
      <w:pPr>
        <w:shd w:val="clear" w:color="auto" w:fill="FFFFFF"/>
        <w:spacing w:after="0" w:line="240" w:lineRule="auto"/>
        <w:ind w:right="-2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 w:rsidRPr="0084594C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>a</w:t>
      </w:r>
      <w:r w:rsidRPr="0084594C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en-US"/>
        </w:rPr>
        <w:t>ij</w:t>
      </w:r>
      <w:r w:rsidRPr="00B8485C">
        <w:rPr>
          <w:rFonts w:ascii="Times New Roman" w:eastAsiaTheme="minorEastAsia" w:hAnsi="Times New Roman" w:cs="Times New Roman"/>
          <w:iCs/>
          <w:color w:val="000000"/>
          <w:sz w:val="28"/>
          <w:szCs w:val="28"/>
          <w:vertAlign w:val="subscript"/>
        </w:rPr>
        <w:t xml:space="preserve"> </w:t>
      </w:r>
      <w:r w:rsidRPr="00B8485C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  1, если альтернатива 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превосходит 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-1, если альтернатива 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превосходит 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0, если они несравнимы                        </m:t>
                  </m:r>
                </m:e>
              </m:mr>
            </m:m>
          </m:e>
        </m:d>
      </m:oMath>
    </w:p>
    <w:p w14:paraId="5C267644" w14:textId="77777777" w:rsidR="00B8485C" w:rsidRDefault="00B8485C" w:rsidP="00B8485C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14:paraId="4A93F08F" w14:textId="77777777" w:rsidR="00B8485C" w:rsidRDefault="00B8485C" w:rsidP="00B8485C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>Таблица превосходства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8"/>
        <w:gridCol w:w="1342"/>
        <w:gridCol w:w="1342"/>
        <w:gridCol w:w="1342"/>
        <w:gridCol w:w="1342"/>
        <w:gridCol w:w="1317"/>
        <w:gridCol w:w="1342"/>
      </w:tblGrid>
      <w:tr w:rsidR="00B8485C" w14:paraId="7D6C5835" w14:textId="77777777" w:rsidTr="00747BED">
        <w:tc>
          <w:tcPr>
            <w:tcW w:w="1496" w:type="dxa"/>
            <w:tcBorders>
              <w:bottom w:val="single" w:sz="18" w:space="0" w:color="auto"/>
              <w:right w:val="single" w:sz="18" w:space="0" w:color="auto"/>
            </w:tcBorders>
          </w:tcPr>
          <w:p w14:paraId="28808055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1497" w:type="dxa"/>
            <w:tcBorders>
              <w:left w:val="single" w:sz="18" w:space="0" w:color="auto"/>
              <w:bottom w:val="single" w:sz="18" w:space="0" w:color="auto"/>
            </w:tcBorders>
          </w:tcPr>
          <w:p w14:paraId="64C8034F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97" w:type="dxa"/>
            <w:tcBorders>
              <w:bottom w:val="single" w:sz="18" w:space="0" w:color="auto"/>
            </w:tcBorders>
          </w:tcPr>
          <w:p w14:paraId="6833E402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97" w:type="dxa"/>
            <w:tcBorders>
              <w:bottom w:val="single" w:sz="18" w:space="0" w:color="auto"/>
            </w:tcBorders>
          </w:tcPr>
          <w:p w14:paraId="29BF19AA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497" w:type="dxa"/>
            <w:tcBorders>
              <w:bottom w:val="single" w:sz="18" w:space="0" w:color="auto"/>
            </w:tcBorders>
          </w:tcPr>
          <w:p w14:paraId="234848AE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497" w:type="dxa"/>
            <w:tcBorders>
              <w:bottom w:val="single" w:sz="18" w:space="0" w:color="auto"/>
            </w:tcBorders>
          </w:tcPr>
          <w:p w14:paraId="2718FE59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497" w:type="dxa"/>
            <w:tcBorders>
              <w:bottom w:val="single" w:sz="18" w:space="0" w:color="auto"/>
            </w:tcBorders>
          </w:tcPr>
          <w:p w14:paraId="04E26C96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</w:t>
            </w:r>
          </w:p>
        </w:tc>
      </w:tr>
      <w:tr w:rsidR="00B8485C" w14:paraId="717B7F3E" w14:textId="77777777" w:rsidTr="00747BED">
        <w:tc>
          <w:tcPr>
            <w:tcW w:w="1496" w:type="dxa"/>
            <w:tcBorders>
              <w:top w:val="single" w:sz="18" w:space="0" w:color="auto"/>
              <w:right w:val="single" w:sz="18" w:space="0" w:color="auto"/>
            </w:tcBorders>
          </w:tcPr>
          <w:p w14:paraId="4080DF6B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97" w:type="dxa"/>
            <w:tcBorders>
              <w:top w:val="single" w:sz="18" w:space="0" w:color="auto"/>
              <w:left w:val="single" w:sz="18" w:space="0" w:color="auto"/>
            </w:tcBorders>
          </w:tcPr>
          <w:p w14:paraId="2B07D095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sym w:font="Symbol" w:char="F0B7"/>
            </w:r>
          </w:p>
        </w:tc>
        <w:tc>
          <w:tcPr>
            <w:tcW w:w="1497" w:type="dxa"/>
            <w:tcBorders>
              <w:top w:val="single" w:sz="18" w:space="0" w:color="auto"/>
            </w:tcBorders>
          </w:tcPr>
          <w:p w14:paraId="65D9AD42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97" w:type="dxa"/>
            <w:tcBorders>
              <w:top w:val="single" w:sz="18" w:space="0" w:color="auto"/>
            </w:tcBorders>
          </w:tcPr>
          <w:p w14:paraId="6AD8A19A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497" w:type="dxa"/>
            <w:tcBorders>
              <w:top w:val="single" w:sz="18" w:space="0" w:color="auto"/>
            </w:tcBorders>
          </w:tcPr>
          <w:p w14:paraId="13BC8EFA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97" w:type="dxa"/>
            <w:tcBorders>
              <w:top w:val="single" w:sz="18" w:space="0" w:color="auto"/>
            </w:tcBorders>
          </w:tcPr>
          <w:p w14:paraId="43C5D460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97" w:type="dxa"/>
            <w:tcBorders>
              <w:top w:val="single" w:sz="18" w:space="0" w:color="auto"/>
            </w:tcBorders>
          </w:tcPr>
          <w:p w14:paraId="177152A0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−1</w:t>
            </w:r>
          </w:p>
        </w:tc>
      </w:tr>
      <w:tr w:rsidR="00B8485C" w14:paraId="69287BCD" w14:textId="77777777" w:rsidTr="00747BED">
        <w:tc>
          <w:tcPr>
            <w:tcW w:w="1496" w:type="dxa"/>
            <w:tcBorders>
              <w:right w:val="single" w:sz="18" w:space="0" w:color="auto"/>
            </w:tcBorders>
          </w:tcPr>
          <w:p w14:paraId="29CD536D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97" w:type="dxa"/>
            <w:tcBorders>
              <w:left w:val="single" w:sz="18" w:space="0" w:color="auto"/>
            </w:tcBorders>
          </w:tcPr>
          <w:p w14:paraId="450657A3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−1</w:t>
            </w:r>
          </w:p>
        </w:tc>
        <w:tc>
          <w:tcPr>
            <w:tcW w:w="1497" w:type="dxa"/>
          </w:tcPr>
          <w:p w14:paraId="1F5CD64B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sym w:font="Symbol" w:char="F0B7"/>
            </w:r>
          </w:p>
        </w:tc>
        <w:tc>
          <w:tcPr>
            <w:tcW w:w="1497" w:type="dxa"/>
          </w:tcPr>
          <w:p w14:paraId="4795B910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97" w:type="dxa"/>
          </w:tcPr>
          <w:p w14:paraId="55E96F08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−1</w:t>
            </w:r>
          </w:p>
        </w:tc>
        <w:tc>
          <w:tcPr>
            <w:tcW w:w="1497" w:type="dxa"/>
          </w:tcPr>
          <w:p w14:paraId="77556609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22386933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B8485C" w14:paraId="4884DD4A" w14:textId="77777777" w:rsidTr="00747BED">
        <w:tc>
          <w:tcPr>
            <w:tcW w:w="1496" w:type="dxa"/>
            <w:tcBorders>
              <w:right w:val="single" w:sz="18" w:space="0" w:color="auto"/>
            </w:tcBorders>
          </w:tcPr>
          <w:p w14:paraId="5122631B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497" w:type="dxa"/>
            <w:tcBorders>
              <w:left w:val="single" w:sz="18" w:space="0" w:color="auto"/>
            </w:tcBorders>
          </w:tcPr>
          <w:p w14:paraId="2F40D169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64AE7160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−1</w:t>
            </w:r>
          </w:p>
        </w:tc>
        <w:tc>
          <w:tcPr>
            <w:tcW w:w="1497" w:type="dxa"/>
          </w:tcPr>
          <w:p w14:paraId="13404D9D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sym w:font="Symbol" w:char="F0B7"/>
            </w:r>
          </w:p>
        </w:tc>
        <w:tc>
          <w:tcPr>
            <w:tcW w:w="1497" w:type="dxa"/>
          </w:tcPr>
          <w:p w14:paraId="24EE3C6E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97" w:type="dxa"/>
          </w:tcPr>
          <w:p w14:paraId="62910ADF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715AEEB7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B8485C" w14:paraId="19A707F7" w14:textId="77777777" w:rsidTr="00747BED">
        <w:tc>
          <w:tcPr>
            <w:tcW w:w="1496" w:type="dxa"/>
            <w:tcBorders>
              <w:right w:val="single" w:sz="18" w:space="0" w:color="auto"/>
            </w:tcBorders>
          </w:tcPr>
          <w:p w14:paraId="2C2A2EA2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497" w:type="dxa"/>
            <w:tcBorders>
              <w:left w:val="single" w:sz="18" w:space="0" w:color="auto"/>
            </w:tcBorders>
          </w:tcPr>
          <w:p w14:paraId="694BD304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−1</w:t>
            </w:r>
          </w:p>
        </w:tc>
        <w:tc>
          <w:tcPr>
            <w:tcW w:w="1497" w:type="dxa"/>
          </w:tcPr>
          <w:p w14:paraId="1CEB3C50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97" w:type="dxa"/>
          </w:tcPr>
          <w:p w14:paraId="07758635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−1</w:t>
            </w:r>
          </w:p>
        </w:tc>
        <w:tc>
          <w:tcPr>
            <w:tcW w:w="1497" w:type="dxa"/>
          </w:tcPr>
          <w:p w14:paraId="42AA5B1F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sym w:font="Symbol" w:char="F0B7"/>
            </w:r>
          </w:p>
        </w:tc>
        <w:tc>
          <w:tcPr>
            <w:tcW w:w="1497" w:type="dxa"/>
          </w:tcPr>
          <w:p w14:paraId="1C769320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0BF6E475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−1</w:t>
            </w:r>
          </w:p>
        </w:tc>
      </w:tr>
      <w:tr w:rsidR="00B8485C" w14:paraId="4A068CE9" w14:textId="77777777" w:rsidTr="00747BED">
        <w:tc>
          <w:tcPr>
            <w:tcW w:w="1496" w:type="dxa"/>
            <w:tcBorders>
              <w:right w:val="single" w:sz="18" w:space="0" w:color="auto"/>
            </w:tcBorders>
          </w:tcPr>
          <w:p w14:paraId="37E94FB2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497" w:type="dxa"/>
            <w:tcBorders>
              <w:left w:val="single" w:sz="18" w:space="0" w:color="auto"/>
            </w:tcBorders>
          </w:tcPr>
          <w:p w14:paraId="0CA325A7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−1</w:t>
            </w:r>
          </w:p>
        </w:tc>
        <w:tc>
          <w:tcPr>
            <w:tcW w:w="1497" w:type="dxa"/>
          </w:tcPr>
          <w:p w14:paraId="69E81DCE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08CC5323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219E1D64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49DA373B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sym w:font="Symbol" w:char="F0B7"/>
            </w:r>
          </w:p>
        </w:tc>
        <w:tc>
          <w:tcPr>
            <w:tcW w:w="1497" w:type="dxa"/>
          </w:tcPr>
          <w:p w14:paraId="5385AB39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B8485C" w14:paraId="2AE38196" w14:textId="77777777" w:rsidTr="00747BED">
        <w:tc>
          <w:tcPr>
            <w:tcW w:w="1496" w:type="dxa"/>
            <w:tcBorders>
              <w:right w:val="single" w:sz="18" w:space="0" w:color="auto"/>
            </w:tcBorders>
          </w:tcPr>
          <w:p w14:paraId="7858B35D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</w:t>
            </w:r>
          </w:p>
        </w:tc>
        <w:tc>
          <w:tcPr>
            <w:tcW w:w="1497" w:type="dxa"/>
            <w:tcBorders>
              <w:left w:val="single" w:sz="18" w:space="0" w:color="auto"/>
            </w:tcBorders>
          </w:tcPr>
          <w:p w14:paraId="7DE5E620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97" w:type="dxa"/>
          </w:tcPr>
          <w:p w14:paraId="77BA56D4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42A1F0F0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−1</w:t>
            </w:r>
          </w:p>
        </w:tc>
        <w:tc>
          <w:tcPr>
            <w:tcW w:w="1497" w:type="dxa"/>
          </w:tcPr>
          <w:p w14:paraId="59A4ECA5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97" w:type="dxa"/>
          </w:tcPr>
          <w:p w14:paraId="27175E65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468D041C" w14:textId="77777777" w:rsidR="00B8485C" w:rsidRDefault="00B8485C" w:rsidP="00747BED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sym w:font="Symbol" w:char="F0B7"/>
            </w:r>
          </w:p>
        </w:tc>
      </w:tr>
    </w:tbl>
    <w:p w14:paraId="74EF220B" w14:textId="77777777" w:rsidR="00B8485C" w:rsidRPr="002E2395" w:rsidRDefault="00B8485C" w:rsidP="00B8485C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14:paraId="14F9F5F0" w14:textId="77777777" w:rsidR="00B8485C" w:rsidRDefault="00B8485C" w:rsidP="00B8485C">
      <w:pPr>
        <w:spacing w:after="0" w:line="240" w:lineRule="auto"/>
        <w:ind w:firstLine="567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C7B9A">
        <w:rPr>
          <w:rFonts w:ascii="Times New Roman" w:eastAsia="Calibri" w:hAnsi="Times New Roman" w:cs="Times New Roman"/>
          <w:bCs/>
          <w:sz w:val="28"/>
          <w:szCs w:val="28"/>
        </w:rPr>
        <w:t xml:space="preserve">Для такой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таблицы </w:t>
      </w:r>
      <w:r w:rsidRPr="00D72CA4">
        <w:rPr>
          <w:rFonts w:ascii="Times New Roman" w:hAnsi="Times New Roman" w:cs="Times New Roman"/>
          <w:b/>
          <w:color w:val="000000"/>
          <w:sz w:val="28"/>
          <w:szCs w:val="28"/>
        </w:rPr>
        <w:t>|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</w:t>
      </w:r>
      <w:r w:rsidRPr="00D72CA4">
        <w:rPr>
          <w:rFonts w:ascii="Times New Roman" w:hAnsi="Times New Roman" w:cs="Times New Roman"/>
          <w:b/>
          <w:color w:val="000000"/>
          <w:sz w:val="28"/>
          <w:szCs w:val="28"/>
        </w:rPr>
        <w:t>|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равно числу 1 в строчке </w:t>
      </w:r>
      <w:r w:rsidRPr="002C7B9A">
        <w:rPr>
          <w:rFonts w:ascii="Times New Roman" w:hAnsi="Times New Roman" w:cs="Times New Roman"/>
          <w:bCs/>
          <w:i/>
          <w:iCs/>
          <w:color w:val="000000"/>
          <w:sz w:val="28"/>
          <w:szCs w:val="28"/>
          <w:lang w:val="en-US"/>
        </w:rPr>
        <w:t>i</w:t>
      </w:r>
      <w:r w:rsidRPr="002C7B9A">
        <w:rPr>
          <w:rFonts w:ascii="Times New Roman" w:hAnsi="Times New Roman" w:cs="Times New Roman"/>
          <w:bCs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D72CA4">
        <w:rPr>
          <w:rFonts w:ascii="Times New Roman" w:hAnsi="Times New Roman" w:cs="Times New Roman"/>
          <w:b/>
          <w:color w:val="000000"/>
          <w:sz w:val="28"/>
          <w:szCs w:val="28"/>
        </w:rPr>
        <w:t>|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r w:rsidRPr="002C7B9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|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равно числу 1 в столбце </w:t>
      </w:r>
      <w:r w:rsidRPr="002C7B9A">
        <w:rPr>
          <w:rFonts w:ascii="Times New Roman" w:hAnsi="Times New Roman" w:cs="Times New Roman"/>
          <w:bCs/>
          <w:i/>
          <w:iCs/>
          <w:color w:val="000000"/>
          <w:sz w:val="28"/>
          <w:szCs w:val="28"/>
          <w:lang w:val="en-US"/>
        </w:rPr>
        <w:t>i</w:t>
      </w:r>
      <w:r w:rsidRPr="002C7B9A">
        <w:rPr>
          <w:rFonts w:ascii="Times New Roman" w:hAnsi="Times New Roman" w:cs="Times New Roman"/>
          <w:bCs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2C7B9A">
        <w:rPr>
          <w:rFonts w:ascii="Times New Roman" w:hAnsi="Times New Roman" w:cs="Times New Roman"/>
          <w:bCs/>
          <w:i/>
          <w:iCs/>
          <w:color w:val="000000"/>
          <w:sz w:val="28"/>
          <w:szCs w:val="28"/>
          <w:lang w:val="en-US"/>
        </w:rPr>
        <w:t>i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равно разности между </w:t>
      </w:r>
      <w:r w:rsidRPr="00D72CA4">
        <w:rPr>
          <w:rFonts w:ascii="Times New Roman" w:hAnsi="Times New Roman" w:cs="Times New Roman"/>
          <w:b/>
          <w:color w:val="000000"/>
          <w:sz w:val="28"/>
          <w:szCs w:val="28"/>
        </w:rPr>
        <w:t>|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</w:t>
      </w:r>
      <w:r w:rsidRPr="002C7B9A">
        <w:rPr>
          <w:rFonts w:ascii="Times New Roman" w:hAnsi="Times New Roman" w:cs="Times New Roman"/>
          <w:bCs/>
          <w:color w:val="000000"/>
          <w:sz w:val="28"/>
          <w:szCs w:val="28"/>
        </w:rPr>
        <w:t>| и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D72CA4">
        <w:rPr>
          <w:rFonts w:ascii="Times New Roman" w:hAnsi="Times New Roman" w:cs="Times New Roman"/>
          <w:b/>
          <w:color w:val="000000"/>
          <w:sz w:val="28"/>
          <w:szCs w:val="28"/>
        </w:rPr>
        <w:t>|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r w:rsidRPr="002C7B9A">
        <w:rPr>
          <w:rFonts w:ascii="Times New Roman" w:hAnsi="Times New Roman" w:cs="Times New Roman"/>
          <w:bCs/>
          <w:color w:val="000000"/>
          <w:sz w:val="28"/>
          <w:szCs w:val="28"/>
        </w:rPr>
        <w:t>|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Для данной таблицы </w:t>
      </w:r>
    </w:p>
    <w:p w14:paraId="545CA811" w14:textId="77777777" w:rsidR="00B8485C" w:rsidRPr="002C7B9A" w:rsidRDefault="00B8485C" w:rsidP="00B8485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=3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−1=2,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=1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−2=−1,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=2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−1=1,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=1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−3=−2,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=0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−1=−1, </w:t>
      </w:r>
      <w:r w:rsidRPr="00D72CA4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D72CA4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=2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−1=1.</w:t>
      </w:r>
    </w:p>
    <w:p w14:paraId="01A870A4" w14:textId="77777777" w:rsidR="00B8485C" w:rsidRPr="00D82B0B" w:rsidRDefault="00B8485C" w:rsidP="00B8485C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82B0B">
        <w:rPr>
          <w:rFonts w:ascii="Times New Roman" w:eastAsia="Calibri" w:hAnsi="Times New Roman" w:cs="Times New Roman"/>
          <w:bCs/>
          <w:sz w:val="28"/>
          <w:szCs w:val="28"/>
        </w:rPr>
        <w:t xml:space="preserve">Таким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образом, </w:t>
      </w:r>
    </w:p>
    <w:p w14:paraId="35F5FC99" w14:textId="77777777" w:rsidR="00B8485C" w:rsidRPr="00C4553B" w:rsidRDefault="00B8485C" w:rsidP="00B8485C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A108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Ω</w:t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= </w:t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{1}, </w:t>
      </w:r>
      <w:r w:rsidRPr="002A108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Ω</w:t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= </w:t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{3,6}, </w:t>
      </w:r>
      <w:r w:rsidRPr="002A108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Ω</w:t>
      </w:r>
      <w:r w:rsidRPr="00C4553B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</w:rPr>
        <w:t>3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= </w:t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{</w:t>
      </w:r>
      <w:r w:rsidRPr="00C455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2,5</w:t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}, </w:t>
      </w:r>
      <w:r w:rsidRPr="002A108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Ω</w:t>
      </w:r>
      <w:r w:rsidRPr="00C4553B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</w:rPr>
        <w:t>4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= </w:t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{</w:t>
      </w:r>
      <w:r w:rsidRPr="00C455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4</w:t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}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</w:t>
      </w:r>
    </w:p>
    <w:p w14:paraId="38E85C31" w14:textId="77777777" w:rsidR="00B8485C" w:rsidRDefault="00B8485C" w:rsidP="00B8485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откуда найденная ранжировка такова:</w:t>
      </w:r>
    </w:p>
    <w:p w14:paraId="4525843D" w14:textId="77777777" w:rsidR="00B8485C" w:rsidRPr="008352F8" w:rsidRDefault="00B8485C" w:rsidP="00B8485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{1}</w:t>
      </w:r>
      <w:r w:rsidRPr="00997795">
        <w:rPr>
          <w:rFonts w:ascii="Times New Roman" w:eastAsia="Calibri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 wp14:anchorId="4B4EFA17" wp14:editId="2FDD2DB5">
            <wp:extent cx="138430" cy="13843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{3,6}</w:t>
      </w:r>
      <w:r w:rsidRPr="00997795">
        <w:rPr>
          <w:rFonts w:ascii="Times New Roman" w:eastAsia="Calibri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 wp14:anchorId="532F3B11" wp14:editId="55F9CB7F">
            <wp:extent cx="138430" cy="1384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{</w:t>
      </w:r>
      <w:r w:rsidRPr="00C455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2,5</w:t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}</w:t>
      </w:r>
      <w:r w:rsidRPr="00997795">
        <w:rPr>
          <w:rFonts w:ascii="Times New Roman" w:eastAsia="Calibri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 wp14:anchorId="6B00BC8C" wp14:editId="164E38E7">
            <wp:extent cx="138430" cy="1384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{</w:t>
      </w:r>
      <w:r w:rsidRPr="00C455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4</w:t>
      </w:r>
      <w:r w:rsidRPr="00D82B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}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13F47254" w14:textId="77777777" w:rsidR="00614750" w:rsidRDefault="00614750"/>
    <w:sectPr w:rsidR="00614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40"/>
    <w:rsid w:val="005148D0"/>
    <w:rsid w:val="00614750"/>
    <w:rsid w:val="00B8485C"/>
    <w:rsid w:val="00D2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F75F"/>
  <w15:chartTrackingRefBased/>
  <w15:docId w15:val="{1184D2E9-1019-4D9F-B20F-B6479FC3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8485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84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Рубчинский</dc:creator>
  <cp:keywords/>
  <dc:description/>
  <cp:lastModifiedBy>Александр Рубчинский</cp:lastModifiedBy>
  <cp:revision>3</cp:revision>
  <dcterms:created xsi:type="dcterms:W3CDTF">2026-06-14T18:19:00Z</dcterms:created>
  <dcterms:modified xsi:type="dcterms:W3CDTF">2026-06-14T19:40:00Z</dcterms:modified>
</cp:coreProperties>
</file>