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i w:val="false"/>
          <w:iCs w:val="false"/>
          <w:color w:val="000000"/>
          <w:sz w:val="48"/>
          <w:szCs w:val="48"/>
        </w:rPr>
        <w:t xml:space="preserve">Blurby — TTS Architecture Audit</w:t>
      </w:r>
    </w:p>
    <w:p>
      <w:pPr>
        <w:spacing w:after="200"/>
      </w:pPr>
    </w:p>
    <w:p>
      <w:pPr>
        <w:spacing w:after="200"/>
        <w:jc w:val="center"/>
      </w:pPr>
      <w:r>
        <w:rPr>
          <w:rFonts w:ascii="Arial" w:cs="Arial" w:eastAsia="Arial" w:hAnsi="Arial"/>
          <w:b w:val="false"/>
          <w:bCs w:val="false"/>
          <w:i w:val="false"/>
          <w:iCs w:val="false"/>
          <w:color w:val="555555"/>
          <w:sz w:val="32"/>
          <w:szCs w:val="32"/>
        </w:rPr>
        <w:t xml:space="preserve">Audit Orientation Document</w:t>
      </w:r>
    </w:p>
    <w:p>
      <w:pPr>
        <w:spacing w:after="600"/>
      </w:pPr>
    </w:p>
    <w:p>
      <w:pPr>
        <w:spacing w:after="200"/>
        <w:jc w:val="center"/>
      </w:pPr>
      <w:r>
        <w:rPr>
          <w:rFonts w:ascii="Arial" w:cs="Arial" w:eastAsia="Arial" w:hAnsi="Arial"/>
          <w:b w:val="false"/>
          <w:bCs w:val="false"/>
          <w:i w:val="false"/>
          <w:iCs w:val="false"/>
          <w:color w:val="000000"/>
          <w:sz w:val="24"/>
          <w:szCs w:val="24"/>
        </w:rPr>
        <w:t xml:space="preserve">Audit ID: OutsideAudit.1.2026-05-15</w:t>
      </w:r>
    </w:p>
    <w:p>
      <w:pPr>
        <w:spacing w:after="200"/>
        <w:jc w:val="center"/>
      </w:pPr>
      <w:r>
        <w:rPr>
          <w:rFonts w:ascii="Arial" w:cs="Arial" w:eastAsia="Arial" w:hAnsi="Arial"/>
          <w:b w:val="false"/>
          <w:bCs w:val="false"/>
          <w:i w:val="false"/>
          <w:iCs w:val="false"/>
          <w:color w:val="000000"/>
          <w:sz w:val="24"/>
          <w:szCs w:val="24"/>
        </w:rPr>
        <w:t xml:space="preserve">Date: May 15, 2026</w:t>
      </w:r>
    </w:p>
    <w:p>
      <w:pPr>
        <w:spacing w:after="200"/>
        <w:jc w:val="center"/>
      </w:pPr>
      <w:r>
        <w:rPr>
          <w:rFonts w:ascii="Arial" w:cs="Arial" w:eastAsia="Arial" w:hAnsi="Arial"/>
          <w:b w:val="false"/>
          <w:bCs w:val="false"/>
          <w:i w:val="false"/>
          <w:iCs w:val="false"/>
          <w:color w:val="000000"/>
          <w:sz w:val="24"/>
          <w:szCs w:val="24"/>
        </w:rPr>
        <w:t xml:space="preserve">Prepared by: Cowork (Blurby Planning Agent)</w:t>
      </w:r>
    </w:p>
    <w:p>
      <w:pPr>
        <w:pStyle w:val="Heading1"/>
        <w:pageBreakBefore/>
        <w:spacing w:after="200" w:before="360"/>
      </w:pPr>
      <w:r>
        <w:rPr>
          <w:rFonts w:ascii="Arial" w:cs="Arial" w:eastAsia="Arial" w:hAnsi="Arial"/>
          <w:b/>
          <w:bCs/>
          <w:color w:val="000000"/>
          <w:sz w:val="28"/>
          <w:szCs w:val="28"/>
        </w:rPr>
        <w:t xml:space="preserve">Section 1: Executive Summary</w:t>
      </w:r>
    </w:p>
    <w:p>
      <w:pPr>
        <w:spacing w:after="200"/>
        <w:jc w:val="left"/>
      </w:pPr>
      <w:r>
        <w:rPr>
          <w:rFonts w:ascii="Arial" w:cs="Arial" w:eastAsia="Arial" w:hAnsi="Arial"/>
          <w:b w:val="false"/>
          <w:bCs w:val="false"/>
          <w:i w:val="false"/>
          <w:iCs w:val="false"/>
          <w:color w:val="000000"/>
          <w:sz w:val="24"/>
          <w:szCs w:val="24"/>
        </w:rPr>
        <w:t xml:space="preserve">Blurby is a desktop e-book reader built on Electron 41, React 19, TypeScript, and Vite 6. It supports four reading modes (page, focus, flow, narrate) for EPUBs, PDFs, and web articles imported via a Chrome extension. The application is at v1.75.1 with 2,397 tests across 150 test files.</w:t>
      </w:r>
    </w:p>
    <w:p>
      <w:pPr>
        <w:spacing w:after="200"/>
        <w:jc w:val="left"/>
      </w:pPr>
      <w:r>
        <w:rPr>
          <w:rFonts w:ascii="Arial" w:cs="Arial" w:eastAsia="Arial" w:hAnsi="Arial"/>
          <w:b w:val="false"/>
          <w:bCs w:val="false"/>
          <w:i w:val="false"/>
          <w:iCs w:val="false"/>
          <w:color w:val="000000"/>
          <w:sz w:val="24"/>
          <w:szCs w:val="24"/>
        </w:rPr>
        <w:t xml:space="preserve">The TTS (text-to-speech) subsystem uses Kokoro as its sole active narration engine, delivering real word-level timestamps, structured caching with timing sidecars, and event-driven highlight synchronization. Three other engines exist in the codebase but are dormant or retired: MOSS-Nano (dormant — passed evaluation gates but disabled for focus), Pocket TTS (dormant), and Qwen (retired/disabled for Desktop v2).</w:t>
      </w:r>
    </w:p>
    <w:p>
      <w:pPr>
        <w:spacing w:after="200"/>
        <w:jc w:val="left"/>
      </w:pPr>
      <w:r>
        <w:rPr>
          <w:rFonts w:ascii="Arial" w:cs="Arial" w:eastAsia="Arial" w:hAnsi="Arial"/>
          <w:b w:val="false"/>
          <w:bCs w:val="false"/>
          <w:i w:val="false"/>
          <w:iCs w:val="false"/>
          <w:color w:val="000000"/>
          <w:sz w:val="24"/>
          <w:szCs w:val="24"/>
        </w:rPr>
        <w:t xml:space="preserve">This audit covers the TTS Architecture Completion phase — an 8-sprint conveyor belt that makes every implicit TTS architecture decision explicit, tested, and debuggable. The finish line is: Kokoro as sole active engine with provider registry, segment normalization, cache/timing sidecars, event-driven word sync, enriched normalization, pre-built word position index, pipeline integration tests, and architecture decisions document all landed.</w:t>
      </w:r>
    </w:p>
    <w:p>
      <w:pPr>
        <w:pStyle w:val="Heading1"/>
        <w:pageBreakBefore/>
        <w:spacing w:after="200" w:before="360"/>
      </w:pPr>
      <w:r>
        <w:rPr>
          <w:rFonts w:ascii="Arial" w:cs="Arial" w:eastAsia="Arial" w:hAnsi="Arial"/>
          <w:b/>
          <w:bCs/>
          <w:color w:val="000000"/>
          <w:sz w:val="28"/>
          <w:szCs w:val="28"/>
        </w:rPr>
        <w:t xml:space="preserve">Section 2: Current Build Status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Pr>
      <w:tblGrid>
        <w:gridCol w:w="3600"/>
        <w:gridCol w:w="5760"/>
      </w:tblGrid>
      <w:tr>
        <w:trPr>
          <w:tblHeader/>
        </w:trPr>
        <w:tc>
          <w:tcPr>
            <w:tcW w:type="dxa" w:w="3600"/>
            <w:shd w:fill="D5E8F0" w:val="clear"/>
            <w:tcMar>
              <w:top w:type="dxa" w:w="80"/>
              <w:left w:type="dxa" w:w="120"/>
              <w:bottom w:type="dxa" w:w="80"/>
              <w:right w:type="dxa" w:w="120"/>
            </w:tcMar>
          </w:tcPr>
          <w:p>
            <w:pPr>
              <w:spacing w:after="0"/>
            </w:pPr>
            <w:r>
              <w:rPr>
                <w:rFonts w:ascii="Arial" w:cs="Arial" w:eastAsia="Arial" w:hAnsi="Arial"/>
                <w:b/>
                <w:bCs/>
                <w:i w:val="false"/>
                <w:iCs w:val="false"/>
                <w:color w:val="000000"/>
                <w:sz w:val="24"/>
                <w:szCs w:val="24"/>
              </w:rPr>
              <w:t xml:space="preserve">Metric</w:t>
            </w:r>
          </w:p>
        </w:tc>
        <w:tc>
          <w:tcPr>
            <w:tcW w:type="dxa" w:w="5760"/>
            <w:shd w:fill="D5E8F0" w:val="clear"/>
            <w:tcMar>
              <w:top w:type="dxa" w:w="80"/>
              <w:left w:type="dxa" w:w="120"/>
              <w:bottom w:type="dxa" w:w="80"/>
              <w:right w:type="dxa" w:w="120"/>
            </w:tcMar>
          </w:tcPr>
          <w:p>
            <w:pPr>
              <w:spacing w:after="0"/>
            </w:pPr>
            <w:r>
              <w:rPr>
                <w:rFonts w:ascii="Arial" w:cs="Arial" w:eastAsia="Arial" w:hAnsi="Arial"/>
                <w:b/>
                <w:bCs/>
                <w:i w:val="false"/>
                <w:iCs w:val="false"/>
                <w:color w:val="000000"/>
                <w:sz w:val="24"/>
                <w:szCs w:val="24"/>
              </w:rPr>
              <w:t xml:space="preserve">Value</w:t>
            </w:r>
          </w:p>
        </w:tc>
      </w:tr>
      <w:tr>
        <w:tc>
          <w:tcPr>
            <w:tcW w:type="dxa" w:w="36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Version</w:t>
            </w:r>
          </w:p>
        </w:tc>
        <w:tc>
          <w:tcPr>
            <w:tcW w:type="dxa" w:w="57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v1.75.1</w:t>
            </w:r>
          </w:p>
        </w:tc>
      </w:tr>
      <w:tr>
        <w:tc>
          <w:tcPr>
            <w:tcW w:type="dxa" w:w="36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Tests</w:t>
            </w:r>
          </w:p>
        </w:tc>
        <w:tc>
          <w:tcPr>
            <w:tcW w:type="dxa" w:w="57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2,397 across 150 test files</w:t>
            </w:r>
          </w:p>
        </w:tc>
      </w:tr>
      <w:tr>
        <w:tc>
          <w:tcPr>
            <w:tcW w:type="dxa" w:w="36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Build</w:t>
            </w:r>
          </w:p>
        </w:tc>
        <w:tc>
          <w:tcPr>
            <w:tcW w:type="dxa" w:w="57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Electron 41 + React 19 + Vite 6 + TypeScript 5.9</w:t>
            </w:r>
          </w:p>
        </w:tc>
      </w:tr>
      <w:tr>
        <w:tc>
          <w:tcPr>
            <w:tcW w:type="dxa" w:w="36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CI/CD</w:t>
            </w:r>
          </w:p>
        </w:tc>
        <w:tc>
          <w:tcPr>
            <w:tcW w:type="dxa" w:w="57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GitHub Actions (split x64+ARM64 builds)</w:t>
            </w:r>
          </w:p>
        </w:tc>
      </w:tr>
      <w:tr>
        <w:tc>
          <w:tcPr>
            <w:tcW w:type="dxa" w:w="36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Phase completion</w:t>
            </w:r>
          </w:p>
        </w:tc>
        <w:tc>
          <w:tcPr>
            <w:tcW w:type="dxa" w:w="57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62.8% of TTS Architecture phase (27 of 43 LOE)</w:t>
            </w:r>
          </w:p>
        </w:tc>
      </w:tr>
      <w:tr>
        <w:tc>
          <w:tcPr>
            <w:tcW w:type="dxa" w:w="36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Velocity</w:t>
            </w:r>
          </w:p>
        </w:tc>
        <w:tc>
          <w:tcPr>
            <w:tcW w:type="dxa" w:w="57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~6.75 LOE/week (last 4 weeks)</w:t>
            </w:r>
          </w:p>
        </w:tc>
      </w:tr>
      <w:tr>
        <w:tc>
          <w:tcPr>
            <w:tcW w:type="dxa" w:w="36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Queue depth</w:t>
            </w:r>
          </w:p>
        </w:tc>
        <w:tc>
          <w:tcPr>
            <w:tcW w:type="dxa" w:w="57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GREEN — 8 full specs, 0 stubs</w:t>
            </w:r>
          </w:p>
        </w:tc>
      </w:tr>
      <w:tr>
        <w:tc>
          <w:tcPr>
            <w:tcW w:type="dxa" w:w="36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Estimated completion</w:t>
            </w:r>
          </w:p>
        </w:tc>
        <w:tc>
          <w:tcPr>
            <w:tcW w:type="dxa" w:w="57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~2026-05-29</w:t>
            </w:r>
          </w:p>
        </w:tc>
      </w:tr>
    </w:tbl>
    <w:p>
      <w:pPr>
        <w:pStyle w:val="Heading1"/>
        <w:pageBreakBefore/>
        <w:spacing w:after="200" w:before="360"/>
      </w:pPr>
      <w:r>
        <w:rPr>
          <w:rFonts w:ascii="Arial" w:cs="Arial" w:eastAsia="Arial" w:hAnsi="Arial"/>
          <w:b/>
          <w:bCs/>
          <w:color w:val="000000"/>
          <w:sz w:val="28"/>
          <w:szCs w:val="28"/>
        </w:rPr>
        <w:t xml:space="preserve">Section 3: Architecture Overview</w:t>
      </w:r>
    </w:p>
    <w:p>
      <w:pPr>
        <w:spacing w:after="200"/>
        <w:jc w:val="left"/>
      </w:pPr>
      <w:r>
        <w:rPr>
          <w:rFonts w:ascii="Arial" w:cs="Arial" w:eastAsia="Arial" w:hAnsi="Arial"/>
          <w:b w:val="false"/>
          <w:bCs w:val="false"/>
          <w:i w:val="false"/>
          <w:iCs w:val="false"/>
          <w:color w:val="000000"/>
          <w:sz w:val="24"/>
          <w:szCs w:val="24"/>
        </w:rPr>
        <w:t xml:space="preserve">The codebase follows an Electron main/renderer split. The main process (CommonJS) handles file I/O, IPC, TTS engine management, and cache persistence. The renderer process (ESM/TypeScript/React) manages the reading UI, narration state machine, and audio scheduling.</w:t>
      </w:r>
    </w:p>
    <w:p>
      <w:pPr>
        <w:spacing w:after="200"/>
        <w:jc w:val="left"/>
      </w:pPr>
      <w:r>
        <w:rPr>
          <w:rFonts w:ascii="Arial" w:cs="Arial" w:eastAsia="Arial" w:hAnsi="Arial"/>
          <w:b w:val="false"/>
          <w:bCs w:val="false"/>
          <w:i w:val="false"/>
          <w:iCs w:val="false"/>
          <w:color w:val="000000"/>
          <w:sz w:val="24"/>
          <w:szCs w:val="24"/>
        </w:rPr>
        <w:t xml:space="preserve">TTS Architecture Layers: The provider registry (ttsProviderRegistry.ts) centralizes engine capabilities and posture. The segment normalizer (segmentNormalizer.ts) transforms display text into spoken form with version-tracked hashes. The cache identity layer (ttsCache.ts in both main and renderer) provides v2 structured keys with timing sidecars. The audio scheduler (audioScheduler.ts) manages chunk queuing and playback. The generation pipeline (generationPipeline.ts) orchestrates chunk creation with backpressure. The narration planner (narrationPlanner.ts) builds pause-boundary plans. The Kokoro strategy (kokoroStrategy.ts) interfaces with the Kokoro TTS worker. The useNarration hook (useNarration.ts, 69KB) is the central narration state machine.</w:t>
      </w:r>
    </w:p>
    <w:p>
      <w:pPr>
        <w:spacing w:after="200"/>
        <w:jc w:val="left"/>
      </w:pPr>
      <w:r>
        <w:rPr>
          <w:rFonts w:ascii="Arial" w:cs="Arial" w:eastAsia="Arial" w:hAnsi="Arial"/>
          <w:b w:val="false"/>
          <w:bCs w:val="false"/>
          <w:i w:val="false"/>
          <w:iCs w:val="false"/>
          <w:color w:val="000000"/>
          <w:sz w:val="24"/>
          <w:szCs w:val="24"/>
        </w:rPr>
        <w:t xml:space="preserve">Key architectural invariants: timing metadata is fail-closed (missing timing downgrades to chunk sync, never invents word boundaries); cache identity includes normalizer version and pronunciation override hash; diagnostics bundle never contains raw book text or audio payloads; the preload.js security boundary is minimal with all system access through IPC.</w:t>
      </w:r>
    </w:p>
    <w:p>
      <w:pPr>
        <w:pStyle w:val="Heading1"/>
        <w:pageBreakBefore/>
        <w:spacing w:after="200" w:before="360"/>
      </w:pPr>
      <w:r>
        <w:rPr>
          <w:rFonts w:ascii="Arial" w:cs="Arial" w:eastAsia="Arial" w:hAnsi="Arial"/>
          <w:b/>
          <w:bCs/>
          <w:color w:val="000000"/>
          <w:sz w:val="28"/>
          <w:szCs w:val="28"/>
        </w:rPr>
        <w:t xml:space="preserve">Section 4: TTS Architecture Completion — Sprint Conveyor</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Pr>
      <w:tblGrid>
        <w:gridCol w:w="720"/>
        <w:gridCol w:w="2400"/>
        <w:gridCol w:w="720"/>
        <w:gridCol w:w="1560"/>
        <w:gridCol w:w="3960"/>
      </w:tblGrid>
      <w:tr>
        <w:trPr>
          <w:tblHeader/>
        </w:trPr>
        <w:tc>
          <w:tcPr>
            <w:tcW w:type="dxa" w:w="720"/>
            <w:shd w:fill="D5E8F0" w:val="clear"/>
            <w:tcMar>
              <w:top w:type="dxa" w:w="80"/>
              <w:left w:type="dxa" w:w="120"/>
              <w:bottom w:type="dxa" w:w="80"/>
              <w:right w:type="dxa" w:w="120"/>
            </w:tcMar>
          </w:tcPr>
          <w:p>
            <w:pPr>
              <w:spacing w:after="0"/>
            </w:pPr>
            <w:r>
              <w:rPr>
                <w:rFonts w:ascii="Arial" w:cs="Arial" w:eastAsia="Arial" w:hAnsi="Arial"/>
                <w:b/>
                <w:bCs/>
                <w:i w:val="false"/>
                <w:iCs w:val="false"/>
                <w:color w:val="000000"/>
                <w:sz w:val="24"/>
                <w:szCs w:val="24"/>
              </w:rPr>
              <w:t xml:space="preserve">Seq</w:t>
            </w:r>
          </w:p>
        </w:tc>
        <w:tc>
          <w:tcPr>
            <w:tcW w:type="dxa" w:w="2400"/>
            <w:shd w:fill="D5E8F0" w:val="clear"/>
            <w:tcMar>
              <w:top w:type="dxa" w:w="80"/>
              <w:left w:type="dxa" w:w="120"/>
              <w:bottom w:type="dxa" w:w="80"/>
              <w:right w:type="dxa" w:w="120"/>
            </w:tcMar>
          </w:tcPr>
          <w:p>
            <w:pPr>
              <w:spacing w:after="0"/>
            </w:pPr>
            <w:r>
              <w:rPr>
                <w:rFonts w:ascii="Arial" w:cs="Arial" w:eastAsia="Arial" w:hAnsi="Arial"/>
                <w:b/>
                <w:bCs/>
                <w:i w:val="false"/>
                <w:iCs w:val="false"/>
                <w:color w:val="000000"/>
                <w:sz w:val="24"/>
                <w:szCs w:val="24"/>
              </w:rPr>
              <w:t xml:space="preserve">Sprint</w:t>
            </w:r>
          </w:p>
        </w:tc>
        <w:tc>
          <w:tcPr>
            <w:tcW w:type="dxa" w:w="720"/>
            <w:shd w:fill="D5E8F0" w:val="clear"/>
            <w:tcMar>
              <w:top w:type="dxa" w:w="80"/>
              <w:left w:type="dxa" w:w="120"/>
              <w:bottom w:type="dxa" w:w="80"/>
              <w:right w:type="dxa" w:w="120"/>
            </w:tcMar>
          </w:tcPr>
          <w:p>
            <w:pPr>
              <w:spacing w:after="0"/>
            </w:pPr>
            <w:r>
              <w:rPr>
                <w:rFonts w:ascii="Arial" w:cs="Arial" w:eastAsia="Arial" w:hAnsi="Arial"/>
                <w:b/>
                <w:bCs/>
                <w:i w:val="false"/>
                <w:iCs w:val="false"/>
                <w:color w:val="000000"/>
                <w:sz w:val="24"/>
                <w:szCs w:val="24"/>
              </w:rPr>
              <w:t xml:space="preserve">LOE</w:t>
            </w:r>
          </w:p>
        </w:tc>
        <w:tc>
          <w:tcPr>
            <w:tcW w:type="dxa" w:w="1560"/>
            <w:shd w:fill="D5E8F0" w:val="clear"/>
            <w:tcMar>
              <w:top w:type="dxa" w:w="80"/>
              <w:left w:type="dxa" w:w="120"/>
              <w:bottom w:type="dxa" w:w="80"/>
              <w:right w:type="dxa" w:w="120"/>
            </w:tcMar>
          </w:tcPr>
          <w:p>
            <w:pPr>
              <w:spacing w:after="0"/>
            </w:pPr>
            <w:r>
              <w:rPr>
                <w:rFonts w:ascii="Arial" w:cs="Arial" w:eastAsia="Arial" w:hAnsi="Arial"/>
                <w:b/>
                <w:bCs/>
                <w:i w:val="false"/>
                <w:iCs w:val="false"/>
                <w:color w:val="000000"/>
                <w:sz w:val="24"/>
                <w:szCs w:val="24"/>
              </w:rPr>
              <w:t xml:space="preserve">Status</w:t>
            </w:r>
          </w:p>
        </w:tc>
        <w:tc>
          <w:tcPr>
            <w:tcW w:type="dxa" w:w="3960"/>
            <w:shd w:fill="D5E8F0" w:val="clear"/>
            <w:tcMar>
              <w:top w:type="dxa" w:w="80"/>
              <w:left w:type="dxa" w:w="120"/>
              <w:bottom w:type="dxa" w:w="80"/>
              <w:right w:type="dxa" w:w="120"/>
            </w:tcMar>
          </w:tcPr>
          <w:p>
            <w:pPr>
              <w:spacing w:after="0"/>
            </w:pPr>
            <w:r>
              <w:rPr>
                <w:rFonts w:ascii="Arial" w:cs="Arial" w:eastAsia="Arial" w:hAnsi="Arial"/>
                <w:b/>
                <w:bCs/>
                <w:i w:val="false"/>
                <w:iCs w:val="false"/>
                <w:color w:val="000000"/>
                <w:sz w:val="24"/>
                <w:szCs w:val="24"/>
              </w:rPr>
              <w:t xml:space="preserve">Description</w:t>
            </w:r>
          </w:p>
        </w:tc>
      </w:tr>
      <w:tr>
        <w:tc>
          <w:tcPr>
            <w:tcW w:type="dxa" w:w="72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1</w:t>
            </w:r>
          </w:p>
        </w:tc>
        <w:tc>
          <w:tcPr>
            <w:tcW w:type="dxa" w:w="24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ENGINE-DORMANCY-1</w:t>
            </w:r>
          </w:p>
        </w:tc>
        <w:tc>
          <w:tcPr>
            <w:tcW w:type="dxa" w:w="72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S/1</w:t>
            </w:r>
          </w:p>
        </w:tc>
        <w:tc>
          <w:tcPr>
            <w:tcW w:type="dxa" w:w="15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Dispatch-ready</w:t>
            </w:r>
          </w:p>
        </w:tc>
        <w:tc>
          <w:tcPr>
            <w:tcW w:type="dxa" w:w="39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Disable MOSS-Nano and Pocket TTS at settings boundary (same pattern as Qwen)</w:t>
            </w:r>
          </w:p>
        </w:tc>
      </w:tr>
      <w:tr>
        <w:tc>
          <w:tcPr>
            <w:tcW w:type="dxa" w:w="72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2</w:t>
            </w:r>
          </w:p>
        </w:tc>
        <w:tc>
          <w:tcPr>
            <w:tcW w:type="dxa" w:w="24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TTS-INTEGRATE-1</w:t>
            </w:r>
          </w:p>
        </w:tc>
        <w:tc>
          <w:tcPr>
            <w:tcW w:type="dxa" w:w="72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S-M/2</w:t>
            </w:r>
          </w:p>
        </w:tc>
        <w:tc>
          <w:tcPr>
            <w:tcW w:type="dxa" w:w="15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Queued</w:t>
            </w:r>
          </w:p>
        </w:tc>
        <w:tc>
          <w:tcPr>
            <w:tcW w:type="dxa" w:w="39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Merge TTS-SYNC-1 + TTS-DIAG-1 branches to main</w:t>
            </w:r>
          </w:p>
        </w:tc>
      </w:tr>
      <w:tr>
        <w:tc>
          <w:tcPr>
            <w:tcW w:type="dxa" w:w="72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3</w:t>
            </w:r>
          </w:p>
        </w:tc>
        <w:tc>
          <w:tcPr>
            <w:tcW w:type="dxa" w:w="24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TTS-CACHE-HARDEN-1</w:t>
            </w:r>
          </w:p>
        </w:tc>
        <w:tc>
          <w:tcPr>
            <w:tcW w:type="dxa" w:w="72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S-M/2</w:t>
            </w:r>
          </w:p>
        </w:tc>
        <w:tc>
          <w:tcPr>
            <w:tcW w:type="dxa" w:w="15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Queued</w:t>
            </w:r>
          </w:p>
        </w:tc>
        <w:tc>
          <w:tcPr>
            <w:tcW w:type="dxa" w:w="39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Cache-hit timing parity, type harmonization, IPC validation (findings-driven)</w:t>
            </w:r>
          </w:p>
        </w:tc>
      </w:tr>
      <w:tr>
        <w:tc>
          <w:tcPr>
            <w:tcW w:type="dxa" w:w="72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4</w:t>
            </w:r>
          </w:p>
        </w:tc>
        <w:tc>
          <w:tcPr>
            <w:tcW w:type="dxa" w:w="24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TTS-EVENT-SYNC-1</w:t>
            </w:r>
          </w:p>
        </w:tc>
        <w:tc>
          <w:tcPr>
            <w:tcW w:type="dxa" w:w="72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M/3</w:t>
            </w:r>
          </w:p>
        </w:tc>
        <w:tc>
          <w:tcPr>
            <w:tcW w:type="dxa" w:w="15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Queued</w:t>
            </w:r>
          </w:p>
        </w:tc>
        <w:tc>
          <w:tcPr>
            <w:tcW w:type="dxa" w:w="39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Event-driven word boundary sync (research: readest + RealtimeTTS + sioyek)</w:t>
            </w:r>
          </w:p>
        </w:tc>
      </w:tr>
      <w:tr>
        <w:tc>
          <w:tcPr>
            <w:tcW w:type="dxa" w:w="72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5</w:t>
            </w:r>
          </w:p>
        </w:tc>
        <w:tc>
          <w:tcPr>
            <w:tcW w:type="dxa" w:w="24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NORMALIZER-ENRICH-1</w:t>
            </w:r>
          </w:p>
        </w:tc>
        <w:tc>
          <w:tcPr>
            <w:tcW w:type="dxa" w:w="72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M/3</w:t>
            </w:r>
          </w:p>
        </w:tc>
        <w:tc>
          <w:tcPr>
            <w:tcW w:type="dxa" w:w="15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Queued</w:t>
            </w:r>
          </w:p>
        </w:tc>
        <w:tc>
          <w:tcPr>
            <w:tcW w:type="dxa" w:w="39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Kokoro text normalization gap fill (research: abogen)</w:t>
            </w:r>
          </w:p>
        </w:tc>
      </w:tr>
      <w:tr>
        <w:tc>
          <w:tcPr>
            <w:tcW w:type="dxa" w:w="72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6</w:t>
            </w:r>
          </w:p>
        </w:tc>
        <w:tc>
          <w:tcPr>
            <w:tcW w:type="dxa" w:w="24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TTS-RENDER-MAP-1</w:t>
            </w:r>
          </w:p>
        </w:tc>
        <w:tc>
          <w:tcPr>
            <w:tcW w:type="dxa" w:w="72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M/3</w:t>
            </w:r>
          </w:p>
        </w:tc>
        <w:tc>
          <w:tcPr>
            <w:tcW w:type="dxa" w:w="15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Queued</w:t>
            </w:r>
          </w:p>
        </w:tc>
        <w:tc>
          <w:tcPr>
            <w:tcW w:type="dxa" w:w="39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Pre-built word position index (research: sioyek)</w:t>
            </w:r>
          </w:p>
        </w:tc>
      </w:tr>
      <w:tr>
        <w:tc>
          <w:tcPr>
            <w:tcW w:type="dxa" w:w="72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7</w:t>
            </w:r>
          </w:p>
        </w:tc>
        <w:tc>
          <w:tcPr>
            <w:tcW w:type="dxa" w:w="24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TTS-PIPELINE-1</w:t>
            </w:r>
          </w:p>
        </w:tc>
        <w:tc>
          <w:tcPr>
            <w:tcW w:type="dxa" w:w="72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S/1</w:t>
            </w:r>
          </w:p>
        </w:tc>
        <w:tc>
          <w:tcPr>
            <w:tcW w:type="dxa" w:w="15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Queued</w:t>
            </w:r>
          </w:p>
        </w:tc>
        <w:tc>
          <w:tcPr>
            <w:tcW w:type="dxa" w:w="39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Pipeline integration tests and fixture expansion</w:t>
            </w:r>
          </w:p>
        </w:tc>
      </w:tr>
      <w:tr>
        <w:tc>
          <w:tcPr>
            <w:tcW w:type="dxa" w:w="72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8</w:t>
            </w:r>
          </w:p>
        </w:tc>
        <w:tc>
          <w:tcPr>
            <w:tcW w:type="dxa" w:w="24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TTS-ARCH-DOC-1</w:t>
            </w:r>
          </w:p>
        </w:tc>
        <w:tc>
          <w:tcPr>
            <w:tcW w:type="dxa" w:w="72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S/1</w:t>
            </w:r>
          </w:p>
        </w:tc>
        <w:tc>
          <w:tcPr>
            <w:tcW w:type="dxa" w:w="15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Queued</w:t>
            </w:r>
          </w:p>
        </w:tc>
        <w:tc>
          <w:tcPr>
            <w:tcW w:type="dxa" w:w="39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TTS architecture decisions document (governance only)</w:t>
            </w:r>
          </w:p>
        </w:tc>
      </w:tr>
    </w:tbl>
    <w:p>
      <w:pPr>
        <w:spacing w:after="200"/>
        <w:jc w:val="left"/>
      </w:pPr>
      <w:r>
        <w:rPr>
          <w:rFonts w:ascii="Arial" w:cs="Arial" w:eastAsia="Arial" w:hAnsi="Arial"/>
          <w:b w:val="false"/>
          <w:bCs w:val="false"/>
          <w:i w:val="false"/>
          <w:iCs w:val="false"/>
          <w:color w:val="000000"/>
          <w:sz w:val="24"/>
          <w:szCs w:val="24"/>
        </w:rPr>
        <w:t xml:space="preserve"/>
      </w:r>
    </w:p>
    <w:p>
      <w:pPr>
        <w:spacing w:after="200"/>
        <w:jc w:val="left"/>
      </w:pPr>
      <w:r>
        <w:rPr>
          <w:rFonts w:ascii="Arial" w:cs="Arial" w:eastAsia="Arial" w:hAnsi="Arial"/>
          <w:b w:val="false"/>
          <w:bCs w:val="false"/>
          <w:i w:val="false"/>
          <w:iCs w:val="false"/>
          <w:color w:val="000000"/>
          <w:sz w:val="24"/>
          <w:szCs w:val="24"/>
        </w:rPr>
        <w:t xml:space="preserve">Total LOE: 16 estimated work units. Estimated ~2.4 weeks to completion.</w:t>
      </w:r>
    </w:p>
    <w:p>
      <w:pPr>
        <w:pStyle w:val="Heading1"/>
        <w:pageBreakBefore/>
        <w:spacing w:after="200" w:before="360"/>
      </w:pPr>
      <w:r>
        <w:rPr>
          <w:rFonts w:ascii="Arial" w:cs="Arial" w:eastAsia="Arial" w:hAnsi="Arial"/>
          <w:b/>
          <w:bCs/>
          <w:color w:val="000000"/>
          <w:sz w:val="28"/>
          <w:szCs w:val="28"/>
        </w:rPr>
        <w:t xml:space="preserve">Section 5: Research Provenance</w:t>
      </w:r>
    </w:p>
    <w:p>
      <w:pPr>
        <w:spacing w:after="200"/>
        <w:jc w:val="left"/>
      </w:pPr>
      <w:r>
        <w:rPr>
          <w:rFonts w:ascii="Arial" w:cs="Arial" w:eastAsia="Arial" w:hAnsi="Arial"/>
          <w:b w:val="false"/>
          <w:bCs w:val="false"/>
          <w:i w:val="false"/>
          <w:iCs w:val="false"/>
          <w:color w:val="000000"/>
          <w:sz w:val="24"/>
          <w:szCs w:val="24"/>
        </w:rPr>
        <w:t xml:space="preserve">Every sprint in the conveyor traces to one or more research documents. Two primary sources inform this phase: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Pr>
      <w:tblGrid>
        <w:gridCol w:w="2400"/>
        <w:gridCol w:w="3360"/>
        <w:gridCol w:w="3600"/>
      </w:tblGrid>
      <w:tr>
        <w:trPr>
          <w:tblHeader/>
        </w:trPr>
        <w:tc>
          <w:tcPr>
            <w:tcW w:type="dxa" w:w="2400"/>
            <w:shd w:fill="D5E8F0" w:val="clear"/>
            <w:tcMar>
              <w:top w:type="dxa" w:w="80"/>
              <w:left w:type="dxa" w:w="120"/>
              <w:bottom w:type="dxa" w:w="80"/>
              <w:right w:type="dxa" w:w="120"/>
            </w:tcMar>
          </w:tcPr>
          <w:p>
            <w:pPr>
              <w:spacing w:after="0"/>
            </w:pPr>
            <w:r>
              <w:rPr>
                <w:rFonts w:ascii="Arial" w:cs="Arial" w:eastAsia="Arial" w:hAnsi="Arial"/>
                <w:b/>
                <w:bCs/>
                <w:i w:val="false"/>
                <w:iCs w:val="false"/>
                <w:color w:val="000000"/>
                <w:sz w:val="24"/>
                <w:szCs w:val="24"/>
              </w:rPr>
              <w:t xml:space="preserve">Source</w:t>
            </w:r>
          </w:p>
        </w:tc>
        <w:tc>
          <w:tcPr>
            <w:tcW w:type="dxa" w:w="3360"/>
            <w:shd w:fill="D5E8F0" w:val="clear"/>
            <w:tcMar>
              <w:top w:type="dxa" w:w="80"/>
              <w:left w:type="dxa" w:w="120"/>
              <w:bottom w:type="dxa" w:w="80"/>
              <w:right w:type="dxa" w:w="120"/>
            </w:tcMar>
          </w:tcPr>
          <w:p>
            <w:pPr>
              <w:spacing w:after="0"/>
            </w:pPr>
            <w:r>
              <w:rPr>
                <w:rFonts w:ascii="Arial" w:cs="Arial" w:eastAsia="Arial" w:hAnsi="Arial"/>
                <w:b/>
                <w:bCs/>
                <w:i w:val="false"/>
                <w:iCs w:val="false"/>
                <w:color w:val="000000"/>
                <w:sz w:val="24"/>
                <w:szCs w:val="24"/>
              </w:rPr>
              <w:t xml:space="preserve">Document</w:t>
            </w:r>
          </w:p>
        </w:tc>
        <w:tc>
          <w:tcPr>
            <w:tcW w:type="dxa" w:w="3600"/>
            <w:shd w:fill="D5E8F0" w:val="clear"/>
            <w:tcMar>
              <w:top w:type="dxa" w:w="80"/>
              <w:left w:type="dxa" w:w="120"/>
              <w:bottom w:type="dxa" w:w="80"/>
              <w:right w:type="dxa" w:w="120"/>
            </w:tcMar>
          </w:tcPr>
          <w:p>
            <w:pPr>
              <w:spacing w:after="0"/>
            </w:pPr>
            <w:r>
              <w:rPr>
                <w:rFonts w:ascii="Arial" w:cs="Arial" w:eastAsia="Arial" w:hAnsi="Arial"/>
                <w:b/>
                <w:bCs/>
                <w:i w:val="false"/>
                <w:iCs w:val="false"/>
                <w:color w:val="000000"/>
                <w:sz w:val="24"/>
                <w:szCs w:val="24"/>
              </w:rPr>
              <w:t xml:space="preserve">Key Contributions</w:t>
            </w:r>
          </w:p>
        </w:tc>
      </w:tr>
      <w:tr>
        <w:tc>
          <w:tcPr>
            <w:tcW w:type="dxa" w:w="24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Cross-Codebase TTS Literature Review</w:t>
            </w:r>
          </w:p>
        </w:tc>
        <w:tc>
          <w:tcPr>
            <w:tcW w:type="dxa" w:w="33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Blurby_TTS_Literature_Codebase_Review_2026-05-11.md (765 lines)</w:t>
            </w:r>
          </w:p>
        </w:tc>
        <w:tc>
          <w:tcPr>
            <w:tcW w:type="dxa" w:w="36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Event-driven sync patterns (readest/RealtimeTTS), word position index (sioyek), normalizer enrichment (abogen), cache key encoding fix</w:t>
            </w:r>
          </w:p>
        </w:tc>
      </w:tr>
      <w:tr>
        <w:tc>
          <w:tcPr>
            <w:tcW w:type="dxa" w:w="24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Kokoro TTS Implementation Review</w:t>
            </w:r>
          </w:p>
        </w:tc>
        <w:tc>
          <w:tcPr>
            <w:tcW w:type="dxa" w:w="33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Blurby_Kokoro_TTS_Implementation_Review_2026-05-15.md (382 lines)</w:t>
            </w:r>
          </w:p>
        </w:tc>
        <w:tc>
          <w:tcPr>
            <w:tcW w:type="dxa" w:w="36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Cache-hit timing parity (A8), normalizer alignment extensibility (A9), 9 action items leading to TTS-CACHE-HARDEN-1</w:t>
            </w:r>
          </w:p>
        </w:tc>
      </w:tr>
    </w:tbl>
    <w:p>
      <w:pPr>
        <w:pStyle w:val="Heading1"/>
        <w:pageBreakBefore/>
        <w:spacing w:after="200" w:before="360"/>
      </w:pPr>
      <w:r>
        <w:rPr>
          <w:rFonts w:ascii="Arial" w:cs="Arial" w:eastAsia="Arial" w:hAnsi="Arial"/>
          <w:b/>
          <w:bCs/>
          <w:color w:val="000000"/>
          <w:sz w:val="28"/>
          <w:szCs w:val="28"/>
        </w:rPr>
        <w:t xml:space="preserve">Section 6: File Manifest</w:t>
      </w:r>
    </w:p>
    <w:p>
      <w:pPr>
        <w:spacing w:after="200"/>
        <w:jc w:val="left"/>
      </w:pPr>
      <w:r>
        <w:rPr>
          <w:rFonts w:ascii="Arial" w:cs="Arial" w:eastAsia="Arial" w:hAnsi="Arial"/>
          <w:b w:val="false"/>
          <w:bCs w:val="false"/>
          <w:i w:val="false"/>
          <w:iCs w:val="false"/>
          <w:color w:val="000000"/>
          <w:sz w:val="24"/>
          <w:szCs w:val="24"/>
        </w:rPr>
        <w:t xml:space="preserve">The audit package contains 4 zip batches plus this orientation document (5 deliverables total, 31 internal files). Files are organized into tiers by importance.</w:t>
      </w:r>
    </w:p>
    <w:p>
      <w:pPr>
        <w:pStyle w:val="Heading2"/>
        <w:spacing w:after="160" w:before="280"/>
      </w:pPr>
      <w:r>
        <w:rPr>
          <w:rFonts w:ascii="Arial" w:cs="Arial" w:eastAsia="Arial" w:hAnsi="Arial"/>
          <w:b/>
          <w:bCs/>
          <w:color w:val="000000"/>
          <w:sz w:val="24"/>
          <w:szCs w:val="24"/>
        </w:rPr>
        <w:t xml:space="preserve">Batch 1 — Core Governance (Tier 1)</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Pr>
      <w:tblGrid>
        <w:gridCol w:w="3000"/>
        <w:gridCol w:w="1200"/>
        <w:gridCol w:w="5160"/>
      </w:tblGrid>
      <w:tr>
        <w:trPr>
          <w:tblHeader/>
        </w:trPr>
        <w:tc>
          <w:tcPr>
            <w:tcW w:type="dxa" w:w="3000"/>
            <w:shd w:fill="D5E8F0" w:val="clear"/>
            <w:tcMar>
              <w:top w:type="dxa" w:w="80"/>
              <w:left w:type="dxa" w:w="120"/>
              <w:bottom w:type="dxa" w:w="80"/>
              <w:right w:type="dxa" w:w="120"/>
            </w:tcMar>
          </w:tcPr>
          <w:p>
            <w:pPr>
              <w:spacing w:after="0"/>
            </w:pPr>
            <w:r>
              <w:rPr>
                <w:rFonts w:ascii="Arial" w:cs="Arial" w:eastAsia="Arial" w:hAnsi="Arial"/>
                <w:b/>
                <w:bCs/>
                <w:i w:val="false"/>
                <w:iCs w:val="false"/>
                <w:color w:val="000000"/>
                <w:sz w:val="24"/>
                <w:szCs w:val="24"/>
              </w:rPr>
              <w:t xml:space="preserve">File</w:t>
            </w:r>
          </w:p>
        </w:tc>
        <w:tc>
          <w:tcPr>
            <w:tcW w:type="dxa" w:w="1200"/>
            <w:shd w:fill="D5E8F0" w:val="clear"/>
            <w:tcMar>
              <w:top w:type="dxa" w:w="80"/>
              <w:left w:type="dxa" w:w="120"/>
              <w:bottom w:type="dxa" w:w="80"/>
              <w:right w:type="dxa" w:w="120"/>
            </w:tcMar>
          </w:tcPr>
          <w:p>
            <w:pPr>
              <w:spacing w:after="0"/>
            </w:pPr>
            <w:r>
              <w:rPr>
                <w:rFonts w:ascii="Arial" w:cs="Arial" w:eastAsia="Arial" w:hAnsi="Arial"/>
                <w:b/>
                <w:bCs/>
                <w:i w:val="false"/>
                <w:iCs w:val="false"/>
                <w:color w:val="000000"/>
                <w:sz w:val="24"/>
                <w:szCs w:val="24"/>
              </w:rPr>
              <w:t xml:space="preserve">Size</w:t>
            </w:r>
          </w:p>
        </w:tc>
        <w:tc>
          <w:tcPr>
            <w:tcW w:type="dxa" w:w="5160"/>
            <w:shd w:fill="D5E8F0" w:val="clear"/>
            <w:tcMar>
              <w:top w:type="dxa" w:w="80"/>
              <w:left w:type="dxa" w:w="120"/>
              <w:bottom w:type="dxa" w:w="80"/>
              <w:right w:type="dxa" w:w="120"/>
            </w:tcMar>
          </w:tcPr>
          <w:p>
            <w:pPr>
              <w:spacing w:after="0"/>
            </w:pPr>
            <w:r>
              <w:rPr>
                <w:rFonts w:ascii="Arial" w:cs="Arial" w:eastAsia="Arial" w:hAnsi="Arial"/>
                <w:b/>
                <w:bCs/>
                <w:i w:val="false"/>
                <w:iCs w:val="false"/>
                <w:color w:val="000000"/>
                <w:sz w:val="24"/>
                <w:szCs w:val="24"/>
              </w:rPr>
              <w:t xml:space="preserve">Description</w:t>
            </w:r>
          </w:p>
        </w:tc>
      </w:tr>
      <w:tr>
        <w:tc>
          <w:tcPr>
            <w:tcW w:type="dxa" w:w="3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ROADMAP.md</w:t>
            </w:r>
          </w:p>
        </w:tc>
        <w:tc>
          <w:tcPr>
            <w:tcW w:type="dxa" w:w="12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87 KB</w:t>
            </w:r>
          </w:p>
        </w:tc>
        <w:tc>
          <w:tcPr>
            <w:tcW w:type="dxa" w:w="51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Single source of truth — all 8 active sprint full specs, completed work summary, execution order</w:t>
            </w:r>
          </w:p>
        </w:tc>
      </w:tr>
      <w:tr>
        <w:tc>
          <w:tcPr>
            <w:tcW w:type="dxa" w:w="3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CLAUDE.md</w:t>
            </w:r>
          </w:p>
        </w:tc>
        <w:tc>
          <w:tcPr>
            <w:tcW w:type="dxa" w:w="12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~35 KB</w:t>
            </w:r>
          </w:p>
        </w:tc>
        <w:tc>
          <w:tcPr>
            <w:tcW w:type="dxa" w:w="51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Agent operational config, rules of engagement, current system state, standing rules</w:t>
            </w:r>
          </w:p>
        </w:tc>
      </w:tr>
      <w:tr>
        <w:tc>
          <w:tcPr>
            <w:tcW w:type="dxa" w:w="3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SPRINT_QUEUE.md</w:t>
            </w:r>
          </w:p>
        </w:tc>
        <w:tc>
          <w:tcPr>
            <w:tcW w:type="dxa" w:w="12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126 KB</w:t>
            </w:r>
          </w:p>
        </w:tc>
        <w:tc>
          <w:tcPr>
            <w:tcW w:type="dxa" w:w="51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Sprint dispatch queue with abbreviated pointers to ROADMAP specs</w:t>
            </w:r>
          </w:p>
        </w:tc>
      </w:tr>
      <w:tr>
        <w:tc>
          <w:tcPr>
            <w:tcW w:type="dxa" w:w="3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LESSONS_LEARNED.md</w:t>
            </w:r>
          </w:p>
        </w:tc>
        <w:tc>
          <w:tcPr>
            <w:tcW w:type="dxa" w:w="12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127 KB</w:t>
            </w:r>
          </w:p>
        </w:tc>
        <w:tc>
          <w:tcPr>
            <w:tcW w:type="dxa" w:w="51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115 engineering discoveries, persistent rules, anti-patterns</w:t>
            </w:r>
          </w:p>
        </w:tc>
      </w:tr>
      <w:tr>
        <w:tc>
          <w:tcPr>
            <w:tcW w:type="dxa" w:w="3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TECHNICAL_REFERENCE.md</w:t>
            </w:r>
          </w:p>
        </w:tc>
        <w:tc>
          <w:tcPr>
            <w:tcW w:type="dxa" w:w="12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64 KB</w:t>
            </w:r>
          </w:p>
        </w:tc>
        <w:tc>
          <w:tcPr>
            <w:tcW w:type="dxa" w:w="51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Architecture, data model, every feature documented</w:t>
            </w:r>
          </w:p>
        </w:tc>
      </w:tr>
      <w:tr>
        <w:tc>
          <w:tcPr>
            <w:tcW w:type="dxa" w:w="3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sprint-queue.xlsx</w:t>
            </w:r>
          </w:p>
        </w:tc>
        <w:tc>
          <w:tcPr>
            <w:tcW w:type="dxa" w:w="12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12 KB</w:t>
            </w:r>
          </w:p>
        </w:tc>
        <w:tc>
          <w:tcPr>
            <w:tcW w:type="dxa" w:w="51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Dashboard + Catalog tabs for KPI rollup and dispatch view</w:t>
            </w:r>
          </w:p>
        </w:tc>
      </w:tr>
      <w:tr>
        <w:tc>
          <w:tcPr>
            <w:tcW w:type="dxa" w:w="3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BUG_REPORT.md</w:t>
            </w:r>
          </w:p>
        </w:tc>
        <w:tc>
          <w:tcPr>
            <w:tcW w:type="dxa" w:w="12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95 KB</w:t>
            </w:r>
          </w:p>
        </w:tc>
        <w:tc>
          <w:tcPr>
            <w:tcW w:type="dxa" w:w="51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Active and resolved bugs with severity, location, resolution</w:t>
            </w:r>
          </w:p>
        </w:tc>
      </w:tr>
      <w:tr>
        <w:tc>
          <w:tcPr>
            <w:tcW w:type="dxa" w:w="3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Blurby_Project_Constitution.md</w:t>
            </w:r>
          </w:p>
        </w:tc>
        <w:tc>
          <w:tcPr>
            <w:tcW w:type="dxa" w:w="12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11 KB</w:t>
            </w:r>
          </w:p>
        </w:tc>
        <w:tc>
          <w:tcPr>
            <w:tcW w:type="dxa" w:w="51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Project founding principles and design philosophy</w:t>
            </w:r>
          </w:p>
        </w:tc>
      </w:tr>
    </w:tbl>
    <w:p>
      <w:pPr>
        <w:pStyle w:val="Heading2"/>
        <w:spacing w:after="160" w:before="280"/>
      </w:pPr>
      <w:r>
        <w:rPr>
          <w:rFonts w:ascii="Arial" w:cs="Arial" w:eastAsia="Arial" w:hAnsi="Arial"/>
          <w:b/>
          <w:bCs/>
          <w:color w:val="000000"/>
          <w:sz w:val="24"/>
          <w:szCs w:val="24"/>
        </w:rPr>
        <w:t xml:space="preserve">Batch 2 — Research and Review Artifacts (Tier 1)</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Pr>
      <w:tblGrid>
        <w:gridCol w:w="4800"/>
        <w:gridCol w:w="1000"/>
        <w:gridCol w:w="3560"/>
      </w:tblGrid>
      <w:tr>
        <w:trPr>
          <w:tblHeader/>
        </w:trPr>
        <w:tc>
          <w:tcPr>
            <w:tcW w:type="dxa" w:w="4800"/>
            <w:shd w:fill="D5E8F0" w:val="clear"/>
            <w:tcMar>
              <w:top w:type="dxa" w:w="80"/>
              <w:left w:type="dxa" w:w="120"/>
              <w:bottom w:type="dxa" w:w="80"/>
              <w:right w:type="dxa" w:w="120"/>
            </w:tcMar>
          </w:tcPr>
          <w:p>
            <w:pPr>
              <w:spacing w:after="0"/>
            </w:pPr>
            <w:r>
              <w:rPr>
                <w:rFonts w:ascii="Arial" w:cs="Arial" w:eastAsia="Arial" w:hAnsi="Arial"/>
                <w:b/>
                <w:bCs/>
                <w:i w:val="false"/>
                <w:iCs w:val="false"/>
                <w:color w:val="000000"/>
                <w:sz w:val="24"/>
                <w:szCs w:val="24"/>
              </w:rPr>
              <w:t xml:space="preserve">File</w:t>
            </w:r>
          </w:p>
        </w:tc>
        <w:tc>
          <w:tcPr>
            <w:tcW w:type="dxa" w:w="1000"/>
            <w:shd w:fill="D5E8F0" w:val="clear"/>
            <w:tcMar>
              <w:top w:type="dxa" w:w="80"/>
              <w:left w:type="dxa" w:w="120"/>
              <w:bottom w:type="dxa" w:w="80"/>
              <w:right w:type="dxa" w:w="120"/>
            </w:tcMar>
          </w:tcPr>
          <w:p>
            <w:pPr>
              <w:spacing w:after="0"/>
            </w:pPr>
            <w:r>
              <w:rPr>
                <w:rFonts w:ascii="Arial" w:cs="Arial" w:eastAsia="Arial" w:hAnsi="Arial"/>
                <w:b/>
                <w:bCs/>
                <w:i w:val="false"/>
                <w:iCs w:val="false"/>
                <w:color w:val="000000"/>
                <w:sz w:val="24"/>
                <w:szCs w:val="24"/>
              </w:rPr>
              <w:t xml:space="preserve">Size</w:t>
            </w:r>
          </w:p>
        </w:tc>
        <w:tc>
          <w:tcPr>
            <w:tcW w:type="dxa" w:w="3560"/>
            <w:shd w:fill="D5E8F0" w:val="clear"/>
            <w:tcMar>
              <w:top w:type="dxa" w:w="80"/>
              <w:left w:type="dxa" w:w="120"/>
              <w:bottom w:type="dxa" w:w="80"/>
              <w:right w:type="dxa" w:w="120"/>
            </w:tcMar>
          </w:tcPr>
          <w:p>
            <w:pPr>
              <w:spacing w:after="0"/>
            </w:pPr>
            <w:r>
              <w:rPr>
                <w:rFonts w:ascii="Arial" w:cs="Arial" w:eastAsia="Arial" w:hAnsi="Arial"/>
                <w:b/>
                <w:bCs/>
                <w:i w:val="false"/>
                <w:iCs w:val="false"/>
                <w:color w:val="000000"/>
                <w:sz w:val="24"/>
                <w:szCs w:val="24"/>
              </w:rPr>
              <w:t xml:space="preserve">Description</w:t>
            </w:r>
          </w:p>
        </w:tc>
      </w:tr>
      <w:tr>
        <w:tc>
          <w:tcPr>
            <w:tcW w:type="dxa" w:w="48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Blurby_TTS_Literature_Codebase_Review_2026-05-11.md</w:t>
            </w:r>
          </w:p>
        </w:tc>
        <w:tc>
          <w:tcPr>
            <w:tcW w:type="dxa" w:w="1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68 KB</w:t>
            </w:r>
          </w:p>
        </w:tc>
        <w:tc>
          <w:tcPr>
            <w:tcW w:type="dxa" w:w="35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Cross-codebase analysis of readest, RealtimeTTS, abogen, sioyek</w:t>
            </w:r>
          </w:p>
        </w:tc>
      </w:tr>
      <w:tr>
        <w:tc>
          <w:tcPr>
            <w:tcW w:type="dxa" w:w="48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Blurby_Kokoro_TTS_Implementation_Review_2026-05-15.md</w:t>
            </w:r>
          </w:p>
        </w:tc>
        <w:tc>
          <w:tcPr>
            <w:tcW w:type="dxa" w:w="1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51 KB</w:t>
            </w:r>
          </w:p>
        </w:tc>
        <w:tc>
          <w:tcPr>
            <w:tcW w:type="dxa" w:w="35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Kokoro implementation review with 9 action items</w:t>
            </w:r>
          </w:p>
        </w:tc>
      </w:tr>
      <w:tr>
        <w:tc>
          <w:tcPr>
            <w:tcW w:type="dxa" w:w="48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2026-05-15-pm2-audit.md</w:t>
            </w:r>
          </w:p>
        </w:tc>
        <w:tc>
          <w:tcPr>
            <w:tcW w:type="dxa" w:w="1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1 KB</w:t>
            </w:r>
          </w:p>
        </w:tc>
        <w:tc>
          <w:tcPr>
            <w:tcW w:type="dxa" w:w="35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PM2 roadmap review Phase A audit</w:t>
            </w:r>
          </w:p>
        </w:tc>
      </w:tr>
      <w:tr>
        <w:tc>
          <w:tcPr>
            <w:tcW w:type="dxa" w:w="48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2026-05-15-pm2-assessment.md</w:t>
            </w:r>
          </w:p>
        </w:tc>
        <w:tc>
          <w:tcPr>
            <w:tcW w:type="dxa" w:w="1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1 KB</w:t>
            </w:r>
          </w:p>
        </w:tc>
        <w:tc>
          <w:tcPr>
            <w:tcW w:type="dxa" w:w="35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PM2 roadmap review Phase B assessment</w:t>
            </w:r>
          </w:p>
        </w:tc>
      </w:tr>
      <w:tr>
        <w:tc>
          <w:tcPr>
            <w:tcW w:type="dxa" w:w="48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2026-05-15-pm2-plan.md</w:t>
            </w:r>
          </w:p>
        </w:tc>
        <w:tc>
          <w:tcPr>
            <w:tcW w:type="dxa" w:w="1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5 KB</w:t>
            </w:r>
          </w:p>
        </w:tc>
        <w:tc>
          <w:tcPr>
            <w:tcW w:type="dxa" w:w="35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PM2 roadmap review Phase C plan</w:t>
            </w:r>
          </w:p>
        </w:tc>
      </w:tr>
      <w:tr>
        <w:tc>
          <w:tcPr>
            <w:tcW w:type="dxa" w:w="48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2026-05-15-pm2-lessons-applied.md</w:t>
            </w:r>
          </w:p>
        </w:tc>
        <w:tc>
          <w:tcPr>
            <w:tcW w:type="dxa" w:w="1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3 KB</w:t>
            </w:r>
          </w:p>
        </w:tc>
        <w:tc>
          <w:tcPr>
            <w:tcW w:type="dxa" w:w="35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PM2 roadmap review Phase D lessons applied</w:t>
            </w:r>
          </w:p>
        </w:tc>
      </w:tr>
      <w:tr>
        <w:tc>
          <w:tcPr>
            <w:tcW w:type="dxa" w:w="48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2026-05-15-pm2-phase-brief.md</w:t>
            </w:r>
          </w:p>
        </w:tc>
        <w:tc>
          <w:tcPr>
            <w:tcW w:type="dxa" w:w="1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6 KB</w:t>
            </w:r>
          </w:p>
        </w:tc>
        <w:tc>
          <w:tcPr>
            <w:tcW w:type="dxa" w:w="35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PM2 roadmap review phase brief (conveyor summary)</w:t>
            </w:r>
          </w:p>
        </w:tc>
      </w:tr>
    </w:tbl>
    <w:p>
      <w:pPr>
        <w:pStyle w:val="Heading2"/>
        <w:spacing w:after="160" w:before="280"/>
      </w:pPr>
      <w:r>
        <w:rPr>
          <w:rFonts w:ascii="Arial" w:cs="Arial" w:eastAsia="Arial" w:hAnsi="Arial"/>
          <w:b/>
          <w:bCs/>
          <w:color w:val="000000"/>
          <w:sz w:val="24"/>
          <w:szCs w:val="24"/>
        </w:rPr>
        <w:t xml:space="preserve">Batch 3 — Renderer TTS Source Code (Tier 2)</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Pr>
      <w:tblGrid>
        <w:gridCol w:w="3000"/>
        <w:gridCol w:w="1000"/>
        <w:gridCol w:w="5360"/>
      </w:tblGrid>
      <w:tr>
        <w:trPr>
          <w:tblHeader/>
        </w:trPr>
        <w:tc>
          <w:tcPr>
            <w:tcW w:type="dxa" w:w="3000"/>
            <w:shd w:fill="D5E8F0" w:val="clear"/>
            <w:tcMar>
              <w:top w:type="dxa" w:w="80"/>
              <w:left w:type="dxa" w:w="120"/>
              <w:bottom w:type="dxa" w:w="80"/>
              <w:right w:type="dxa" w:w="120"/>
            </w:tcMar>
          </w:tcPr>
          <w:p>
            <w:pPr>
              <w:spacing w:after="0"/>
            </w:pPr>
            <w:r>
              <w:rPr>
                <w:rFonts w:ascii="Arial" w:cs="Arial" w:eastAsia="Arial" w:hAnsi="Arial"/>
                <w:b/>
                <w:bCs/>
                <w:i w:val="false"/>
                <w:iCs w:val="false"/>
                <w:color w:val="000000"/>
                <w:sz w:val="24"/>
                <w:szCs w:val="24"/>
              </w:rPr>
              <w:t xml:space="preserve">File</w:t>
            </w:r>
          </w:p>
        </w:tc>
        <w:tc>
          <w:tcPr>
            <w:tcW w:type="dxa" w:w="1000"/>
            <w:shd w:fill="D5E8F0" w:val="clear"/>
            <w:tcMar>
              <w:top w:type="dxa" w:w="80"/>
              <w:left w:type="dxa" w:w="120"/>
              <w:bottom w:type="dxa" w:w="80"/>
              <w:right w:type="dxa" w:w="120"/>
            </w:tcMar>
          </w:tcPr>
          <w:p>
            <w:pPr>
              <w:spacing w:after="0"/>
            </w:pPr>
            <w:r>
              <w:rPr>
                <w:rFonts w:ascii="Arial" w:cs="Arial" w:eastAsia="Arial" w:hAnsi="Arial"/>
                <w:b/>
                <w:bCs/>
                <w:i w:val="false"/>
                <w:iCs w:val="false"/>
                <w:color w:val="000000"/>
                <w:sz w:val="24"/>
                <w:szCs w:val="24"/>
              </w:rPr>
              <w:t xml:space="preserve">Size</w:t>
            </w:r>
          </w:p>
        </w:tc>
        <w:tc>
          <w:tcPr>
            <w:tcW w:type="dxa" w:w="5360"/>
            <w:shd w:fill="D5E8F0" w:val="clear"/>
            <w:tcMar>
              <w:top w:type="dxa" w:w="80"/>
              <w:left w:type="dxa" w:w="120"/>
              <w:bottom w:type="dxa" w:w="80"/>
              <w:right w:type="dxa" w:w="120"/>
            </w:tcMar>
          </w:tcPr>
          <w:p>
            <w:pPr>
              <w:spacing w:after="0"/>
            </w:pPr>
            <w:r>
              <w:rPr>
                <w:rFonts w:ascii="Arial" w:cs="Arial" w:eastAsia="Arial" w:hAnsi="Arial"/>
                <w:b/>
                <w:bCs/>
                <w:i w:val="false"/>
                <w:iCs w:val="false"/>
                <w:color w:val="000000"/>
                <w:sz w:val="24"/>
                <w:szCs w:val="24"/>
              </w:rPr>
              <w:t xml:space="preserve">Description</w:t>
            </w:r>
          </w:p>
        </w:tc>
      </w:tr>
      <w:tr>
        <w:tc>
          <w:tcPr>
            <w:tcW w:type="dxa" w:w="3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ttsCache.ts (src/utils/)</w:t>
            </w:r>
          </w:p>
        </w:tc>
        <w:tc>
          <w:tcPr>
            <w:tcW w:type="dxa" w:w="1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4 KB</w:t>
            </w:r>
          </w:p>
        </w:tc>
        <w:tc>
          <w:tcPr>
            <w:tcW w:type="dxa" w:w="53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Renderer-side cache read/identity helpers</w:t>
            </w:r>
          </w:p>
        </w:tc>
      </w:tr>
      <w:tr>
        <w:tc>
          <w:tcPr>
            <w:tcW w:type="dxa" w:w="3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audioScheduler.ts</w:t>
            </w:r>
          </w:p>
        </w:tc>
        <w:tc>
          <w:tcPr>
            <w:tcW w:type="dxa" w:w="1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31 KB</w:t>
            </w:r>
          </w:p>
        </w:tc>
        <w:tc>
          <w:tcPr>
            <w:tcW w:type="dxa" w:w="53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Chunk queuing, playback timing, ScheduledChunk interface</w:t>
            </w:r>
          </w:p>
        </w:tc>
      </w:tr>
      <w:tr>
        <w:tc>
          <w:tcPr>
            <w:tcW w:type="dxa" w:w="3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generationPipeline.ts</w:t>
            </w:r>
          </w:p>
        </w:tc>
        <w:tc>
          <w:tcPr>
            <w:tcW w:type="dxa" w:w="1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27 KB</w:t>
            </w:r>
          </w:p>
        </w:tc>
        <w:tc>
          <w:tcPr>
            <w:tcW w:type="dxa" w:w="53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Chunk generation orchestration with backpressure</w:t>
            </w:r>
          </w:p>
        </w:tc>
      </w:tr>
      <w:tr>
        <w:tc>
          <w:tcPr>
            <w:tcW w:type="dxa" w:w="3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segmentNormalizer.ts</w:t>
            </w:r>
          </w:p>
        </w:tc>
        <w:tc>
          <w:tcPr>
            <w:tcW w:type="dxa" w:w="1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11 KB</w:t>
            </w:r>
          </w:p>
        </w:tc>
        <w:tc>
          <w:tcPr>
            <w:tcW w:type="dxa" w:w="53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Spoken-text normalization with version-tracked hashes</w:t>
            </w:r>
          </w:p>
        </w:tc>
      </w:tr>
      <w:tr>
        <w:tc>
          <w:tcPr>
            <w:tcW w:type="dxa" w:w="3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narrateDiagnostics.ts</w:t>
            </w:r>
          </w:p>
        </w:tc>
        <w:tc>
          <w:tcPr>
            <w:tcW w:type="dxa" w:w="1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5 KB</w:t>
            </w:r>
          </w:p>
        </w:tc>
        <w:tc>
          <w:tcPr>
            <w:tcW w:type="dxa" w:w="53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Provider-neutral diagnostics bundle</w:t>
            </w:r>
          </w:p>
        </w:tc>
      </w:tr>
      <w:tr>
        <w:tc>
          <w:tcPr>
            <w:tcW w:type="dxa" w:w="3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narrationPlanner.ts</w:t>
            </w:r>
          </w:p>
        </w:tc>
        <w:tc>
          <w:tcPr>
            <w:tcW w:type="dxa" w:w="1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13 KB</w:t>
            </w:r>
          </w:p>
        </w:tc>
        <w:tc>
          <w:tcPr>
            <w:tcW w:type="dxa" w:w="53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Rolling pause-boundary planner</w:t>
            </w:r>
          </w:p>
        </w:tc>
      </w:tr>
      <w:tr>
        <w:tc>
          <w:tcPr>
            <w:tcW w:type="dxa" w:w="3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ttsProviderRegistry.ts</w:t>
            </w:r>
          </w:p>
        </w:tc>
        <w:tc>
          <w:tcPr>
            <w:tcW w:type="dxa" w:w="1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6 KB</w:t>
            </w:r>
          </w:p>
        </w:tc>
        <w:tc>
          <w:tcPr>
            <w:tcW w:type="dxa" w:w="53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Provider capability and posture registry</w:t>
            </w:r>
          </w:p>
        </w:tc>
      </w:tr>
      <w:tr>
        <w:tc>
          <w:tcPr>
            <w:tcW w:type="dxa" w:w="3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ttsCache.ts (src/types/)</w:t>
            </w:r>
          </w:p>
        </w:tc>
        <w:tc>
          <w:tcPr>
            <w:tcW w:type="dxa" w:w="1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2 KB</w:t>
            </w:r>
          </w:p>
        </w:tc>
        <w:tc>
          <w:tcPr>
            <w:tcW w:type="dxa" w:w="53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Cache identity and timing sidecar types</w:t>
            </w:r>
          </w:p>
        </w:tc>
      </w:tr>
      <w:tr>
        <w:tc>
          <w:tcPr>
            <w:tcW w:type="dxa" w:w="3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ttsProvider.ts (src/types/)</w:t>
            </w:r>
          </w:p>
        </w:tc>
        <w:tc>
          <w:tcPr>
            <w:tcW w:type="dxa" w:w="1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1 KB</w:t>
            </w:r>
          </w:p>
        </w:tc>
        <w:tc>
          <w:tcPr>
            <w:tcW w:type="dxa" w:w="53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Provider timing truth enum and capabilities</w:t>
            </w:r>
          </w:p>
        </w:tc>
      </w:tr>
      <w:tr>
        <w:tc>
          <w:tcPr>
            <w:tcW w:type="dxa" w:w="3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types.ts</w:t>
            </w:r>
          </w:p>
        </w:tc>
        <w:tc>
          <w:tcPr>
            <w:tcW w:type="dxa" w:w="1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29 KB</w:t>
            </w:r>
          </w:p>
        </w:tc>
        <w:tc>
          <w:tcPr>
            <w:tcW w:type="dxa" w:w="53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Shared application types (including TTS-related interfaces)</w:t>
            </w:r>
          </w:p>
        </w:tc>
      </w:tr>
    </w:tbl>
    <w:p>
      <w:pPr>
        <w:pStyle w:val="Heading2"/>
        <w:spacing w:after="160" w:before="280"/>
      </w:pPr>
      <w:r>
        <w:rPr>
          <w:rFonts w:ascii="Arial" w:cs="Arial" w:eastAsia="Arial" w:hAnsi="Arial"/>
          <w:b/>
          <w:bCs/>
          <w:color w:val="000000"/>
          <w:sz w:val="24"/>
          <w:szCs w:val="24"/>
        </w:rPr>
        <w:t xml:space="preserve">Batch 4 — Main Process TTS + Hooks (Tier 2)</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Pr>
      <w:tblGrid>
        <w:gridCol w:w="3600"/>
        <w:gridCol w:w="1000"/>
        <w:gridCol w:w="4760"/>
      </w:tblGrid>
      <w:tr>
        <w:trPr>
          <w:tblHeader/>
        </w:trPr>
        <w:tc>
          <w:tcPr>
            <w:tcW w:type="dxa" w:w="3600"/>
            <w:shd w:fill="D5E8F0" w:val="clear"/>
            <w:tcMar>
              <w:top w:type="dxa" w:w="80"/>
              <w:left w:type="dxa" w:w="120"/>
              <w:bottom w:type="dxa" w:w="80"/>
              <w:right w:type="dxa" w:w="120"/>
            </w:tcMar>
          </w:tcPr>
          <w:p>
            <w:pPr>
              <w:spacing w:after="0"/>
            </w:pPr>
            <w:r>
              <w:rPr>
                <w:rFonts w:ascii="Arial" w:cs="Arial" w:eastAsia="Arial" w:hAnsi="Arial"/>
                <w:b/>
                <w:bCs/>
                <w:i w:val="false"/>
                <w:iCs w:val="false"/>
                <w:color w:val="000000"/>
                <w:sz w:val="24"/>
                <w:szCs w:val="24"/>
              </w:rPr>
              <w:t xml:space="preserve">File</w:t>
            </w:r>
          </w:p>
        </w:tc>
        <w:tc>
          <w:tcPr>
            <w:tcW w:type="dxa" w:w="1000"/>
            <w:shd w:fill="D5E8F0" w:val="clear"/>
            <w:tcMar>
              <w:top w:type="dxa" w:w="80"/>
              <w:left w:type="dxa" w:w="120"/>
              <w:bottom w:type="dxa" w:w="80"/>
              <w:right w:type="dxa" w:w="120"/>
            </w:tcMar>
          </w:tcPr>
          <w:p>
            <w:pPr>
              <w:spacing w:after="0"/>
            </w:pPr>
            <w:r>
              <w:rPr>
                <w:rFonts w:ascii="Arial" w:cs="Arial" w:eastAsia="Arial" w:hAnsi="Arial"/>
                <w:b/>
                <w:bCs/>
                <w:i w:val="false"/>
                <w:iCs w:val="false"/>
                <w:color w:val="000000"/>
                <w:sz w:val="24"/>
                <w:szCs w:val="24"/>
              </w:rPr>
              <w:t xml:space="preserve">Size</w:t>
            </w:r>
          </w:p>
        </w:tc>
        <w:tc>
          <w:tcPr>
            <w:tcW w:type="dxa" w:w="4760"/>
            <w:shd w:fill="D5E8F0" w:val="clear"/>
            <w:tcMar>
              <w:top w:type="dxa" w:w="80"/>
              <w:left w:type="dxa" w:w="120"/>
              <w:bottom w:type="dxa" w:w="80"/>
              <w:right w:type="dxa" w:w="120"/>
            </w:tcMar>
          </w:tcPr>
          <w:p>
            <w:pPr>
              <w:spacing w:after="0"/>
            </w:pPr>
            <w:r>
              <w:rPr>
                <w:rFonts w:ascii="Arial" w:cs="Arial" w:eastAsia="Arial" w:hAnsi="Arial"/>
                <w:b/>
                <w:bCs/>
                <w:i w:val="false"/>
                <w:iCs w:val="false"/>
                <w:color w:val="000000"/>
                <w:sz w:val="24"/>
                <w:szCs w:val="24"/>
              </w:rPr>
              <w:t xml:space="preserve">Description</w:t>
            </w:r>
          </w:p>
        </w:tc>
      </w:tr>
      <w:tr>
        <w:tc>
          <w:tcPr>
            <w:tcW w:type="dxa" w:w="36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tts-cache.js (main/)</w:t>
            </w:r>
          </w:p>
        </w:tc>
        <w:tc>
          <w:tcPr>
            <w:tcW w:type="dxa" w:w="1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24 KB</w:t>
            </w:r>
          </w:p>
        </w:tc>
        <w:tc>
          <w:tcPr>
            <w:tcW w:type="dxa" w:w="47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V1/V2 cache paths, atomic timing sidecar writes</w:t>
            </w:r>
          </w:p>
        </w:tc>
      </w:tr>
      <w:tr>
        <w:tc>
          <w:tcPr>
            <w:tcW w:type="dxa" w:w="36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tts-engine.js (main/)</w:t>
            </w:r>
          </w:p>
        </w:tc>
        <w:tc>
          <w:tcPr>
            <w:tcW w:type="dxa" w:w="1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27 KB</w:t>
            </w:r>
          </w:p>
        </w:tc>
        <w:tc>
          <w:tcPr>
            <w:tcW w:type="dxa" w:w="47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Kokoro engine manager, worker lifecycle</w:t>
            </w:r>
          </w:p>
        </w:tc>
      </w:tr>
      <w:tr>
        <w:tc>
          <w:tcPr>
            <w:tcW w:type="dxa" w:w="36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tts-worker.js (main/)</w:t>
            </w:r>
          </w:p>
        </w:tc>
        <w:tc>
          <w:tcPr>
            <w:tcW w:type="dxa" w:w="1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8 KB</w:t>
            </w:r>
          </w:p>
        </w:tc>
        <w:tc>
          <w:tcPr>
            <w:tcW w:type="dxa" w:w="47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Kokoro inference worker thread</w:t>
            </w:r>
          </w:p>
        </w:tc>
      </w:tr>
      <w:tr>
        <w:tc>
          <w:tcPr>
            <w:tcW w:type="dxa" w:w="36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tts.js (main/ipc/)</w:t>
            </w:r>
          </w:p>
        </w:tc>
        <w:tc>
          <w:tcPr>
            <w:tcW w:type="dxa" w:w="1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12 KB</w:t>
            </w:r>
          </w:p>
        </w:tc>
        <w:tc>
          <w:tcPr>
            <w:tcW w:type="dxa" w:w="47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TTS IPC handlers (generate, cache, status)</w:t>
            </w:r>
          </w:p>
        </w:tc>
      </w:tr>
      <w:tr>
        <w:tc>
          <w:tcPr>
            <w:tcW w:type="dxa" w:w="36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useNarration.ts (src/hooks/)</w:t>
            </w:r>
          </w:p>
        </w:tc>
        <w:tc>
          <w:tcPr>
            <w:tcW w:type="dxa" w:w="1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69 KB</w:t>
            </w:r>
          </w:p>
        </w:tc>
        <w:tc>
          <w:tcPr>
            <w:tcW w:type="dxa" w:w="47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Central narration state machine</w:t>
            </w:r>
          </w:p>
        </w:tc>
      </w:tr>
      <w:tr>
        <w:tc>
          <w:tcPr>
            <w:tcW w:type="dxa" w:w="36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kokoroStrategy.ts (src/hooks/narration/)</w:t>
            </w:r>
          </w:p>
        </w:tc>
        <w:tc>
          <w:tcPr>
            <w:tcW w:type="dxa" w:w="100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15 KB</w:t>
            </w:r>
          </w:p>
        </w:tc>
        <w:tc>
          <w:tcPr>
            <w:tcW w:type="dxa" w:w="4760"/>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4"/>
                <w:szCs w:val="24"/>
              </w:rPr>
              <w:t xml:space="preserve">Kokoro-specific strategy implementation</w:t>
            </w:r>
          </w:p>
        </w:tc>
      </w:tr>
    </w:tbl>
    <w:p>
      <w:pPr>
        <w:pStyle w:val="Heading1"/>
        <w:pageBreakBefore/>
        <w:spacing w:after="200" w:before="360"/>
      </w:pPr>
      <w:r>
        <w:rPr>
          <w:rFonts w:ascii="Arial" w:cs="Arial" w:eastAsia="Arial" w:hAnsi="Arial"/>
          <w:b/>
          <w:bCs/>
          <w:color w:val="000000"/>
          <w:sz w:val="28"/>
          <w:szCs w:val="28"/>
        </w:rPr>
        <w:t xml:space="preserve">Section 7: Forward Plan</w:t>
      </w:r>
    </w:p>
    <w:p>
      <w:pPr>
        <w:spacing w:after="200"/>
        <w:jc w:val="left"/>
      </w:pPr>
      <w:r>
        <w:rPr>
          <w:rFonts w:ascii="Arial" w:cs="Arial" w:eastAsia="Arial" w:hAnsi="Arial"/>
          <w:b w:val="false"/>
          <w:bCs w:val="false"/>
          <w:i w:val="false"/>
          <w:iCs w:val="false"/>
          <w:color w:val="000000"/>
          <w:sz w:val="24"/>
          <w:szCs w:val="24"/>
        </w:rPr>
        <w:t xml:space="preserve">The 8-sprint conveyor follows a strict dependency chain. ENGINE-DORMANCY-1 is dispatch-ready and unblocks TTS-INTEGRATE-1 by making MOSS-Nano probe failures irrelevant. The cache hardening sprint (TTS-CACHE-HARDEN-1) was added based on the Kokoro implementation review findings. Three research-driven sprints (TTS-EVENT-SYNC-1, NORMALIZER-ENRICH-1, TTS-RENDER-MAP-1) were derived from the cross-codebase literature review. The pipeline integration test (TTS-PIPELINE-1) and architecture document (TTS-ARCH-DOC-1) close out the phase.</w:t>
      </w:r>
    </w:p>
    <w:p>
      <w:pPr>
        <w:spacing w:after="200"/>
        <w:jc w:val="left"/>
      </w:pPr>
      <w:r>
        <w:rPr>
          <w:rFonts w:ascii="Arial" w:cs="Arial" w:eastAsia="Arial" w:hAnsi="Arial"/>
          <w:b w:val="false"/>
          <w:bCs w:val="false"/>
          <w:i w:val="false"/>
          <w:iCs w:val="false"/>
          <w:color w:val="000000"/>
          <w:sz w:val="24"/>
          <w:szCs w:val="24"/>
        </w:rPr>
        <w:t xml:space="preserve">After the TTS Architecture Completion phase, the KOKORO-EXPORT-1 sprint (long-form audio and subtitle export) becomes viable. Deferred lanes include Android APK, Cloud Sync, and RSS/News — all beyond the current finish line.</w:t>
      </w:r>
    </w:p>
    <w:p>
      <w:pPr>
        <w:spacing w:after="200"/>
        <w:jc w:val="left"/>
      </w:pPr>
      <w:r>
        <w:rPr>
          <w:rFonts w:ascii="Arial" w:cs="Arial" w:eastAsia="Arial" w:hAnsi="Arial"/>
          <w:b w:val="false"/>
          <w:bCs w:val="false"/>
          <w:i w:val="false"/>
          <w:iCs w:val="false"/>
          <w:color w:val="000000"/>
          <w:sz w:val="24"/>
          <w:szCs w:val="24"/>
        </w:rPr>
        <w:t xml:space="preserve">Engine posture summary: Kokoro is the sole active engine. MOSS-Nano and Pocket TTS are dormant (disabled at settings boundary, reversible by changing registry posture). Qwen is retired and disabled for Desktop v2.</w:t>
      </w:r>
    </w:p>
    <w:p>
      <w:pPr>
        <w:pStyle w:val="Heading1"/>
        <w:pageBreakBefore/>
        <w:spacing w:after="200" w:before="360"/>
      </w:pPr>
      <w:r>
        <w:rPr>
          <w:rFonts w:ascii="Arial" w:cs="Arial" w:eastAsia="Arial" w:hAnsi="Arial"/>
          <w:b/>
          <w:bCs/>
          <w:color w:val="000000"/>
          <w:sz w:val="28"/>
          <w:szCs w:val="28"/>
        </w:rPr>
        <w:t xml:space="preserve">Section 8: Auditor Instructions</w:t>
      </w:r>
    </w:p>
    <w:p>
      <w:pPr>
        <w:spacing w:after="200"/>
        <w:jc w:val="left"/>
      </w:pPr>
      <w:r>
        <w:rPr>
          <w:rFonts w:ascii="Arial" w:cs="Arial" w:eastAsia="Arial" w:hAnsi="Arial"/>
          <w:b w:val="false"/>
          <w:bCs w:val="false"/>
          <w:i w:val="false"/>
          <w:iCs w:val="false"/>
          <w:color w:val="000000"/>
          <w:sz w:val="24"/>
          <w:szCs w:val="24"/>
        </w:rPr>
        <w:t xml:space="preserve">Please review the TTS Architecture Completion roadmap (8 sprints) against the actual codebase. The user’s specific concerns are:</w:t>
      </w:r>
    </w:p>
    <w:p>
      <w:pPr>
        <w:spacing w:after="200"/>
        <w:jc w:val="left"/>
      </w:pPr>
      <w:r>
        <w:rPr>
          <w:rFonts w:ascii="Arial" w:cs="Arial" w:eastAsia="Arial" w:hAnsi="Arial"/>
          <w:b w:val="false"/>
          <w:bCs w:val="false"/>
          <w:i w:val="false"/>
          <w:iCs w:val="false"/>
          <w:color w:val="000000"/>
          <w:sz w:val="24"/>
          <w:szCs w:val="24"/>
        </w:rPr>
        <w:t xml:space="preserve"/>
      </w:r>
    </w:p>
    <w:p>
      <w:pPr>
        <w:spacing w:after="200"/>
        <w:jc w:val="left"/>
      </w:pPr>
      <w:r>
        <w:rPr>
          <w:rFonts w:ascii="Arial" w:cs="Arial" w:eastAsia="Arial" w:hAnsi="Arial"/>
          <w:b/>
          <w:bCs/>
          <w:i w:val="false"/>
          <w:iCs w:val="false"/>
          <w:color w:val="000000"/>
          <w:sz w:val="24"/>
          <w:szCs w:val="24"/>
        </w:rPr>
        <w:t xml:space="preserve">1. Roadmap directionality</w:t>
      </w:r>
      <w:r>
        <w:rPr>
          <w:rFonts w:ascii="Arial" w:cs="Arial" w:eastAsia="Arial" w:hAnsi="Arial"/>
          <w:b w:val="false"/>
          <w:bCs w:val="false"/>
          <w:i w:val="false"/>
          <w:iCs w:val="false"/>
          <w:color w:val="000000"/>
          <w:sz w:val="24"/>
          <w:szCs w:val="24"/>
        </w:rPr>
        <w:t xml:space="preserve"> — Is this the right plan, in the right order, for the right reasons?</w:t>
      </w:r>
    </w:p>
    <w:p>
      <w:pPr>
        <w:spacing w:after="200"/>
        <w:jc w:val="left"/>
      </w:pPr>
      <w:r>
        <w:rPr>
          <w:rFonts w:ascii="Arial" w:cs="Arial" w:eastAsia="Arial" w:hAnsi="Arial"/>
          <w:b/>
          <w:bCs/>
          <w:i w:val="false"/>
          <w:iCs w:val="false"/>
          <w:color w:val="000000"/>
          <w:sz w:val="24"/>
          <w:szCs w:val="24"/>
        </w:rPr>
        <w:t xml:space="preserve">2. Spec completeness</w:t>
      </w:r>
      <w:r>
        <w:rPr>
          <w:rFonts w:ascii="Arial" w:cs="Arial" w:eastAsia="Arial" w:hAnsi="Arial"/>
          <w:b w:val="false"/>
          <w:bCs w:val="false"/>
          <w:i w:val="false"/>
          <w:iCs w:val="false"/>
          <w:color w:val="000000"/>
          <w:sz w:val="24"/>
          <w:szCs w:val="24"/>
        </w:rPr>
        <w:t xml:space="preserve"> — Are the sprint specs detailed enough for unambiguous implementation?</w:t>
      </w:r>
    </w:p>
    <w:p>
      <w:pPr>
        <w:spacing w:after="200"/>
        <w:jc w:val="left"/>
      </w:pPr>
      <w:r>
        <w:rPr>
          <w:rFonts w:ascii="Arial" w:cs="Arial" w:eastAsia="Arial" w:hAnsi="Arial"/>
          <w:b/>
          <w:bCs/>
          <w:i w:val="false"/>
          <w:iCs w:val="false"/>
          <w:color w:val="000000"/>
          <w:sz w:val="24"/>
          <w:szCs w:val="24"/>
        </w:rPr>
        <w:t xml:space="preserve">3. Spec cogency</w:t>
      </w:r>
      <w:r>
        <w:rPr>
          <w:rFonts w:ascii="Arial" w:cs="Arial" w:eastAsia="Arial" w:hAnsi="Arial"/>
          <w:b w:val="false"/>
          <w:bCs w:val="false"/>
          <w:i w:val="false"/>
          <w:iCs w:val="false"/>
          <w:color w:val="000000"/>
          <w:sz w:val="24"/>
          <w:szCs w:val="24"/>
        </w:rPr>
        <w:t xml:space="preserve"> — Do the specs make logical sense? Are there contradictions or gaps?</w:t>
      </w:r>
    </w:p>
    <w:p>
      <w:pPr>
        <w:spacing w:after="200"/>
        <w:jc w:val="left"/>
      </w:pPr>
      <w:r>
        <w:rPr>
          <w:rFonts w:ascii="Arial" w:cs="Arial" w:eastAsia="Arial" w:hAnsi="Arial"/>
          <w:b/>
          <w:bCs/>
          <w:i w:val="false"/>
          <w:iCs w:val="false"/>
          <w:color w:val="000000"/>
          <w:sz w:val="24"/>
          <w:szCs w:val="24"/>
        </w:rPr>
        <w:t xml:space="preserve">4. Spec correctness</w:t>
      </w:r>
      <w:r>
        <w:rPr>
          <w:rFonts w:ascii="Arial" w:cs="Arial" w:eastAsia="Arial" w:hAnsi="Arial"/>
          <w:b w:val="false"/>
          <w:bCs w:val="false"/>
          <w:i w:val="false"/>
          <w:iCs w:val="false"/>
          <w:color w:val="000000"/>
          <w:sz w:val="24"/>
          <w:szCs w:val="24"/>
        </w:rPr>
        <w:t xml:space="preserve"> — Do the specs accurately reflect the current codebase state?</w:t>
      </w:r>
    </w:p>
    <w:p>
      <w:pPr>
        <w:spacing w:after="200"/>
        <w:jc w:val="left"/>
      </w:pPr>
      <w:r>
        <w:rPr>
          <w:rFonts w:ascii="Arial" w:cs="Arial" w:eastAsia="Arial" w:hAnsi="Arial"/>
          <w:b/>
          <w:bCs/>
          <w:i w:val="false"/>
          <w:iCs w:val="false"/>
          <w:color w:val="000000"/>
          <w:sz w:val="24"/>
          <w:szCs w:val="24"/>
        </w:rPr>
        <w:t xml:space="preserve">5. Research inclusion</w:t>
      </w:r>
      <w:r>
        <w:rPr>
          <w:rFonts w:ascii="Arial" w:cs="Arial" w:eastAsia="Arial" w:hAnsi="Arial"/>
          <w:b w:val="false"/>
          <w:bCs w:val="false"/>
          <w:i w:val="false"/>
          <w:iCs w:val="false"/>
          <w:color w:val="000000"/>
          <w:sz w:val="24"/>
          <w:szCs w:val="24"/>
        </w:rPr>
        <w:t xml:space="preserve"> — Are the findings from both research documents (cross-codebase TTS literature review and Kokoro implementation review) properly incorporated into the sprint specs?</w:t>
      </w:r>
    </w:p>
    <w:p>
      <w:pPr>
        <w:spacing w:after="200"/>
        <w:jc w:val="left"/>
      </w:pPr>
      <w:r>
        <w:rPr>
          <w:rFonts w:ascii="Arial" w:cs="Arial" w:eastAsia="Arial" w:hAnsi="Arial"/>
          <w:b w:val="false"/>
          <w:bCs w:val="false"/>
          <w:i w:val="false"/>
          <w:iCs w:val="false"/>
          <w:color w:val="000000"/>
          <w:sz w:val="24"/>
          <w:szCs w:val="24"/>
        </w:rPr>
        <w:t xml:space="preserve"/>
      </w:r>
    </w:p>
    <w:p>
      <w:pPr>
        <w:spacing w:after="200"/>
        <w:jc w:val="left"/>
      </w:pPr>
      <w:r>
        <w:rPr>
          <w:rFonts w:ascii="Arial" w:cs="Arial" w:eastAsia="Arial" w:hAnsi="Arial"/>
          <w:b w:val="false"/>
          <w:bCs w:val="false"/>
          <w:i w:val="false"/>
          <w:iCs w:val="false"/>
          <w:color w:val="000000"/>
          <w:sz w:val="24"/>
          <w:szCs w:val="24"/>
        </w:rPr>
        <w:t xml:space="preserve">The ROADMAP.md file contains all 8 full sprint specifications. The research documents in Batch 2 contain the findings that drove spec creation. The source code in Batches 3 and 4 provides ground truth for verifying spec accuracy.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2026-05-15T21:25:04.638Z</dcterms:created>
  <dcterms:modified xsi:type="dcterms:W3CDTF">2026-05-15T21:25:04.638Z</dcterms:modified>
</cp:coreProperties>
</file>

<file path=docProps/custom.xml><?xml version="1.0" encoding="utf-8"?>
<Properties xmlns="http://schemas.openxmlformats.org/officeDocument/2006/custom-properties" xmlns:vt="http://schemas.openxmlformats.org/officeDocument/2006/docPropsVTypes"/>
</file>