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Supplem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ental Materials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To Screen or Not to Screen: What Factors Influence Complex Screening Decisions?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by D. Petrova et al., 2016, </w:t>
      </w:r>
      <w:r>
        <w:rPr>
          <w:rFonts w:cs="Times New Roman" w:ascii="Times New Roman" w:hAnsi="Times New Roman"/>
          <w:b/>
          <w:bCs/>
          <w:i/>
          <w:sz w:val="24"/>
          <w:szCs w:val="24"/>
        </w:rPr>
        <w:t>JEP: Applied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http://dx.doi.org/10.1037/xap0000086</w:t>
      </w:r>
    </w:p>
    <w:p>
      <w:pPr>
        <w:pStyle w:val="NormalWeb"/>
        <w:tabs>
          <w:tab w:val="left" w:pos="0" w:leader="none"/>
          <w:tab w:val="left" w:pos="993" w:leader="none"/>
        </w:tabs>
        <w:spacing w:lineRule="auto" w:line="480"/>
        <w:jc w:val="center"/>
        <w:rPr/>
      </w:pPr>
      <w:r>
        <w:rPr/>
        <w:t>Appendix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/>
          <w:sz w:val="24"/>
          <w:szCs w:val="24"/>
        </w:rPr>
        <w:t xml:space="preserve">Items measuring a priori screening beliefs. </w:t>
      </w:r>
    </w:p>
    <w:p>
      <w:pPr>
        <w:pStyle w:val="ListParagraph"/>
        <w:numPr>
          <w:ilvl w:val="0"/>
          <w:numId w:val="1"/>
        </w:numPr>
        <w:tabs>
          <w:tab w:val="left" w:pos="0" w:leader="none"/>
          <w:tab w:val="left" w:pos="993" w:leader="none"/>
        </w:tabs>
        <w:spacing w:lineRule="auto" w:line="36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Participating in screening always has more advantages than disadvantages. </w:t>
      </w:r>
    </w:p>
    <w:p>
      <w:pPr>
        <w:pStyle w:val="ListParagraph"/>
        <w:numPr>
          <w:ilvl w:val="0"/>
          <w:numId w:val="1"/>
        </w:numPr>
        <w:tabs>
          <w:tab w:val="left" w:pos="0" w:leader="none"/>
          <w:tab w:val="left" w:pos="993" w:leader="none"/>
        </w:tabs>
        <w:spacing w:lineRule="auto" w:line="36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Participating in screening cannot hurt anyone.</w:t>
      </w:r>
    </w:p>
    <w:p>
      <w:pPr>
        <w:pStyle w:val="ListParagraph"/>
        <w:numPr>
          <w:ilvl w:val="0"/>
          <w:numId w:val="1"/>
        </w:numPr>
        <w:tabs>
          <w:tab w:val="left" w:pos="0" w:leader="none"/>
          <w:tab w:val="left" w:pos="993" w:leader="none"/>
        </w:tabs>
        <w:spacing w:lineRule="auto" w:line="36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In my opinion, it is always better to get screened.</w:t>
      </w:r>
    </w:p>
    <w:p>
      <w:pPr>
        <w:pStyle w:val="ListParagraph"/>
        <w:numPr>
          <w:ilvl w:val="0"/>
          <w:numId w:val="1"/>
        </w:numPr>
        <w:tabs>
          <w:tab w:val="left" w:pos="0" w:leader="none"/>
          <w:tab w:val="left" w:pos="993" w:leader="none"/>
        </w:tabs>
        <w:spacing w:lineRule="auto" w:line="36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If one has the opportunity, one should always participate in screening.</w:t>
      </w:r>
    </w:p>
    <w:p>
      <w:pPr>
        <w:pStyle w:val="ListParagraph"/>
        <w:numPr>
          <w:ilvl w:val="0"/>
          <w:numId w:val="1"/>
        </w:numPr>
        <w:tabs>
          <w:tab w:val="left" w:pos="0" w:leader="none"/>
          <w:tab w:val="left" w:pos="993" w:leader="none"/>
        </w:tabs>
        <w:spacing w:lineRule="auto" w:line="36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Foregoing screening is irresponsible.</w:t>
      </w:r>
    </w:p>
    <w:p>
      <w:pPr>
        <w:pStyle w:val="Normal"/>
        <w:tabs>
          <w:tab w:val="left" w:pos="0" w:leader="none"/>
          <w:tab w:val="left" w:pos="993" w:leader="none"/>
        </w:tabs>
        <w:spacing w:lineRule="auto" w:line="360"/>
        <w:rPr>
          <w:rFonts w:ascii="Times New Roman" w:hAnsi="Times New Roman" w:eastAsia="" w:cs="Times New Roman" w:eastAsiaTheme="minorEastAsia"/>
          <w:b/>
          <w:b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Note: The following item was administered but was excluded due to low item-to-total correlation: “Every person should decide for him- or herself whether to get screened or not”.</w:t>
      </w:r>
    </w:p>
    <w:p>
      <w:pPr>
        <w:pStyle w:val="Normal"/>
        <w:spacing w:before="0" w:after="200"/>
        <w:rPr>
          <w:rFonts w:ascii="Times New Roman" w:hAnsi="Times New Roman" w:eastAsia="" w:cs="Times New Roman" w:eastAsiaTheme="minorEastAsia"/>
          <w:b/>
          <w:b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o UI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56790092"/>
    </w:sdtPr>
    <w:sdtContent>
      <w:p>
        <w:pPr>
          <w:pStyle w:val="Header"/>
          <w:rPr/>
        </w:pPr>
        <w:r>
          <w:rPr>
            <w:rFonts w:cs="Times New Roman" w:ascii="Times New Roman" w:hAnsi="Times New Roman"/>
            <w:sz w:val="24"/>
            <w:szCs w:val="24"/>
          </w:rPr>
          <w:t xml:space="preserve">COMPLEX SCREENING DECISIONS: Appendix                              </w:t>
        </w:r>
        <w:r>
          <w:rPr/>
          <w:tab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o UI" w:hAnsi="Lao UI" w:eastAsia="Calibri" w:cs="Lao UI" w:eastAsiaTheme="minorHAnsi"/>
        <w:color w:val="000000" w:themeColor="text1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322f06"/>
    <w:pPr>
      <w:widowControl/>
      <w:bidi w:val="0"/>
      <w:spacing w:lineRule="auto" w:line="276" w:before="0" w:after="200"/>
      <w:jc w:val="left"/>
    </w:pPr>
    <w:rPr>
      <w:rFonts w:ascii="Calibri" w:hAnsi="Calibri" w:cs="" w:asciiTheme="minorHAnsi" w:cstheme="minorBidi" w:hAnsiTheme="minorHAnsi" w:eastAsia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22f06"/>
    <w:rPr>
      <w:rFonts w:ascii="Calibri" w:hAnsi="Calibri" w:cs="" w:asciiTheme="minorHAnsi" w:cstheme="minorBidi" w:hAnsiTheme="minorHAnsi"/>
      <w:color w:val="00000A"/>
      <w:sz w:val="22"/>
      <w:szCs w:val="22"/>
      <w:lang w:val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22f06"/>
    <w:rPr>
      <w:rFonts w:ascii="Calibri" w:hAnsi="Calibri" w:cs="" w:asciiTheme="minorHAnsi" w:cstheme="minorBidi" w:hAnsiTheme="minorHAnsi"/>
      <w:color w:val="00000A"/>
      <w:sz w:val="22"/>
      <w:szCs w:val="22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22f06"/>
    <w:rPr>
      <w:rFonts w:ascii="Tahoma" w:hAnsi="Tahoma" w:cs="Tahoma"/>
      <w:color w:val="00000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322f0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22f0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2f0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22f0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2f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AFF0F-C394-4183-AAC4-17E52A7A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108</Words>
  <Characters>642</Characters>
  <CharactersWithSpaces>764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2016-04-19T06:35:00Z</dcterms:created>
  <dc:creator>Dafina</dc:creator>
  <dc:description/>
  <dc:language>en-US</dc:language>
  <cp:lastModifiedBy/>
  <dcterms:modified xsi:type="dcterms:W3CDTF">2018-10-22T22:50:13Z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