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E628D" w14:textId="77777777" w:rsidR="00566B4D" w:rsidRPr="005C1038" w:rsidRDefault="00566B4D" w:rsidP="00566B4D">
      <w:pPr>
        <w:pStyle w:val="Title"/>
      </w:pPr>
      <w:r w:rsidRPr="005C1038">
        <w:t>Performance Analysis of MPI Implementations</w:t>
      </w:r>
    </w:p>
    <w:p w14:paraId="79479C1A" w14:textId="77777777" w:rsidR="00566B4D" w:rsidRPr="005C1038" w:rsidRDefault="00566B4D" w:rsidP="00566B4D">
      <w:pPr>
        <w:jc w:val="center"/>
        <w:rPr>
          <w:b/>
          <w:bCs/>
        </w:rPr>
      </w:pPr>
      <w:r w:rsidRPr="005C1038">
        <w:rPr>
          <w:b/>
          <w:bCs/>
        </w:rPr>
        <w:t xml:space="preserve">CS 426 Project 1 </w:t>
      </w:r>
      <w:r>
        <w:rPr>
          <w:b/>
          <w:bCs/>
        </w:rPr>
        <w:t>-</w:t>
      </w:r>
      <w:r w:rsidRPr="005C1038">
        <w:rPr>
          <w:b/>
          <w:bCs/>
        </w:rPr>
        <w:t xml:space="preserve"> Spring 2025</w:t>
      </w:r>
      <w:r>
        <w:rPr>
          <w:b/>
          <w:bCs/>
        </w:rPr>
        <w:t xml:space="preserve"> - </w:t>
      </w:r>
      <w:r w:rsidRPr="005C1038">
        <w:rPr>
          <w:b/>
          <w:bCs/>
        </w:rPr>
        <w:t>Görkem Kadir Solun 22003214</w:t>
      </w:r>
    </w:p>
    <w:p w14:paraId="6CE04828" w14:textId="0FECB55B" w:rsidR="00566B4D" w:rsidRPr="005C1038" w:rsidRDefault="00EB3A15" w:rsidP="00566B4D">
      <w:pPr>
        <w:pStyle w:val="Heading2"/>
      </w:pPr>
      <w:r>
        <w:t xml:space="preserve">Implementation Overview </w:t>
      </w:r>
      <w:r w:rsidR="00566B4D" w:rsidRPr="005C1038">
        <w:t>Part A: Find Average</w:t>
      </w:r>
    </w:p>
    <w:p w14:paraId="733D17F8" w14:textId="478278DA" w:rsidR="00566B4D" w:rsidRPr="005C1038" w:rsidRDefault="00566B4D" w:rsidP="00566B4D">
      <w:r w:rsidRPr="005C1038">
        <w:rPr>
          <w:b/>
          <w:bCs/>
        </w:rPr>
        <w:t>Serial Implementation:</w:t>
      </w:r>
      <w:r>
        <w:rPr>
          <w:b/>
          <w:bCs/>
        </w:rPr>
        <w:t xml:space="preserve"> </w:t>
      </w:r>
      <w:r w:rsidRPr="005C1038">
        <w:t>Reads an array of integers from an input file (with the first line indicating the number of elements) and computes the average.</w:t>
      </w:r>
    </w:p>
    <w:p w14:paraId="09CD8599" w14:textId="69A03085" w:rsidR="00566B4D" w:rsidRPr="005C1038" w:rsidRDefault="00566B4D" w:rsidP="00566B4D">
      <w:r w:rsidRPr="005C1038">
        <w:rPr>
          <w:b/>
          <w:bCs/>
        </w:rPr>
        <w:t>MPIv1 Implementation:</w:t>
      </w:r>
      <w:r>
        <w:rPr>
          <w:b/>
          <w:bCs/>
        </w:rPr>
        <w:t xml:space="preserve"> </w:t>
      </w:r>
      <w:r w:rsidRPr="005C1038">
        <w:t>The master process reads the entire input, partitions the array, and distributes segments to worker processes via point-to-point communication. Each process calculates a local sum; these results are sent back to the master for aggregation.</w:t>
      </w:r>
    </w:p>
    <w:p w14:paraId="2C8B05D7" w14:textId="56A49F68" w:rsidR="00566B4D" w:rsidRPr="005C1038" w:rsidRDefault="00566B4D" w:rsidP="00566B4D">
      <w:r w:rsidRPr="005C1038">
        <w:rPr>
          <w:b/>
          <w:bCs/>
        </w:rPr>
        <w:t>MPIv2 Implementation:</w:t>
      </w:r>
      <w:r>
        <w:rPr>
          <w:b/>
          <w:bCs/>
        </w:rPr>
        <w:t xml:space="preserve"> </w:t>
      </w:r>
      <w:r w:rsidRPr="005C1038">
        <w:t>Instead of using manual point-to-point messages, the master uses MPI_Scatter to distribute data and MPI_Allreduce to collect and combine partial sums efficiently.</w:t>
      </w:r>
    </w:p>
    <w:p w14:paraId="6C6BD8FA" w14:textId="0249B239" w:rsidR="00566B4D" w:rsidRPr="005C1038" w:rsidRDefault="00EB3A15" w:rsidP="00566B4D">
      <w:pPr>
        <w:pStyle w:val="Heading2"/>
      </w:pPr>
      <w:r>
        <w:t xml:space="preserve">Implementation Overview </w:t>
      </w:r>
      <w:r w:rsidR="00566B4D" w:rsidRPr="005C1038">
        <w:t>Part B: Find Average in Buckets</w:t>
      </w:r>
    </w:p>
    <w:p w14:paraId="006FE0CA" w14:textId="77777777" w:rsidR="00566B4D" w:rsidRPr="005C1038" w:rsidRDefault="00566B4D" w:rsidP="00566B4D">
      <w:pPr>
        <w:rPr>
          <w:b/>
          <w:bCs/>
        </w:rPr>
      </w:pPr>
      <w:r w:rsidRPr="005C1038">
        <w:rPr>
          <w:b/>
          <w:bCs/>
        </w:rPr>
        <w:t>Serial Implementation:</w:t>
      </w:r>
      <w:r>
        <w:rPr>
          <w:b/>
          <w:bCs/>
        </w:rPr>
        <w:t xml:space="preserve"> </w:t>
      </w:r>
      <w:r w:rsidRPr="005C1038">
        <w:t>The program reads pairs from an input file, identifies the range of bucket keys, and assigns each pair to its respective bucket. It then computes the average of the second key for each bucket.</w:t>
      </w:r>
    </w:p>
    <w:p w14:paraId="5F0F637F" w14:textId="77777777" w:rsidR="00566B4D" w:rsidRPr="005C1038" w:rsidRDefault="00566B4D" w:rsidP="00566B4D">
      <w:r w:rsidRPr="005C1038">
        <w:rPr>
          <w:b/>
          <w:bCs/>
        </w:rPr>
        <w:t>Parallel Implementation</w:t>
      </w:r>
      <w:r>
        <w:rPr>
          <w:b/>
          <w:bCs/>
        </w:rPr>
        <w:t xml:space="preserve">: </w:t>
      </w:r>
      <w:r w:rsidRPr="005C1038">
        <w:t>The input data is partitioned among processors. Each process calculates the local sum and count for each bucket, and the master aggregates these results to determine the final average for every bucket. Data distribution and collection are managed to balance the workload across processes.</w:t>
      </w:r>
    </w:p>
    <w:p w14:paraId="6C68EF3A" w14:textId="77777777" w:rsidR="00566B4D" w:rsidRPr="005C1038" w:rsidRDefault="00566B4D" w:rsidP="00141987">
      <w:pPr>
        <w:pStyle w:val="Heading2"/>
      </w:pPr>
      <w:r w:rsidRPr="005C1038">
        <w:t>Experimental Setup</w:t>
      </w:r>
    </w:p>
    <w:p w14:paraId="10AE858D" w14:textId="77777777" w:rsidR="00566B4D" w:rsidRPr="005C1038" w:rsidRDefault="00566B4D" w:rsidP="00566B4D">
      <w:r w:rsidRPr="005C1038">
        <w:t xml:space="preserve">Experiments were conducted on </w:t>
      </w:r>
      <w:r>
        <w:t>four</w:t>
      </w:r>
      <w:r w:rsidRPr="005C1038">
        <w:t xml:space="preserve"> artificial input sizes:</w:t>
      </w:r>
      <w:r>
        <w:t xml:space="preserve"> 1000, 50000, 100000, 150000. </w:t>
      </w:r>
      <w:r w:rsidRPr="005C1038">
        <w:t>For each input size, execution times were measured using different numbers of processors</w:t>
      </w:r>
      <w:r>
        <w:t>: 50, 100, 200.</w:t>
      </w:r>
      <w:r w:rsidRPr="005C1038">
        <w:t xml:space="preserve"> The following results are based on artificial data generated for demonstration purposes.</w:t>
      </w:r>
    </w:p>
    <w:p w14:paraId="27691DFA" w14:textId="5151F227" w:rsidR="00566B4D" w:rsidRPr="005C1038" w:rsidRDefault="00141987" w:rsidP="00566B4D">
      <w:pPr>
        <w:pStyle w:val="Heading2"/>
      </w:pPr>
      <w:r>
        <w:t xml:space="preserve">Results </w:t>
      </w:r>
      <w:r w:rsidR="00566B4D" w:rsidRPr="005C1038">
        <w:t>Part A: Average Computation</w:t>
      </w:r>
    </w:p>
    <w:tbl>
      <w:tblPr>
        <w:tblStyle w:val="TableGrid"/>
        <w:tblW w:w="0" w:type="auto"/>
        <w:tblLook w:val="04A0" w:firstRow="1" w:lastRow="0" w:firstColumn="1" w:lastColumn="0" w:noHBand="0" w:noVBand="1"/>
      </w:tblPr>
      <w:tblGrid>
        <w:gridCol w:w="1525"/>
        <w:gridCol w:w="817"/>
        <w:gridCol w:w="817"/>
        <w:gridCol w:w="817"/>
        <w:gridCol w:w="817"/>
        <w:gridCol w:w="817"/>
        <w:gridCol w:w="817"/>
        <w:gridCol w:w="830"/>
      </w:tblGrid>
      <w:tr w:rsidR="00566B4D" w14:paraId="3FEE06C1" w14:textId="77777777" w:rsidTr="003B24FD">
        <w:tc>
          <w:tcPr>
            <w:tcW w:w="1525" w:type="dxa"/>
          </w:tcPr>
          <w:p w14:paraId="2274C31F" w14:textId="77777777" w:rsidR="00566B4D" w:rsidRDefault="00566B4D" w:rsidP="004A78F7">
            <w:pPr>
              <w:jc w:val="center"/>
            </w:pPr>
          </w:p>
        </w:tc>
        <w:tc>
          <w:tcPr>
            <w:tcW w:w="2451" w:type="dxa"/>
            <w:gridSpan w:val="3"/>
          </w:tcPr>
          <w:p w14:paraId="746E4337" w14:textId="77777777" w:rsidR="00566B4D" w:rsidRDefault="00566B4D" w:rsidP="004A78F7">
            <w:pPr>
              <w:jc w:val="center"/>
            </w:pPr>
            <w:r>
              <w:t>mpi ppv1</w:t>
            </w:r>
          </w:p>
        </w:tc>
        <w:tc>
          <w:tcPr>
            <w:tcW w:w="2451" w:type="dxa"/>
            <w:gridSpan w:val="3"/>
          </w:tcPr>
          <w:p w14:paraId="451595B5" w14:textId="77777777" w:rsidR="00566B4D" w:rsidRDefault="00566B4D" w:rsidP="004A78F7">
            <w:pPr>
              <w:jc w:val="center"/>
            </w:pPr>
            <w:r>
              <w:t>mpi ppv2</w:t>
            </w:r>
          </w:p>
        </w:tc>
        <w:tc>
          <w:tcPr>
            <w:tcW w:w="830" w:type="dxa"/>
          </w:tcPr>
          <w:p w14:paraId="681D1CFD" w14:textId="77777777" w:rsidR="00566B4D" w:rsidRDefault="00566B4D" w:rsidP="004A78F7">
            <w:pPr>
              <w:jc w:val="center"/>
            </w:pPr>
            <w:r>
              <w:t>Serial</w:t>
            </w:r>
          </w:p>
        </w:tc>
      </w:tr>
      <w:tr w:rsidR="00566B4D" w14:paraId="097C9B61" w14:textId="77777777" w:rsidTr="003B24FD">
        <w:tc>
          <w:tcPr>
            <w:tcW w:w="1525" w:type="dxa"/>
          </w:tcPr>
          <w:p w14:paraId="2985E2B8" w14:textId="77777777" w:rsidR="00566B4D" w:rsidRPr="00FF6825" w:rsidRDefault="00566B4D" w:rsidP="004A78F7">
            <w:pPr>
              <w:jc w:val="center"/>
            </w:pPr>
            <w:r>
              <w:t>input \ cores</w:t>
            </w:r>
          </w:p>
        </w:tc>
        <w:tc>
          <w:tcPr>
            <w:tcW w:w="817" w:type="dxa"/>
          </w:tcPr>
          <w:p w14:paraId="10578710" w14:textId="77777777" w:rsidR="00566B4D" w:rsidRPr="00FF6825" w:rsidRDefault="00566B4D" w:rsidP="004A78F7">
            <w:pPr>
              <w:jc w:val="center"/>
            </w:pPr>
            <w:r>
              <w:t>50</w:t>
            </w:r>
          </w:p>
        </w:tc>
        <w:tc>
          <w:tcPr>
            <w:tcW w:w="817" w:type="dxa"/>
          </w:tcPr>
          <w:p w14:paraId="08E5189A" w14:textId="77777777" w:rsidR="00566B4D" w:rsidRPr="00FF6825" w:rsidRDefault="00566B4D" w:rsidP="004A78F7">
            <w:pPr>
              <w:jc w:val="center"/>
            </w:pPr>
            <w:r>
              <w:t>100</w:t>
            </w:r>
          </w:p>
        </w:tc>
        <w:tc>
          <w:tcPr>
            <w:tcW w:w="817" w:type="dxa"/>
          </w:tcPr>
          <w:p w14:paraId="57ED90BA" w14:textId="77777777" w:rsidR="00566B4D" w:rsidRPr="00FF6825" w:rsidRDefault="00566B4D" w:rsidP="004A78F7">
            <w:pPr>
              <w:jc w:val="center"/>
            </w:pPr>
            <w:r>
              <w:t>200</w:t>
            </w:r>
          </w:p>
        </w:tc>
        <w:tc>
          <w:tcPr>
            <w:tcW w:w="817" w:type="dxa"/>
          </w:tcPr>
          <w:p w14:paraId="4FD62608" w14:textId="77777777" w:rsidR="00566B4D" w:rsidRDefault="00566B4D" w:rsidP="004A78F7">
            <w:pPr>
              <w:jc w:val="center"/>
            </w:pPr>
            <w:r>
              <w:t>50</w:t>
            </w:r>
          </w:p>
        </w:tc>
        <w:tc>
          <w:tcPr>
            <w:tcW w:w="817" w:type="dxa"/>
          </w:tcPr>
          <w:p w14:paraId="657DE169" w14:textId="77777777" w:rsidR="00566B4D" w:rsidRDefault="00566B4D" w:rsidP="004A78F7">
            <w:pPr>
              <w:jc w:val="center"/>
            </w:pPr>
            <w:r>
              <w:t>100</w:t>
            </w:r>
          </w:p>
        </w:tc>
        <w:tc>
          <w:tcPr>
            <w:tcW w:w="817" w:type="dxa"/>
          </w:tcPr>
          <w:p w14:paraId="293D778D" w14:textId="77777777" w:rsidR="00566B4D" w:rsidRDefault="00566B4D" w:rsidP="004A78F7">
            <w:pPr>
              <w:jc w:val="center"/>
            </w:pPr>
            <w:r>
              <w:t>200</w:t>
            </w:r>
          </w:p>
        </w:tc>
        <w:tc>
          <w:tcPr>
            <w:tcW w:w="830" w:type="dxa"/>
          </w:tcPr>
          <w:p w14:paraId="3620201C" w14:textId="77777777" w:rsidR="00566B4D" w:rsidRDefault="00566B4D" w:rsidP="004A78F7">
            <w:pPr>
              <w:jc w:val="center"/>
            </w:pPr>
            <w:r>
              <w:t>1</w:t>
            </w:r>
          </w:p>
        </w:tc>
      </w:tr>
      <w:tr w:rsidR="00566B4D" w14:paraId="5586A01E" w14:textId="77777777" w:rsidTr="003B24FD">
        <w:tc>
          <w:tcPr>
            <w:tcW w:w="1525" w:type="dxa"/>
          </w:tcPr>
          <w:p w14:paraId="0C619D7A" w14:textId="77777777" w:rsidR="00566B4D" w:rsidRPr="00FF6825" w:rsidRDefault="00566B4D" w:rsidP="004A78F7">
            <w:pPr>
              <w:jc w:val="center"/>
            </w:pPr>
            <w:r>
              <w:t>1000</w:t>
            </w:r>
          </w:p>
        </w:tc>
        <w:tc>
          <w:tcPr>
            <w:tcW w:w="817" w:type="dxa"/>
          </w:tcPr>
          <w:p w14:paraId="17E2FE81" w14:textId="77777777" w:rsidR="00566B4D" w:rsidRPr="00FF6825" w:rsidRDefault="00566B4D" w:rsidP="004A78F7">
            <w:pPr>
              <w:jc w:val="center"/>
            </w:pPr>
            <w:r>
              <w:t>0.047</w:t>
            </w:r>
          </w:p>
        </w:tc>
        <w:tc>
          <w:tcPr>
            <w:tcW w:w="817" w:type="dxa"/>
          </w:tcPr>
          <w:p w14:paraId="7A4A62A4" w14:textId="77777777" w:rsidR="00566B4D" w:rsidRPr="00FF6825" w:rsidRDefault="00566B4D" w:rsidP="004A78F7">
            <w:pPr>
              <w:jc w:val="center"/>
            </w:pPr>
            <w:r>
              <w:t>0.474</w:t>
            </w:r>
          </w:p>
        </w:tc>
        <w:tc>
          <w:tcPr>
            <w:tcW w:w="817" w:type="dxa"/>
          </w:tcPr>
          <w:p w14:paraId="12B72E3C" w14:textId="77777777" w:rsidR="00566B4D" w:rsidRPr="00FF6825" w:rsidRDefault="00566B4D" w:rsidP="004A78F7">
            <w:pPr>
              <w:jc w:val="center"/>
            </w:pPr>
            <w:r w:rsidRPr="003821C9">
              <w:t>3.170</w:t>
            </w:r>
          </w:p>
        </w:tc>
        <w:tc>
          <w:tcPr>
            <w:tcW w:w="817" w:type="dxa"/>
          </w:tcPr>
          <w:p w14:paraId="187562A1" w14:textId="77777777" w:rsidR="00566B4D" w:rsidRPr="003821C9" w:rsidRDefault="00566B4D" w:rsidP="004A78F7">
            <w:pPr>
              <w:jc w:val="center"/>
            </w:pPr>
            <w:r w:rsidRPr="003821C9">
              <w:t>0.038</w:t>
            </w:r>
          </w:p>
        </w:tc>
        <w:tc>
          <w:tcPr>
            <w:tcW w:w="817" w:type="dxa"/>
          </w:tcPr>
          <w:p w14:paraId="6A55821E" w14:textId="77777777" w:rsidR="00566B4D" w:rsidRPr="003821C9" w:rsidRDefault="00566B4D" w:rsidP="004A78F7">
            <w:pPr>
              <w:jc w:val="center"/>
            </w:pPr>
            <w:r>
              <w:t>0.473</w:t>
            </w:r>
          </w:p>
        </w:tc>
        <w:tc>
          <w:tcPr>
            <w:tcW w:w="817" w:type="dxa"/>
          </w:tcPr>
          <w:p w14:paraId="6D6DAB9C" w14:textId="77777777" w:rsidR="00566B4D" w:rsidRPr="003821C9" w:rsidRDefault="00566B4D" w:rsidP="004A78F7">
            <w:pPr>
              <w:jc w:val="center"/>
            </w:pPr>
            <w:r w:rsidRPr="003821C9">
              <w:t>3.</w:t>
            </w:r>
            <w:r>
              <w:t>202</w:t>
            </w:r>
          </w:p>
        </w:tc>
        <w:tc>
          <w:tcPr>
            <w:tcW w:w="830" w:type="dxa"/>
          </w:tcPr>
          <w:p w14:paraId="235D8366" w14:textId="77777777" w:rsidR="00566B4D" w:rsidRPr="003821C9" w:rsidRDefault="00566B4D" w:rsidP="004A78F7">
            <w:pPr>
              <w:jc w:val="center"/>
            </w:pPr>
            <w:r w:rsidRPr="00A53DF8">
              <w:t>0.000</w:t>
            </w:r>
          </w:p>
        </w:tc>
      </w:tr>
      <w:tr w:rsidR="00566B4D" w14:paraId="25834DF4" w14:textId="77777777" w:rsidTr="003B24FD">
        <w:tc>
          <w:tcPr>
            <w:tcW w:w="1525" w:type="dxa"/>
          </w:tcPr>
          <w:p w14:paraId="28B9845A" w14:textId="77777777" w:rsidR="00566B4D" w:rsidRPr="00FF6825" w:rsidRDefault="00566B4D" w:rsidP="004A78F7">
            <w:pPr>
              <w:jc w:val="center"/>
            </w:pPr>
            <w:r>
              <w:t>50000</w:t>
            </w:r>
          </w:p>
        </w:tc>
        <w:tc>
          <w:tcPr>
            <w:tcW w:w="817" w:type="dxa"/>
          </w:tcPr>
          <w:p w14:paraId="70174849" w14:textId="77777777" w:rsidR="00566B4D" w:rsidRPr="00FF6825" w:rsidRDefault="00566B4D" w:rsidP="004A78F7">
            <w:pPr>
              <w:jc w:val="center"/>
            </w:pPr>
            <w:r>
              <w:t>0.027</w:t>
            </w:r>
          </w:p>
        </w:tc>
        <w:tc>
          <w:tcPr>
            <w:tcW w:w="817" w:type="dxa"/>
          </w:tcPr>
          <w:p w14:paraId="483CFF52" w14:textId="77777777" w:rsidR="00566B4D" w:rsidRPr="00FF6825" w:rsidRDefault="00566B4D" w:rsidP="004A78F7">
            <w:pPr>
              <w:jc w:val="center"/>
            </w:pPr>
            <w:r w:rsidRPr="003821C9">
              <w:t>0.459</w:t>
            </w:r>
          </w:p>
        </w:tc>
        <w:tc>
          <w:tcPr>
            <w:tcW w:w="817" w:type="dxa"/>
          </w:tcPr>
          <w:p w14:paraId="671BCEB8" w14:textId="77777777" w:rsidR="00566B4D" w:rsidRPr="00FF6825" w:rsidRDefault="00566B4D" w:rsidP="004A78F7">
            <w:pPr>
              <w:jc w:val="center"/>
            </w:pPr>
            <w:r w:rsidRPr="003821C9">
              <w:t>3.178</w:t>
            </w:r>
          </w:p>
        </w:tc>
        <w:tc>
          <w:tcPr>
            <w:tcW w:w="817" w:type="dxa"/>
          </w:tcPr>
          <w:p w14:paraId="30D65232" w14:textId="77777777" w:rsidR="00566B4D" w:rsidRPr="003821C9" w:rsidRDefault="00566B4D" w:rsidP="004A78F7">
            <w:pPr>
              <w:jc w:val="center"/>
            </w:pPr>
            <w:r w:rsidRPr="003821C9">
              <w:t>0.027</w:t>
            </w:r>
          </w:p>
        </w:tc>
        <w:tc>
          <w:tcPr>
            <w:tcW w:w="817" w:type="dxa"/>
          </w:tcPr>
          <w:p w14:paraId="291C0A7A" w14:textId="77777777" w:rsidR="00566B4D" w:rsidRPr="003821C9" w:rsidRDefault="00566B4D" w:rsidP="004A78F7">
            <w:pPr>
              <w:jc w:val="center"/>
            </w:pPr>
            <w:r w:rsidRPr="003821C9">
              <w:t>0.4</w:t>
            </w:r>
            <w:r>
              <w:t>60</w:t>
            </w:r>
          </w:p>
        </w:tc>
        <w:tc>
          <w:tcPr>
            <w:tcW w:w="817" w:type="dxa"/>
          </w:tcPr>
          <w:p w14:paraId="33CABAA5" w14:textId="77777777" w:rsidR="00566B4D" w:rsidRPr="003821C9" w:rsidRDefault="00566B4D" w:rsidP="004A78F7">
            <w:pPr>
              <w:jc w:val="center"/>
            </w:pPr>
            <w:r w:rsidRPr="003821C9">
              <w:t>3.</w:t>
            </w:r>
            <w:r>
              <w:t>105</w:t>
            </w:r>
          </w:p>
        </w:tc>
        <w:tc>
          <w:tcPr>
            <w:tcW w:w="830" w:type="dxa"/>
          </w:tcPr>
          <w:p w14:paraId="03671AFF" w14:textId="77777777" w:rsidR="00566B4D" w:rsidRPr="003821C9" w:rsidRDefault="00566B4D" w:rsidP="004A78F7">
            <w:pPr>
              <w:jc w:val="center"/>
            </w:pPr>
            <w:r w:rsidRPr="00A53DF8">
              <w:t>0.002</w:t>
            </w:r>
          </w:p>
        </w:tc>
      </w:tr>
      <w:tr w:rsidR="00566B4D" w14:paraId="7E6BE1D8" w14:textId="77777777" w:rsidTr="003B24FD">
        <w:tc>
          <w:tcPr>
            <w:tcW w:w="1525" w:type="dxa"/>
          </w:tcPr>
          <w:p w14:paraId="39524EA6" w14:textId="77777777" w:rsidR="00566B4D" w:rsidRPr="00FF6825" w:rsidRDefault="00566B4D" w:rsidP="004A78F7">
            <w:pPr>
              <w:jc w:val="center"/>
            </w:pPr>
            <w:r>
              <w:t>100000</w:t>
            </w:r>
          </w:p>
        </w:tc>
        <w:tc>
          <w:tcPr>
            <w:tcW w:w="817" w:type="dxa"/>
          </w:tcPr>
          <w:p w14:paraId="25A01B4F" w14:textId="77777777" w:rsidR="00566B4D" w:rsidRPr="00FF6825" w:rsidRDefault="00566B4D" w:rsidP="004A78F7">
            <w:pPr>
              <w:jc w:val="center"/>
            </w:pPr>
            <w:r>
              <w:t>0.037</w:t>
            </w:r>
          </w:p>
        </w:tc>
        <w:tc>
          <w:tcPr>
            <w:tcW w:w="817" w:type="dxa"/>
          </w:tcPr>
          <w:p w14:paraId="0A4479D9" w14:textId="77777777" w:rsidR="00566B4D" w:rsidRPr="00FF6825" w:rsidRDefault="00566B4D" w:rsidP="004A78F7">
            <w:pPr>
              <w:jc w:val="center"/>
            </w:pPr>
            <w:r w:rsidRPr="003821C9">
              <w:t>0.460</w:t>
            </w:r>
          </w:p>
        </w:tc>
        <w:tc>
          <w:tcPr>
            <w:tcW w:w="817" w:type="dxa"/>
          </w:tcPr>
          <w:p w14:paraId="00032CA3" w14:textId="77777777" w:rsidR="00566B4D" w:rsidRPr="00FF6825" w:rsidRDefault="00566B4D" w:rsidP="004A78F7">
            <w:pPr>
              <w:jc w:val="center"/>
            </w:pPr>
            <w:r w:rsidRPr="003821C9">
              <w:t>3.202</w:t>
            </w:r>
          </w:p>
        </w:tc>
        <w:tc>
          <w:tcPr>
            <w:tcW w:w="817" w:type="dxa"/>
          </w:tcPr>
          <w:p w14:paraId="14D4228A" w14:textId="77777777" w:rsidR="00566B4D" w:rsidRPr="003821C9" w:rsidRDefault="00566B4D" w:rsidP="004A78F7">
            <w:pPr>
              <w:jc w:val="center"/>
            </w:pPr>
            <w:r>
              <w:t>0.027</w:t>
            </w:r>
          </w:p>
        </w:tc>
        <w:tc>
          <w:tcPr>
            <w:tcW w:w="817" w:type="dxa"/>
          </w:tcPr>
          <w:p w14:paraId="293DB9E3" w14:textId="77777777" w:rsidR="00566B4D" w:rsidRPr="003821C9" w:rsidRDefault="00566B4D" w:rsidP="004A78F7">
            <w:pPr>
              <w:jc w:val="center"/>
            </w:pPr>
            <w:r w:rsidRPr="003821C9">
              <w:t>0.46</w:t>
            </w:r>
            <w:r>
              <w:t>4</w:t>
            </w:r>
          </w:p>
        </w:tc>
        <w:tc>
          <w:tcPr>
            <w:tcW w:w="817" w:type="dxa"/>
          </w:tcPr>
          <w:p w14:paraId="40111225" w14:textId="77777777" w:rsidR="00566B4D" w:rsidRPr="003821C9" w:rsidRDefault="00566B4D" w:rsidP="004A78F7">
            <w:pPr>
              <w:jc w:val="center"/>
            </w:pPr>
            <w:r w:rsidRPr="003821C9">
              <w:t>3.</w:t>
            </w:r>
            <w:r>
              <w:t>183</w:t>
            </w:r>
          </w:p>
        </w:tc>
        <w:tc>
          <w:tcPr>
            <w:tcW w:w="830" w:type="dxa"/>
          </w:tcPr>
          <w:p w14:paraId="69F1DB03" w14:textId="77777777" w:rsidR="00566B4D" w:rsidRPr="003821C9" w:rsidRDefault="00566B4D" w:rsidP="004A78F7">
            <w:pPr>
              <w:jc w:val="center"/>
            </w:pPr>
            <w:r w:rsidRPr="00A53DF8">
              <w:t>0.004</w:t>
            </w:r>
          </w:p>
        </w:tc>
      </w:tr>
      <w:tr w:rsidR="00566B4D" w14:paraId="39946EC6" w14:textId="77777777" w:rsidTr="003B24FD">
        <w:tc>
          <w:tcPr>
            <w:tcW w:w="1525" w:type="dxa"/>
          </w:tcPr>
          <w:p w14:paraId="0BC420EB" w14:textId="77777777" w:rsidR="00566B4D" w:rsidRPr="00FF6825" w:rsidRDefault="00566B4D" w:rsidP="004A78F7">
            <w:pPr>
              <w:jc w:val="center"/>
            </w:pPr>
            <w:r>
              <w:t>150000</w:t>
            </w:r>
          </w:p>
        </w:tc>
        <w:tc>
          <w:tcPr>
            <w:tcW w:w="817" w:type="dxa"/>
          </w:tcPr>
          <w:p w14:paraId="7E2F9E2D" w14:textId="77777777" w:rsidR="00566B4D" w:rsidRPr="00FF6825" w:rsidRDefault="00566B4D" w:rsidP="004A78F7">
            <w:pPr>
              <w:jc w:val="center"/>
            </w:pPr>
            <w:r>
              <w:t>0.030</w:t>
            </w:r>
          </w:p>
        </w:tc>
        <w:tc>
          <w:tcPr>
            <w:tcW w:w="817" w:type="dxa"/>
          </w:tcPr>
          <w:p w14:paraId="03D41724" w14:textId="77777777" w:rsidR="00566B4D" w:rsidRPr="00FF6825" w:rsidRDefault="00566B4D" w:rsidP="004A78F7">
            <w:pPr>
              <w:jc w:val="center"/>
            </w:pPr>
            <w:r w:rsidRPr="003821C9">
              <w:t>0.465</w:t>
            </w:r>
          </w:p>
        </w:tc>
        <w:tc>
          <w:tcPr>
            <w:tcW w:w="817" w:type="dxa"/>
          </w:tcPr>
          <w:p w14:paraId="7A887E0A" w14:textId="77777777" w:rsidR="00566B4D" w:rsidRPr="00FF6825" w:rsidRDefault="00566B4D" w:rsidP="004A78F7">
            <w:pPr>
              <w:jc w:val="center"/>
            </w:pPr>
            <w:r w:rsidRPr="003821C9">
              <w:t>3.145</w:t>
            </w:r>
          </w:p>
        </w:tc>
        <w:tc>
          <w:tcPr>
            <w:tcW w:w="817" w:type="dxa"/>
          </w:tcPr>
          <w:p w14:paraId="61584E27" w14:textId="77777777" w:rsidR="00566B4D" w:rsidRPr="003821C9" w:rsidRDefault="00566B4D" w:rsidP="004A78F7">
            <w:pPr>
              <w:jc w:val="center"/>
            </w:pPr>
            <w:r>
              <w:t>0.014</w:t>
            </w:r>
          </w:p>
        </w:tc>
        <w:tc>
          <w:tcPr>
            <w:tcW w:w="817" w:type="dxa"/>
          </w:tcPr>
          <w:p w14:paraId="13BB0636" w14:textId="77777777" w:rsidR="00566B4D" w:rsidRPr="003821C9" w:rsidRDefault="00566B4D" w:rsidP="004A78F7">
            <w:pPr>
              <w:jc w:val="center"/>
            </w:pPr>
            <w:r w:rsidRPr="003821C9">
              <w:t>0.4</w:t>
            </w:r>
            <w:r>
              <w:t>41</w:t>
            </w:r>
          </w:p>
        </w:tc>
        <w:tc>
          <w:tcPr>
            <w:tcW w:w="817" w:type="dxa"/>
          </w:tcPr>
          <w:p w14:paraId="08EA0982" w14:textId="77777777" w:rsidR="00566B4D" w:rsidRPr="003821C9" w:rsidRDefault="00566B4D" w:rsidP="004A78F7">
            <w:pPr>
              <w:jc w:val="center"/>
            </w:pPr>
            <w:r w:rsidRPr="003821C9">
              <w:t>3.</w:t>
            </w:r>
            <w:r>
              <w:t>206</w:t>
            </w:r>
          </w:p>
        </w:tc>
        <w:tc>
          <w:tcPr>
            <w:tcW w:w="830" w:type="dxa"/>
          </w:tcPr>
          <w:p w14:paraId="157B6312" w14:textId="77777777" w:rsidR="00566B4D" w:rsidRPr="003821C9" w:rsidRDefault="00566B4D" w:rsidP="004A78F7">
            <w:pPr>
              <w:jc w:val="center"/>
            </w:pPr>
            <w:r w:rsidRPr="00A53DF8">
              <w:t>0.007</w:t>
            </w:r>
          </w:p>
        </w:tc>
      </w:tr>
    </w:tbl>
    <w:p w14:paraId="0E6A757A" w14:textId="77777777" w:rsidR="00566B4D" w:rsidRDefault="00566B4D" w:rsidP="00566B4D">
      <w:pPr>
        <w:rPr>
          <w:b/>
          <w:bCs/>
        </w:rPr>
      </w:pPr>
    </w:p>
    <w:p w14:paraId="0F05E420" w14:textId="17BB7356" w:rsidR="00B0171E" w:rsidRDefault="003B24FD" w:rsidP="00566B4D">
      <w:pPr>
        <w:rPr>
          <w:b/>
          <w:bCs/>
        </w:rPr>
      </w:pPr>
      <w:r>
        <w:rPr>
          <w:b/>
          <w:bCs/>
          <w:noProof/>
        </w:rPr>
        <w:lastRenderedPageBreak/>
        <w:drawing>
          <wp:inline distT="0" distB="0" distL="0" distR="0" wp14:anchorId="44A4BAC8" wp14:editId="603B382F">
            <wp:extent cx="4616450" cy="2750120"/>
            <wp:effectExtent l="0" t="0" r="0" b="0"/>
            <wp:docPr id="76906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6291" cy="2767897"/>
                    </a:xfrm>
                    <a:prstGeom prst="rect">
                      <a:avLst/>
                    </a:prstGeom>
                    <a:noFill/>
                    <a:ln>
                      <a:noFill/>
                    </a:ln>
                  </pic:spPr>
                </pic:pic>
              </a:graphicData>
            </a:graphic>
          </wp:inline>
        </w:drawing>
      </w:r>
    </w:p>
    <w:p w14:paraId="76245EAC" w14:textId="07B9970C" w:rsidR="006F285D" w:rsidRDefault="005F77D8" w:rsidP="006F285D">
      <w:r w:rsidRPr="005F77D8">
        <w:t xml:space="preserve">The two sets of data provide insight into the performance of serial and parallel implementations for computing averages. In the first set, three versions were tested: a serial implementation, an MPI version using point-to-point communication (mpi ppv1), and an MPI version using collective communication (mpi ppv2). Tests were conducted on input sizes of 1000, 50000, 100000, and 150000 elements, with parallel versions running on 50, 100, and 200 cores. For very small inputs, such as 1000 elements, the overhead associated with setting up and synchronizing multiple processes often resulted in parallel runtimes that exceeded the nearly instantaneous performance of the serial code. However, as the input size increased to 50000 elements and beyond, the benefits of parallelization became more evident. Notably, while increasing the number of cores generally </w:t>
      </w:r>
      <w:r w:rsidR="00F84917" w:rsidRPr="005F77D8">
        <w:t>decreased in terms of running time</w:t>
      </w:r>
      <w:r w:rsidRPr="005F77D8">
        <w:t>, moving from 50 or 100 cores to 200 did not always yield proportional improvements. This is due to the increased communication overhead and potential imbalance in workload distribution.</w:t>
      </w:r>
      <w:r>
        <w:t xml:space="preserve"> </w:t>
      </w:r>
      <w:r w:rsidRPr="005F77D8">
        <w:t>In comparing mpi ppv1 and mpi ppv2, the results were often similar. The mpi ppv2 implementation, which employs collective operations like MPI</w:t>
      </w:r>
      <w:r w:rsidR="008F4F07">
        <w:t>_</w:t>
      </w:r>
      <w:r w:rsidRPr="005F77D8">
        <w:t>Scatter and MPI</w:t>
      </w:r>
      <w:r w:rsidR="008F4F07">
        <w:t>_</w:t>
      </w:r>
      <w:r w:rsidRPr="005F77D8">
        <w:t xml:space="preserve">Allreduce, sometimes demonstrated slight performance advantages for larger inputs. This suggests that collective routines can streamline communication more effectively when </w:t>
      </w:r>
      <w:r w:rsidR="008F4F07">
        <w:t xml:space="preserve">the </w:t>
      </w:r>
      <w:r w:rsidR="004656B4">
        <w:t>message-passing</w:t>
      </w:r>
      <w:r w:rsidRPr="005F77D8">
        <w:t xml:space="preserve"> </w:t>
      </w:r>
      <w:r w:rsidR="008F4F07" w:rsidRPr="005F77D8">
        <w:t xml:space="preserve">cost </w:t>
      </w:r>
      <w:r w:rsidRPr="005F77D8">
        <w:t>becomes significant.</w:t>
      </w:r>
    </w:p>
    <w:p w14:paraId="4C2D4251" w14:textId="166C003B" w:rsidR="00566B4D" w:rsidRPr="005C1038" w:rsidRDefault="00141987" w:rsidP="00566B4D">
      <w:pPr>
        <w:pStyle w:val="Heading2"/>
      </w:pPr>
      <w:r>
        <w:t xml:space="preserve">Results </w:t>
      </w:r>
      <w:r w:rsidR="00566B4D" w:rsidRPr="005C1038">
        <w:t>Part B: Bucket Average Computation</w:t>
      </w:r>
    </w:p>
    <w:tbl>
      <w:tblPr>
        <w:tblStyle w:val="TableGrid"/>
        <w:tblW w:w="0" w:type="auto"/>
        <w:tblLook w:val="04A0" w:firstRow="1" w:lastRow="0" w:firstColumn="1" w:lastColumn="0" w:noHBand="0" w:noVBand="1"/>
      </w:tblPr>
      <w:tblGrid>
        <w:gridCol w:w="1524"/>
        <w:gridCol w:w="817"/>
        <w:gridCol w:w="817"/>
        <w:gridCol w:w="817"/>
        <w:gridCol w:w="830"/>
      </w:tblGrid>
      <w:tr w:rsidR="00566B4D" w:rsidRPr="00FF6825" w14:paraId="039785EC" w14:textId="77777777" w:rsidTr="004A78F7">
        <w:tc>
          <w:tcPr>
            <w:tcW w:w="0" w:type="auto"/>
          </w:tcPr>
          <w:p w14:paraId="217FCBEB" w14:textId="77777777" w:rsidR="00566B4D" w:rsidRDefault="00566B4D" w:rsidP="004A78F7">
            <w:pPr>
              <w:jc w:val="center"/>
            </w:pPr>
          </w:p>
        </w:tc>
        <w:tc>
          <w:tcPr>
            <w:tcW w:w="0" w:type="auto"/>
            <w:gridSpan w:val="3"/>
          </w:tcPr>
          <w:p w14:paraId="3EBEBC94" w14:textId="77777777" w:rsidR="00566B4D" w:rsidRDefault="00566B4D" w:rsidP="004A78F7">
            <w:pPr>
              <w:jc w:val="center"/>
            </w:pPr>
            <w:r>
              <w:t>mpi</w:t>
            </w:r>
          </w:p>
        </w:tc>
        <w:tc>
          <w:tcPr>
            <w:tcW w:w="0" w:type="auto"/>
          </w:tcPr>
          <w:p w14:paraId="36555B2C" w14:textId="77777777" w:rsidR="00566B4D" w:rsidRDefault="00566B4D" w:rsidP="004A78F7">
            <w:pPr>
              <w:jc w:val="left"/>
            </w:pPr>
            <w:r>
              <w:t>Serial</w:t>
            </w:r>
          </w:p>
        </w:tc>
      </w:tr>
      <w:tr w:rsidR="00566B4D" w:rsidRPr="00FF6825" w14:paraId="616C175A" w14:textId="77777777" w:rsidTr="004A78F7">
        <w:tc>
          <w:tcPr>
            <w:tcW w:w="0" w:type="auto"/>
          </w:tcPr>
          <w:p w14:paraId="66F96787" w14:textId="77777777" w:rsidR="00566B4D" w:rsidRPr="00FF6825" w:rsidRDefault="00566B4D" w:rsidP="004A78F7">
            <w:pPr>
              <w:jc w:val="center"/>
            </w:pPr>
            <w:r>
              <w:t>input \ cores</w:t>
            </w:r>
          </w:p>
        </w:tc>
        <w:tc>
          <w:tcPr>
            <w:tcW w:w="0" w:type="auto"/>
          </w:tcPr>
          <w:p w14:paraId="09059A1C" w14:textId="77777777" w:rsidR="00566B4D" w:rsidRPr="00FF6825" w:rsidRDefault="00566B4D" w:rsidP="004A78F7">
            <w:pPr>
              <w:jc w:val="center"/>
            </w:pPr>
            <w:r>
              <w:t>50</w:t>
            </w:r>
          </w:p>
        </w:tc>
        <w:tc>
          <w:tcPr>
            <w:tcW w:w="0" w:type="auto"/>
          </w:tcPr>
          <w:p w14:paraId="36F5E583" w14:textId="77777777" w:rsidR="00566B4D" w:rsidRPr="00FF6825" w:rsidRDefault="00566B4D" w:rsidP="004A78F7">
            <w:pPr>
              <w:jc w:val="center"/>
            </w:pPr>
            <w:r>
              <w:t>100</w:t>
            </w:r>
          </w:p>
        </w:tc>
        <w:tc>
          <w:tcPr>
            <w:tcW w:w="0" w:type="auto"/>
          </w:tcPr>
          <w:p w14:paraId="1272950E" w14:textId="77777777" w:rsidR="00566B4D" w:rsidRPr="00FF6825" w:rsidRDefault="00566B4D" w:rsidP="004A78F7">
            <w:pPr>
              <w:jc w:val="center"/>
            </w:pPr>
            <w:r>
              <w:t>200</w:t>
            </w:r>
          </w:p>
        </w:tc>
        <w:tc>
          <w:tcPr>
            <w:tcW w:w="0" w:type="auto"/>
          </w:tcPr>
          <w:p w14:paraId="50CCF1FB" w14:textId="77777777" w:rsidR="00566B4D" w:rsidRPr="00FF6825" w:rsidRDefault="00566B4D" w:rsidP="004A78F7">
            <w:pPr>
              <w:jc w:val="left"/>
            </w:pPr>
            <w:r>
              <w:t>1</w:t>
            </w:r>
          </w:p>
        </w:tc>
      </w:tr>
      <w:tr w:rsidR="00566B4D" w:rsidRPr="00FF6825" w14:paraId="5CABF4AE" w14:textId="77777777" w:rsidTr="004A78F7">
        <w:tc>
          <w:tcPr>
            <w:tcW w:w="0" w:type="auto"/>
          </w:tcPr>
          <w:p w14:paraId="0AC8CA7D" w14:textId="77777777" w:rsidR="00566B4D" w:rsidRPr="00FF6825" w:rsidRDefault="00566B4D" w:rsidP="004A78F7">
            <w:pPr>
              <w:jc w:val="center"/>
            </w:pPr>
            <w:r>
              <w:t>1000</w:t>
            </w:r>
          </w:p>
        </w:tc>
        <w:tc>
          <w:tcPr>
            <w:tcW w:w="0" w:type="auto"/>
          </w:tcPr>
          <w:p w14:paraId="540CDB60" w14:textId="77777777" w:rsidR="00566B4D" w:rsidRPr="00FF6825" w:rsidRDefault="00566B4D" w:rsidP="004A78F7">
            <w:pPr>
              <w:jc w:val="center"/>
            </w:pPr>
            <w:r>
              <w:t>0.054</w:t>
            </w:r>
          </w:p>
        </w:tc>
        <w:tc>
          <w:tcPr>
            <w:tcW w:w="0" w:type="auto"/>
          </w:tcPr>
          <w:p w14:paraId="0C48D409" w14:textId="77777777" w:rsidR="00566B4D" w:rsidRPr="00FF6825" w:rsidRDefault="00566B4D" w:rsidP="004A78F7">
            <w:pPr>
              <w:jc w:val="center"/>
            </w:pPr>
            <w:r>
              <w:t>0.451</w:t>
            </w:r>
          </w:p>
        </w:tc>
        <w:tc>
          <w:tcPr>
            <w:tcW w:w="0" w:type="auto"/>
          </w:tcPr>
          <w:p w14:paraId="60FB0ECC" w14:textId="77777777" w:rsidR="00566B4D" w:rsidRPr="00FF6825" w:rsidRDefault="00566B4D" w:rsidP="004A78F7">
            <w:pPr>
              <w:jc w:val="center"/>
            </w:pPr>
            <w:r w:rsidRPr="003821C9">
              <w:t>3.1</w:t>
            </w:r>
            <w:r>
              <w:t>1</w:t>
            </w:r>
            <w:r w:rsidRPr="003821C9">
              <w:t>0</w:t>
            </w:r>
          </w:p>
        </w:tc>
        <w:tc>
          <w:tcPr>
            <w:tcW w:w="0" w:type="auto"/>
          </w:tcPr>
          <w:p w14:paraId="1A73846C" w14:textId="77777777" w:rsidR="00566B4D" w:rsidRPr="00FF6825" w:rsidRDefault="00566B4D" w:rsidP="004A78F7">
            <w:pPr>
              <w:jc w:val="left"/>
            </w:pPr>
            <w:r w:rsidRPr="00A53DF8">
              <w:t>0.000</w:t>
            </w:r>
          </w:p>
        </w:tc>
      </w:tr>
      <w:tr w:rsidR="00566B4D" w:rsidRPr="00FF6825" w14:paraId="3C091DCD" w14:textId="77777777" w:rsidTr="004A78F7">
        <w:tc>
          <w:tcPr>
            <w:tcW w:w="0" w:type="auto"/>
          </w:tcPr>
          <w:p w14:paraId="4BD6A20F" w14:textId="77777777" w:rsidR="00566B4D" w:rsidRPr="00FF6825" w:rsidRDefault="00566B4D" w:rsidP="004A78F7">
            <w:pPr>
              <w:jc w:val="center"/>
            </w:pPr>
            <w:r>
              <w:t>50000</w:t>
            </w:r>
          </w:p>
        </w:tc>
        <w:tc>
          <w:tcPr>
            <w:tcW w:w="0" w:type="auto"/>
          </w:tcPr>
          <w:p w14:paraId="0413F40B" w14:textId="77777777" w:rsidR="00566B4D" w:rsidRPr="00FF6825" w:rsidRDefault="00566B4D" w:rsidP="004A78F7">
            <w:pPr>
              <w:jc w:val="center"/>
            </w:pPr>
            <w:r>
              <w:t>0.037</w:t>
            </w:r>
          </w:p>
        </w:tc>
        <w:tc>
          <w:tcPr>
            <w:tcW w:w="0" w:type="auto"/>
          </w:tcPr>
          <w:p w14:paraId="0C85EE44" w14:textId="77777777" w:rsidR="00566B4D" w:rsidRPr="00FF6825" w:rsidRDefault="00566B4D" w:rsidP="004A78F7">
            <w:pPr>
              <w:jc w:val="center"/>
            </w:pPr>
            <w:r w:rsidRPr="003821C9">
              <w:t>0.4</w:t>
            </w:r>
            <w:r>
              <w:t>79</w:t>
            </w:r>
          </w:p>
        </w:tc>
        <w:tc>
          <w:tcPr>
            <w:tcW w:w="0" w:type="auto"/>
          </w:tcPr>
          <w:p w14:paraId="091256E3" w14:textId="77777777" w:rsidR="00566B4D" w:rsidRPr="00FF6825" w:rsidRDefault="00566B4D" w:rsidP="004A78F7">
            <w:pPr>
              <w:jc w:val="center"/>
            </w:pPr>
            <w:r w:rsidRPr="003821C9">
              <w:t>3.1</w:t>
            </w:r>
            <w:r>
              <w:t>99</w:t>
            </w:r>
          </w:p>
        </w:tc>
        <w:tc>
          <w:tcPr>
            <w:tcW w:w="0" w:type="auto"/>
          </w:tcPr>
          <w:p w14:paraId="1F9BEE13" w14:textId="77777777" w:rsidR="00566B4D" w:rsidRPr="00FF6825" w:rsidRDefault="00566B4D" w:rsidP="004A78F7">
            <w:pPr>
              <w:jc w:val="left"/>
            </w:pPr>
            <w:r w:rsidRPr="00A53DF8">
              <w:t>0.00</w:t>
            </w:r>
            <w:r>
              <w:t>3</w:t>
            </w:r>
          </w:p>
        </w:tc>
      </w:tr>
      <w:tr w:rsidR="00566B4D" w:rsidRPr="00FF6825" w14:paraId="373FA008" w14:textId="77777777" w:rsidTr="004A78F7">
        <w:tc>
          <w:tcPr>
            <w:tcW w:w="0" w:type="auto"/>
          </w:tcPr>
          <w:p w14:paraId="44C92594" w14:textId="77777777" w:rsidR="00566B4D" w:rsidRPr="00FF6825" w:rsidRDefault="00566B4D" w:rsidP="004A78F7">
            <w:pPr>
              <w:jc w:val="center"/>
            </w:pPr>
            <w:r>
              <w:t>100000</w:t>
            </w:r>
          </w:p>
        </w:tc>
        <w:tc>
          <w:tcPr>
            <w:tcW w:w="0" w:type="auto"/>
          </w:tcPr>
          <w:p w14:paraId="73B36C04" w14:textId="77777777" w:rsidR="00566B4D" w:rsidRPr="00FF6825" w:rsidRDefault="00566B4D" w:rsidP="004A78F7">
            <w:pPr>
              <w:jc w:val="center"/>
            </w:pPr>
            <w:r>
              <w:t>0.024</w:t>
            </w:r>
          </w:p>
        </w:tc>
        <w:tc>
          <w:tcPr>
            <w:tcW w:w="0" w:type="auto"/>
          </w:tcPr>
          <w:p w14:paraId="4543B9B5" w14:textId="77777777" w:rsidR="00566B4D" w:rsidRPr="00FF6825" w:rsidRDefault="00566B4D" w:rsidP="004A78F7">
            <w:pPr>
              <w:jc w:val="center"/>
            </w:pPr>
            <w:r w:rsidRPr="003821C9">
              <w:t>0.4</w:t>
            </w:r>
            <w:r>
              <w:t>63</w:t>
            </w:r>
          </w:p>
        </w:tc>
        <w:tc>
          <w:tcPr>
            <w:tcW w:w="0" w:type="auto"/>
          </w:tcPr>
          <w:p w14:paraId="52383017" w14:textId="77777777" w:rsidR="00566B4D" w:rsidRPr="00FF6825" w:rsidRDefault="00566B4D" w:rsidP="004A78F7">
            <w:pPr>
              <w:jc w:val="center"/>
            </w:pPr>
            <w:r w:rsidRPr="003821C9">
              <w:t>3.</w:t>
            </w:r>
            <w:r>
              <w:t>179</w:t>
            </w:r>
          </w:p>
        </w:tc>
        <w:tc>
          <w:tcPr>
            <w:tcW w:w="0" w:type="auto"/>
          </w:tcPr>
          <w:p w14:paraId="5099CC4E" w14:textId="77777777" w:rsidR="00566B4D" w:rsidRPr="00FF6825" w:rsidRDefault="00566B4D" w:rsidP="004A78F7">
            <w:pPr>
              <w:jc w:val="left"/>
            </w:pPr>
            <w:r w:rsidRPr="00A53DF8">
              <w:t>0.00</w:t>
            </w:r>
            <w:r>
              <w:t>7</w:t>
            </w:r>
          </w:p>
        </w:tc>
      </w:tr>
      <w:tr w:rsidR="00566B4D" w:rsidRPr="00FF6825" w14:paraId="0CCA45FA" w14:textId="77777777" w:rsidTr="004A78F7">
        <w:tc>
          <w:tcPr>
            <w:tcW w:w="0" w:type="auto"/>
          </w:tcPr>
          <w:p w14:paraId="1EEB28A0" w14:textId="77777777" w:rsidR="00566B4D" w:rsidRPr="00FF6825" w:rsidRDefault="00566B4D" w:rsidP="004A78F7">
            <w:pPr>
              <w:jc w:val="center"/>
            </w:pPr>
            <w:r>
              <w:t>150000</w:t>
            </w:r>
          </w:p>
        </w:tc>
        <w:tc>
          <w:tcPr>
            <w:tcW w:w="0" w:type="auto"/>
          </w:tcPr>
          <w:p w14:paraId="3E82542C" w14:textId="77777777" w:rsidR="00566B4D" w:rsidRPr="00FF6825" w:rsidRDefault="00566B4D" w:rsidP="004A78F7">
            <w:pPr>
              <w:jc w:val="center"/>
            </w:pPr>
            <w:r>
              <w:t>0.021</w:t>
            </w:r>
          </w:p>
        </w:tc>
        <w:tc>
          <w:tcPr>
            <w:tcW w:w="0" w:type="auto"/>
          </w:tcPr>
          <w:p w14:paraId="28E3F1DB" w14:textId="77777777" w:rsidR="00566B4D" w:rsidRPr="00FF6825" w:rsidRDefault="00566B4D" w:rsidP="004A78F7">
            <w:pPr>
              <w:jc w:val="center"/>
            </w:pPr>
            <w:r w:rsidRPr="003821C9">
              <w:t>0.4</w:t>
            </w:r>
            <w:r>
              <w:t>49</w:t>
            </w:r>
          </w:p>
        </w:tc>
        <w:tc>
          <w:tcPr>
            <w:tcW w:w="0" w:type="auto"/>
          </w:tcPr>
          <w:p w14:paraId="4BC2182E" w14:textId="77777777" w:rsidR="00566B4D" w:rsidRPr="00FF6825" w:rsidRDefault="00566B4D" w:rsidP="004A78F7">
            <w:pPr>
              <w:jc w:val="center"/>
            </w:pPr>
            <w:r w:rsidRPr="003821C9">
              <w:t>3.1</w:t>
            </w:r>
            <w:r>
              <w:t>69</w:t>
            </w:r>
          </w:p>
        </w:tc>
        <w:tc>
          <w:tcPr>
            <w:tcW w:w="0" w:type="auto"/>
          </w:tcPr>
          <w:p w14:paraId="70266A56" w14:textId="77777777" w:rsidR="00566B4D" w:rsidRPr="00FF6825" w:rsidRDefault="00566B4D" w:rsidP="004A78F7">
            <w:pPr>
              <w:jc w:val="left"/>
            </w:pPr>
            <w:r w:rsidRPr="00A53DF8">
              <w:t>0.0</w:t>
            </w:r>
            <w:r>
              <w:t>11</w:t>
            </w:r>
          </w:p>
        </w:tc>
      </w:tr>
    </w:tbl>
    <w:p w14:paraId="46EB4E7A" w14:textId="77777777" w:rsidR="00566B4D" w:rsidRDefault="00566B4D" w:rsidP="00566B4D"/>
    <w:p w14:paraId="146C35ED" w14:textId="77777777" w:rsidR="008F4F07" w:rsidRPr="008F4F07" w:rsidRDefault="00EB3A15" w:rsidP="008F4F07">
      <w:r>
        <w:rPr>
          <w:noProof/>
        </w:rPr>
        <w:lastRenderedPageBreak/>
        <w:drawing>
          <wp:inline distT="0" distB="0" distL="0" distR="0" wp14:anchorId="40C8E335" wp14:editId="4F537268">
            <wp:extent cx="3740727" cy="2229395"/>
            <wp:effectExtent l="0" t="0" r="0" b="0"/>
            <wp:docPr id="1682637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4448" cy="2243532"/>
                    </a:xfrm>
                    <a:prstGeom prst="rect">
                      <a:avLst/>
                    </a:prstGeom>
                    <a:noFill/>
                    <a:ln>
                      <a:noFill/>
                    </a:ln>
                  </pic:spPr>
                </pic:pic>
              </a:graphicData>
            </a:graphic>
          </wp:inline>
        </w:drawing>
      </w:r>
      <w:r w:rsidR="00E523DB">
        <w:br/>
      </w:r>
      <w:r w:rsidR="008F4F07" w:rsidRPr="008F4F07">
        <w:t>The second set of data focuses on the bucket-average implementations, comparing a serial version with a parallel MPI version. In this problem, pairs of integers are grouped into buckets by their first key, and the average of the second keys is computed for each bucket. As with the first problem, small inputs favored the serial implementation because of its minimal overhead. However, for larger inputs, the parallel version benefited from distributing the workload of summing and averaging across multiple cores. With 50 or 100 cores, the MPI version generally outperformed the serial approach once the input reached a certain size. Yet, increasing the core count to 200 did not always lead to faster runtimes, again due to communication and coordination overhead.</w:t>
      </w:r>
    </w:p>
    <w:p w14:paraId="165D6FA9" w14:textId="77777777" w:rsidR="008F4F07" w:rsidRPr="008F4F07" w:rsidRDefault="008F4F07" w:rsidP="008F4F07">
      <w:r w:rsidRPr="008F4F07">
        <w:t>Overall, these observations highlight the delicate balance between computation and communication in parallel applications. For small data sets, the cost of initializing and coordinating parallel processes outweighs the benefits of distributing the computation. In contrast, larger data sets provide enough work for each processor to make parallelization advantageous, even if diminishing returns occur when adding more processors beyond a certain point.</w:t>
      </w:r>
    </w:p>
    <w:p w14:paraId="19916077" w14:textId="77777777" w:rsidR="008F4F07" w:rsidRPr="008F4F07" w:rsidRDefault="008F4F07" w:rsidP="008F4F07">
      <w:r w:rsidRPr="008F4F07">
        <w:t>The comparisons between point-to-point and collective MPI implementations reveal that while both approaches have merits, collective communication can offer performance benefits by simplifying data distribution and aggregation. This is particularly true for larger input sizes where the overhead associated with individual message passing in the point-to-point approach becomes more pronounced.</w:t>
      </w:r>
    </w:p>
    <w:p w14:paraId="149645C6" w14:textId="3890430C" w:rsidR="00806AFE" w:rsidRDefault="008F4F07" w:rsidP="006F285D">
      <w:r w:rsidRPr="008F4F07">
        <w:t xml:space="preserve">In conclusion, the data clearly demonstrate that the effectiveness of parallelization is heavily dependent on the problem size. For smaller inputs, serial implementations are more efficient due to lower overhead. For larger inputs, parallel implementations show significant performance improvements, though these gains eventually plateau as communication overhead increases with additional cores. This analysis underlines the importance of selecting an appropriate number of processors and communication </w:t>
      </w:r>
      <w:r w:rsidR="00F84917">
        <w:t>strategies</w:t>
      </w:r>
      <w:r w:rsidRPr="008F4F07">
        <w:t xml:space="preserve"> to optimize performance in parallel computing tasks.</w:t>
      </w:r>
    </w:p>
    <w:sectPr w:rsidR="00806AF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1E599" w14:textId="77777777" w:rsidR="00AC79CA" w:rsidRDefault="00AC79CA" w:rsidP="00EB3A15">
      <w:pPr>
        <w:spacing w:after="0" w:line="240" w:lineRule="auto"/>
      </w:pPr>
      <w:r>
        <w:separator/>
      </w:r>
    </w:p>
  </w:endnote>
  <w:endnote w:type="continuationSeparator" w:id="0">
    <w:p w14:paraId="225F9864" w14:textId="77777777" w:rsidR="00AC79CA" w:rsidRDefault="00AC79CA" w:rsidP="00EB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673952"/>
      <w:docPartObj>
        <w:docPartGallery w:val="Page Numbers (Bottom of Page)"/>
        <w:docPartUnique/>
      </w:docPartObj>
    </w:sdtPr>
    <w:sdtEndPr>
      <w:rPr>
        <w:noProof/>
      </w:rPr>
    </w:sdtEndPr>
    <w:sdtContent>
      <w:p w14:paraId="2B8CCA0C" w14:textId="703991ED" w:rsidR="00EB3A15" w:rsidRDefault="00EB3A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F44D2" w14:textId="77777777" w:rsidR="00EB3A15" w:rsidRDefault="00EB3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A617F" w14:textId="77777777" w:rsidR="00AC79CA" w:rsidRDefault="00AC79CA" w:rsidP="00EB3A15">
      <w:pPr>
        <w:spacing w:after="0" w:line="240" w:lineRule="auto"/>
      </w:pPr>
      <w:r>
        <w:separator/>
      </w:r>
    </w:p>
  </w:footnote>
  <w:footnote w:type="continuationSeparator" w:id="0">
    <w:p w14:paraId="23F857E1" w14:textId="77777777" w:rsidR="00AC79CA" w:rsidRDefault="00AC79CA" w:rsidP="00EB3A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0D"/>
    <w:rsid w:val="00141987"/>
    <w:rsid w:val="001817E8"/>
    <w:rsid w:val="00261832"/>
    <w:rsid w:val="00302CAD"/>
    <w:rsid w:val="003B24FD"/>
    <w:rsid w:val="004656B4"/>
    <w:rsid w:val="00566B4D"/>
    <w:rsid w:val="005F77D8"/>
    <w:rsid w:val="006942D6"/>
    <w:rsid w:val="006E4912"/>
    <w:rsid w:val="006F285D"/>
    <w:rsid w:val="00806AFE"/>
    <w:rsid w:val="00857449"/>
    <w:rsid w:val="008F4F07"/>
    <w:rsid w:val="00A722F4"/>
    <w:rsid w:val="00AC79CA"/>
    <w:rsid w:val="00B0171E"/>
    <w:rsid w:val="00BB1F5A"/>
    <w:rsid w:val="00C22B5B"/>
    <w:rsid w:val="00D455C8"/>
    <w:rsid w:val="00DF6120"/>
    <w:rsid w:val="00E523DB"/>
    <w:rsid w:val="00EA6E8A"/>
    <w:rsid w:val="00EB39D5"/>
    <w:rsid w:val="00EB3A15"/>
    <w:rsid w:val="00F2013D"/>
    <w:rsid w:val="00F84917"/>
    <w:rsid w:val="00FE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11578"/>
  <w15:chartTrackingRefBased/>
  <w15:docId w15:val="{E2E441C9-AB48-4031-A3D4-9F0F1605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B4D"/>
    <w:pPr>
      <w:jc w:val="both"/>
    </w:pPr>
    <w:rPr>
      <w:rFonts w:ascii="Arial" w:hAnsi="Arial"/>
    </w:rPr>
  </w:style>
  <w:style w:type="paragraph" w:styleId="Heading1">
    <w:name w:val="heading 1"/>
    <w:basedOn w:val="Normal"/>
    <w:next w:val="Normal"/>
    <w:link w:val="Heading1Char"/>
    <w:uiPriority w:val="9"/>
    <w:qFormat/>
    <w:rsid w:val="00806AFE"/>
    <w:pPr>
      <w:keepNext/>
      <w:keepLines/>
      <w:spacing w:before="360" w:after="80"/>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806AFE"/>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D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D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5D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5D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5D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5D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5D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06AFE"/>
    <w:pPr>
      <w:spacing w:after="0" w:line="240" w:lineRule="auto"/>
    </w:pPr>
    <w:rPr>
      <w:rFonts w:ascii="Arial" w:hAnsi="Arial"/>
    </w:rPr>
  </w:style>
  <w:style w:type="character" w:customStyle="1" w:styleId="Heading1Char">
    <w:name w:val="Heading 1 Char"/>
    <w:basedOn w:val="DefaultParagraphFont"/>
    <w:link w:val="Heading1"/>
    <w:uiPriority w:val="9"/>
    <w:rsid w:val="00806AFE"/>
    <w:rPr>
      <w:rFonts w:ascii="Arial" w:eastAsiaTheme="majorEastAsia" w:hAnsi="Arial" w:cstheme="majorBidi"/>
      <w:color w:val="0F4761" w:themeColor="accent1" w:themeShade="BF"/>
      <w:sz w:val="36"/>
      <w:szCs w:val="40"/>
    </w:rPr>
  </w:style>
  <w:style w:type="paragraph" w:styleId="Title">
    <w:name w:val="Title"/>
    <w:basedOn w:val="Normal"/>
    <w:next w:val="Normal"/>
    <w:link w:val="TitleChar"/>
    <w:uiPriority w:val="10"/>
    <w:qFormat/>
    <w:rsid w:val="00D455C8"/>
    <w:pPr>
      <w:spacing w:after="8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455C8"/>
    <w:rPr>
      <w:rFonts w:ascii="Arial" w:eastAsiaTheme="majorEastAsia" w:hAnsi="Arial" w:cstheme="majorBidi"/>
      <w:spacing w:val="-10"/>
      <w:kern w:val="28"/>
      <w:sz w:val="40"/>
      <w:szCs w:val="56"/>
    </w:rPr>
  </w:style>
  <w:style w:type="character" w:customStyle="1" w:styleId="Heading2Char">
    <w:name w:val="Heading 2 Char"/>
    <w:basedOn w:val="DefaultParagraphFont"/>
    <w:link w:val="Heading2"/>
    <w:uiPriority w:val="9"/>
    <w:rsid w:val="00806AFE"/>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D0D"/>
    <w:rPr>
      <w:rFonts w:eastAsiaTheme="majorEastAsia" w:cstheme="majorBidi"/>
      <w:color w:val="272727" w:themeColor="text1" w:themeTint="D8"/>
    </w:rPr>
  </w:style>
  <w:style w:type="paragraph" w:styleId="Subtitle">
    <w:name w:val="Subtitle"/>
    <w:basedOn w:val="Normal"/>
    <w:next w:val="Normal"/>
    <w:link w:val="SubtitleChar"/>
    <w:uiPriority w:val="11"/>
    <w:qFormat/>
    <w:rsid w:val="00FE5D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D0D"/>
    <w:pPr>
      <w:spacing w:before="160"/>
      <w:jc w:val="center"/>
    </w:pPr>
    <w:rPr>
      <w:i/>
      <w:iCs/>
      <w:color w:val="404040" w:themeColor="text1" w:themeTint="BF"/>
    </w:rPr>
  </w:style>
  <w:style w:type="character" w:customStyle="1" w:styleId="QuoteChar">
    <w:name w:val="Quote Char"/>
    <w:basedOn w:val="DefaultParagraphFont"/>
    <w:link w:val="Quote"/>
    <w:uiPriority w:val="29"/>
    <w:rsid w:val="00FE5D0D"/>
    <w:rPr>
      <w:rFonts w:ascii="Arial" w:hAnsi="Arial"/>
      <w:i/>
      <w:iCs/>
      <w:color w:val="404040" w:themeColor="text1" w:themeTint="BF"/>
    </w:rPr>
  </w:style>
  <w:style w:type="paragraph" w:styleId="ListParagraph">
    <w:name w:val="List Paragraph"/>
    <w:basedOn w:val="Normal"/>
    <w:uiPriority w:val="34"/>
    <w:qFormat/>
    <w:rsid w:val="00FE5D0D"/>
    <w:pPr>
      <w:ind w:left="720"/>
      <w:contextualSpacing/>
    </w:pPr>
  </w:style>
  <w:style w:type="character" w:styleId="IntenseEmphasis">
    <w:name w:val="Intense Emphasis"/>
    <w:basedOn w:val="DefaultParagraphFont"/>
    <w:uiPriority w:val="21"/>
    <w:qFormat/>
    <w:rsid w:val="00FE5D0D"/>
    <w:rPr>
      <w:i/>
      <w:iCs/>
      <w:color w:val="0F4761" w:themeColor="accent1" w:themeShade="BF"/>
    </w:rPr>
  </w:style>
  <w:style w:type="paragraph" w:styleId="IntenseQuote">
    <w:name w:val="Intense Quote"/>
    <w:basedOn w:val="Normal"/>
    <w:next w:val="Normal"/>
    <w:link w:val="IntenseQuoteChar"/>
    <w:uiPriority w:val="30"/>
    <w:qFormat/>
    <w:rsid w:val="00FE5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D0D"/>
    <w:rPr>
      <w:rFonts w:ascii="Arial" w:hAnsi="Arial"/>
      <w:i/>
      <w:iCs/>
      <w:color w:val="0F4761" w:themeColor="accent1" w:themeShade="BF"/>
    </w:rPr>
  </w:style>
  <w:style w:type="character" w:styleId="IntenseReference">
    <w:name w:val="Intense Reference"/>
    <w:basedOn w:val="DefaultParagraphFont"/>
    <w:uiPriority w:val="32"/>
    <w:qFormat/>
    <w:rsid w:val="00FE5D0D"/>
    <w:rPr>
      <w:b/>
      <w:bCs/>
      <w:smallCaps/>
      <w:color w:val="0F4761" w:themeColor="accent1" w:themeShade="BF"/>
      <w:spacing w:val="5"/>
    </w:rPr>
  </w:style>
  <w:style w:type="table" w:styleId="TableGrid">
    <w:name w:val="Table Grid"/>
    <w:basedOn w:val="TableNormal"/>
    <w:uiPriority w:val="39"/>
    <w:rsid w:val="00566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6B4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EB3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A15"/>
    <w:rPr>
      <w:rFonts w:ascii="Arial" w:hAnsi="Arial"/>
    </w:rPr>
  </w:style>
  <w:style w:type="paragraph" w:styleId="Footer">
    <w:name w:val="footer"/>
    <w:basedOn w:val="Normal"/>
    <w:link w:val="FooterChar"/>
    <w:uiPriority w:val="99"/>
    <w:unhideWhenUsed/>
    <w:rsid w:val="00EB3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A1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706615">
      <w:bodyDiv w:val="1"/>
      <w:marLeft w:val="0"/>
      <w:marRight w:val="0"/>
      <w:marTop w:val="0"/>
      <w:marBottom w:val="0"/>
      <w:divBdr>
        <w:top w:val="none" w:sz="0" w:space="0" w:color="auto"/>
        <w:left w:val="none" w:sz="0" w:space="0" w:color="auto"/>
        <w:bottom w:val="none" w:sz="0" w:space="0" w:color="auto"/>
        <w:right w:val="none" w:sz="0" w:space="0" w:color="auto"/>
      </w:divBdr>
    </w:div>
    <w:div w:id="1137802626">
      <w:bodyDiv w:val="1"/>
      <w:marLeft w:val="0"/>
      <w:marRight w:val="0"/>
      <w:marTop w:val="0"/>
      <w:marBottom w:val="0"/>
      <w:divBdr>
        <w:top w:val="none" w:sz="0" w:space="0" w:color="auto"/>
        <w:left w:val="none" w:sz="0" w:space="0" w:color="auto"/>
        <w:bottom w:val="none" w:sz="0" w:space="0" w:color="auto"/>
        <w:right w:val="none" w:sz="0" w:space="0" w:color="auto"/>
      </w:divBdr>
    </w:div>
    <w:div w:id="1564832286">
      <w:bodyDiv w:val="1"/>
      <w:marLeft w:val="0"/>
      <w:marRight w:val="0"/>
      <w:marTop w:val="0"/>
      <w:marBottom w:val="0"/>
      <w:divBdr>
        <w:top w:val="none" w:sz="0" w:space="0" w:color="auto"/>
        <w:left w:val="none" w:sz="0" w:space="0" w:color="auto"/>
        <w:bottom w:val="none" w:sz="0" w:space="0" w:color="auto"/>
        <w:right w:val="none" w:sz="0" w:space="0" w:color="auto"/>
      </w:divBdr>
    </w:div>
    <w:div w:id="18276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844</Words>
  <Characters>4946</Characters>
  <Application>Microsoft Office Word</Application>
  <DocSecurity>0</DocSecurity>
  <Lines>154</Lines>
  <Paragraphs>103</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17</cp:revision>
  <dcterms:created xsi:type="dcterms:W3CDTF">2025-03-24T21:14:00Z</dcterms:created>
  <dcterms:modified xsi:type="dcterms:W3CDTF">2025-03-24T21:57:00Z</dcterms:modified>
</cp:coreProperties>
</file>