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DD6C" w14:textId="070642BC" w:rsidR="004703C4" w:rsidRDefault="004703C4" w:rsidP="000D0223">
      <w:pPr>
        <w:pStyle w:val="Title"/>
      </w:pPr>
      <w:r>
        <w:t>CS426 Project 2</w:t>
      </w:r>
      <w:r w:rsidRPr="000D0223">
        <w:t xml:space="preserve"> - </w:t>
      </w:r>
      <w:r w:rsidR="006A3613" w:rsidRPr="000D0223">
        <w:t xml:space="preserve">Parallel </w:t>
      </w:r>
      <w:r w:rsidR="00D27699" w:rsidRPr="000D0223">
        <w:t>Conjugate</w:t>
      </w:r>
      <w:r w:rsidR="00D27699">
        <w:t xml:space="preserve"> Gradient</w:t>
      </w:r>
    </w:p>
    <w:p w14:paraId="4F2CC32F" w14:textId="015220D7" w:rsidR="00A32C03" w:rsidRDefault="00A32C03" w:rsidP="000D0223">
      <w:pPr>
        <w:pStyle w:val="Heading1"/>
      </w:pPr>
      <w:r>
        <w:t>I</w:t>
      </w:r>
      <w:r w:rsidR="009B22F2">
        <w:t>mplementation</w:t>
      </w:r>
      <w:r w:rsidR="0000366D">
        <w:t xml:space="preserve"> and Setup</w:t>
      </w:r>
    </w:p>
    <w:p w14:paraId="58F11844" w14:textId="5F5CED46" w:rsidR="00601305" w:rsidRPr="00601305" w:rsidRDefault="00601305" w:rsidP="00601305">
      <w:r w:rsidRPr="00601305">
        <w:t>The serial implementation begins by parsing command</w:t>
      </w:r>
      <w:r w:rsidRPr="00601305">
        <w:rPr>
          <w:rFonts w:ascii="Cambria Math" w:hAnsi="Cambria Math" w:cs="Cambria Math"/>
        </w:rPr>
        <w:t>‐</w:t>
      </w:r>
      <w:r w:rsidRPr="00601305">
        <w:t>line arguments to identify the input and (optionally) output filenames, then reads the matrix dimension N followed by the N×N</w:t>
      </w:r>
      <w:r>
        <w:t xml:space="preserve"> </w:t>
      </w:r>
      <w:r w:rsidRPr="00601305">
        <w:t xml:space="preserve">entries of A and the N-vector b. It allocates contiguous arrays for all vectors and the dense matrix, initializing the solution guess x to zero and setting the residual r=b. The core of the code executes the standard Conjugate Gradient loop: it computes the matrix–vector product Ap, forms the step size α via the inner product of p and Ap, updates x and r, checks the Euclidean norm of the new residual for convergence, and then constructs the new search direction p using the ratio of squared norms. Timing is measured with </w:t>
      </w:r>
      <w:proofErr w:type="gramStart"/>
      <w:r w:rsidRPr="00601305">
        <w:rPr>
          <w:rFonts w:ascii="Consolas" w:hAnsi="Consolas"/>
        </w:rPr>
        <w:t>clock(</w:t>
      </w:r>
      <w:proofErr w:type="gramEnd"/>
      <w:r w:rsidRPr="00601305">
        <w:rPr>
          <w:rFonts w:ascii="Consolas" w:hAnsi="Consolas"/>
        </w:rPr>
        <w:t>)</w:t>
      </w:r>
      <w:r w:rsidRPr="00601305">
        <w:t xml:space="preserve"> around the iterative phase.</w:t>
      </w:r>
    </w:p>
    <w:p w14:paraId="0402A293" w14:textId="2ECCC367" w:rsidR="00581E3F" w:rsidRPr="0057300F" w:rsidRDefault="00601305" w:rsidP="00581E3F">
      <w:r w:rsidRPr="00601305">
        <w:t>The MPI</w:t>
      </w:r>
      <w:r w:rsidRPr="00601305">
        <w:rPr>
          <w:rFonts w:ascii="Cambria Math" w:hAnsi="Cambria Math" w:cs="Cambria Math"/>
        </w:rPr>
        <w:t>‐</w:t>
      </w:r>
      <w:r w:rsidRPr="00601305">
        <w:t xml:space="preserve">parallel version wraps a similar algorithm in distributed form. After </w:t>
      </w:r>
      <w:proofErr w:type="spellStart"/>
      <w:r w:rsidRPr="00601305">
        <w:rPr>
          <w:rFonts w:ascii="Consolas" w:hAnsi="Consolas"/>
        </w:rPr>
        <w:t>MPI_Init</w:t>
      </w:r>
      <w:proofErr w:type="spellEnd"/>
      <w:r w:rsidRPr="00601305">
        <w:t xml:space="preserve">, rank 0 reads and verifies the input, partitions rows evenly among the worker ranks, and </w:t>
      </w:r>
      <w:proofErr w:type="gramStart"/>
      <w:r w:rsidRPr="00601305">
        <w:t>sends each</w:t>
      </w:r>
      <w:proofErr w:type="gramEnd"/>
      <w:r w:rsidRPr="00601305">
        <w:t xml:space="preserve"> a block of A and b. All processes synchronize, and timing begins with </w:t>
      </w:r>
      <w:proofErr w:type="spellStart"/>
      <w:r w:rsidRPr="00601305">
        <w:rPr>
          <w:rFonts w:ascii="Consolas" w:hAnsi="Consolas"/>
        </w:rPr>
        <w:t>MPI_</w:t>
      </w:r>
      <w:proofErr w:type="gramStart"/>
      <w:r w:rsidRPr="00601305">
        <w:rPr>
          <w:rFonts w:ascii="Consolas" w:hAnsi="Consolas"/>
        </w:rPr>
        <w:t>Wtime</w:t>
      </w:r>
      <w:proofErr w:type="spellEnd"/>
      <w:r w:rsidRPr="00601305">
        <w:rPr>
          <w:rFonts w:ascii="Consolas" w:hAnsi="Consolas"/>
        </w:rPr>
        <w:t>(</w:t>
      </w:r>
      <w:proofErr w:type="gramEnd"/>
      <w:r w:rsidRPr="00601305">
        <w:rPr>
          <w:rFonts w:ascii="Consolas" w:hAnsi="Consolas"/>
        </w:rPr>
        <w:t>)</w:t>
      </w:r>
      <w:r w:rsidRPr="00601305">
        <w:t xml:space="preserve">. Each worker maintains its local piece of x, r, and p, and in each </w:t>
      </w:r>
      <w:r w:rsidR="006223F8" w:rsidRPr="00601305">
        <w:t>iteration,</w:t>
      </w:r>
      <w:r w:rsidRPr="00601305">
        <w:t xml:space="preserve"> they exchange partial p vectors via nonblocking </w:t>
      </w:r>
      <w:r w:rsidR="0000366D">
        <w:t>P2P</w:t>
      </w:r>
      <w:r w:rsidRPr="00601305">
        <w:t xml:space="preserve"> calls to assemble the full vector needed for the local sparse</w:t>
      </w:r>
      <w:r w:rsidRPr="00601305">
        <w:rPr>
          <w:rFonts w:ascii="Cambria Math" w:hAnsi="Cambria Math" w:cs="Cambria Math"/>
        </w:rPr>
        <w:t>‐</w:t>
      </w:r>
      <w:r w:rsidRPr="00601305">
        <w:t>matrix</w:t>
      </w:r>
      <w:r w:rsidRPr="00601305">
        <w:rPr>
          <w:rFonts w:cs="Arial"/>
        </w:rPr>
        <w:t>–</w:t>
      </w:r>
      <w:r w:rsidRPr="00601305">
        <w:t xml:space="preserve">vector multiply. They then compute local contributions to the dot products, combine them with </w:t>
      </w:r>
      <w:proofErr w:type="spellStart"/>
      <w:r w:rsidRPr="00601305">
        <w:rPr>
          <w:rFonts w:ascii="Consolas" w:hAnsi="Consolas"/>
        </w:rPr>
        <w:t>MPI_Allreduce</w:t>
      </w:r>
      <w:proofErr w:type="spellEnd"/>
      <w:r w:rsidRPr="00601305">
        <w:t>, update their local solution and residual, and rederive the new search direction. Once converged, all workers send their segment of x back to the master, which gathers the full solution, stops the timer, writes the output, and finalizes MPI</w:t>
      </w:r>
      <w:r w:rsidR="00581E3F">
        <w:t>.</w:t>
      </w:r>
    </w:p>
    <w:p w14:paraId="35FD41FE" w14:textId="08DA6698" w:rsidR="00807EAC" w:rsidRDefault="00807EAC" w:rsidP="00365E10">
      <w:r w:rsidRPr="00807EAC">
        <w:t>Strong scaling:</w:t>
      </w:r>
      <w:r w:rsidR="00751217"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and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="007807FF">
        <w:t xml:space="preserve"> where </w:t>
      </w:r>
      <m:oMath>
        <m:r>
          <w:rPr>
            <w:rFonts w:ascii="Cambria Math" w:hAnsi="Cambria Math"/>
          </w:rPr>
          <m:t>N</m:t>
        </m:r>
      </m:oMath>
      <w:r w:rsidR="007807FF">
        <w:t xml:space="preserve"> is the problem </w:t>
      </w:r>
      <w:r w:rsidR="004D64E7">
        <w:t xml:space="preserve">size describing the matrix </w:t>
      </w:r>
      <w:r w:rsidR="00FE4355">
        <w:t xml:space="preserve">which has a size of </w:t>
      </w:r>
      <m:oMath>
        <m:r>
          <w:rPr>
            <w:rFonts w:ascii="Cambria Math" w:hAnsi="Cambria Math"/>
          </w:rPr>
          <m:t>NxN</m:t>
        </m:r>
      </m:oMath>
      <w:r w:rsidR="00FE4355">
        <w:t xml:space="preserve"> and vector which has a size of </w:t>
      </w:r>
      <m:oMath>
        <m:r>
          <w:rPr>
            <w:rFonts w:ascii="Cambria Math" w:hAnsi="Cambria Math"/>
          </w:rPr>
          <m:t>N</m:t>
        </m:r>
      </m:oMath>
      <w:r w:rsidR="004D64E7">
        <w:t>.</w:t>
      </w:r>
    </w:p>
    <w:p w14:paraId="0AF30A6D" w14:textId="3FCEEE01" w:rsidR="00E70A83" w:rsidRPr="00807EAC" w:rsidRDefault="003F64D1" w:rsidP="00365E10">
      <m:oMath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  <w:r w:rsidR="00E70A83">
        <w:rPr>
          <w:rFonts w:eastAsiaTheme="minorEastAsia"/>
        </w:rPr>
        <w:t xml:space="preserve"> </w:t>
      </w:r>
    </w:p>
    <w:p w14:paraId="28437B7B" w14:textId="2899BDC9" w:rsidR="00555C61" w:rsidRDefault="00807EAC" w:rsidP="00365E10">
      <w:r w:rsidRPr="00807EAC">
        <w:t>Weak scaling:</w:t>
      </w:r>
      <w:r w:rsidR="00751217">
        <w:t xml:space="preserve"> </w:t>
      </w:r>
      <w:r w:rsidR="00341600">
        <w:t>The first</w:t>
      </w:r>
      <w:r w:rsidR="00C658CA">
        <w:t xml:space="preserve"> one is done by having the element count per processor </w:t>
      </w:r>
      <w:r w:rsidR="00341600">
        <w:t>equal and the second one is done by having the row count per processor equal.</w:t>
      </w:r>
    </w:p>
    <w:p w14:paraId="4FDA603E" w14:textId="2C5195E7" w:rsidR="00A766B4" w:rsidRPr="00365E10" w:rsidRDefault="007D7A70" w:rsidP="00365E10">
      <w:r>
        <w:rPr>
          <w:rFonts w:eastAsiaTheme="minorEastAsia"/>
        </w:rPr>
        <w:t xml:space="preserve">Table/Figure 3: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A84972">
        <w:rPr>
          <w:rFonts w:eastAsiaTheme="minorEastAsia"/>
        </w:rPr>
        <w:t xml:space="preserve"> </w:t>
      </w:r>
    </w:p>
    <w:p w14:paraId="4CE42C19" w14:textId="2892B3D3" w:rsidR="00D6030B" w:rsidRDefault="007D7A70" w:rsidP="00365E10">
      <w:r>
        <w:rPr>
          <w:rFonts w:eastAsiaTheme="minorEastAsia"/>
        </w:rPr>
        <w:t xml:space="preserve">Table/Figure </w:t>
      </w:r>
      <w:r>
        <w:rPr>
          <w:rFonts w:eastAsiaTheme="minorEastAsia"/>
        </w:rPr>
        <w:t>4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555C61">
        <w:rPr>
          <w:rFonts w:eastAsiaTheme="minorEastAsia"/>
        </w:rPr>
        <w:t xml:space="preserve"> </w:t>
      </w:r>
    </w:p>
    <w:p w14:paraId="545EADED" w14:textId="1160A079" w:rsidR="00555C61" w:rsidRDefault="00555C61" w:rsidP="000D0223">
      <w:pPr>
        <w:pStyle w:val="Heading1"/>
      </w:pPr>
      <w:r>
        <w:t>Results</w:t>
      </w:r>
    </w:p>
    <w:p w14:paraId="49730307" w14:textId="187C7AF4" w:rsidR="00BB6640" w:rsidRPr="00BB6640" w:rsidRDefault="00BB6640" w:rsidP="00BB6640">
      <w:r w:rsidRPr="00BB6640">
        <w:t>Diminishing returns beyond 16 cores</w:t>
      </w:r>
      <w:r w:rsidR="00341600">
        <w:t>,</w:t>
      </w:r>
      <w:r w:rsidR="003B696F">
        <w:t xml:space="preserve"> meaning</w:t>
      </w:r>
      <w:r w:rsidRPr="00BB6640">
        <w:t xml:space="preserve"> communication latency and synchronization dominate, causing execution time to rise for cores </w:t>
      </w:r>
      <m:oMath>
        <m:r>
          <w:rPr>
            <w:rFonts w:ascii="Cambria Math" w:eastAsiaTheme="minorEastAsia" w:hAnsi="Cambria Math"/>
          </w:rPr>
          <m:t>≥32</m:t>
        </m:r>
      </m:oMath>
      <w:r w:rsidR="00F254F0">
        <w:rPr>
          <w:rFonts w:eastAsiaTheme="minorEastAsia"/>
        </w:rPr>
        <w:t>.</w:t>
      </w:r>
    </w:p>
    <w:p w14:paraId="3D70B0E2" w14:textId="3FC53F38" w:rsidR="005B0328" w:rsidRDefault="005B0328" w:rsidP="00365E10">
      <w:pPr>
        <w:pStyle w:val="Heading2"/>
      </w:pPr>
      <w:r>
        <w:t>Table</w:t>
      </w:r>
      <w:r w:rsidR="00C75356">
        <w:t xml:space="preserve"> and Figure</w:t>
      </w:r>
      <w:r>
        <w:t xml:space="preserve"> 1: Strong Scaling Curve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0328" w14:paraId="3BA8CC54" w14:textId="77777777" w:rsidTr="005B0328">
        <w:tc>
          <w:tcPr>
            <w:tcW w:w="4675" w:type="dxa"/>
          </w:tcPr>
          <w:p w14:paraId="3827681C" w14:textId="6F434ADD" w:rsidR="005B0328" w:rsidRDefault="005876BE" w:rsidP="00365E10">
            <w:pPr>
              <w:jc w:val="center"/>
            </w:pPr>
            <w:r>
              <w:t>Core Count</w:t>
            </w:r>
          </w:p>
        </w:tc>
        <w:tc>
          <w:tcPr>
            <w:tcW w:w="4675" w:type="dxa"/>
          </w:tcPr>
          <w:p w14:paraId="5AD1BF68" w14:textId="0D74A327" w:rsidR="005B0328" w:rsidRDefault="004C346D" w:rsidP="00365E10">
            <w:pPr>
              <w:jc w:val="center"/>
            </w:pPr>
            <w:r>
              <w:t>Elapsed Time (s)</w:t>
            </w:r>
          </w:p>
        </w:tc>
      </w:tr>
      <w:tr w:rsidR="005B0328" w14:paraId="5D083FAC" w14:textId="77777777" w:rsidTr="005B0328">
        <w:tc>
          <w:tcPr>
            <w:tcW w:w="4675" w:type="dxa"/>
          </w:tcPr>
          <w:p w14:paraId="55B37A4C" w14:textId="039BF6E7" w:rsidR="005B0328" w:rsidRDefault="005876BE" w:rsidP="00365E1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1678FE5" w14:textId="13CB83C9" w:rsidR="005B0328" w:rsidRDefault="00C17079" w:rsidP="00365E10">
            <w:pPr>
              <w:jc w:val="center"/>
            </w:pPr>
            <w:r w:rsidRPr="00C17079">
              <w:t>0.004023</w:t>
            </w:r>
          </w:p>
        </w:tc>
      </w:tr>
      <w:tr w:rsidR="005B0328" w14:paraId="683CBCCC" w14:textId="77777777" w:rsidTr="005B0328">
        <w:tc>
          <w:tcPr>
            <w:tcW w:w="4675" w:type="dxa"/>
          </w:tcPr>
          <w:p w14:paraId="207F9083" w14:textId="02BE25E3" w:rsidR="005B0328" w:rsidRDefault="005876BE" w:rsidP="00365E10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14:paraId="58D7C210" w14:textId="790D13FA" w:rsidR="005B0328" w:rsidRDefault="00C17079" w:rsidP="00365E10">
            <w:pPr>
              <w:jc w:val="center"/>
            </w:pPr>
            <w:r w:rsidRPr="00C17079">
              <w:t>0.001184</w:t>
            </w:r>
          </w:p>
        </w:tc>
      </w:tr>
      <w:tr w:rsidR="005B0328" w14:paraId="33917C74" w14:textId="77777777" w:rsidTr="005B0328">
        <w:tc>
          <w:tcPr>
            <w:tcW w:w="4675" w:type="dxa"/>
          </w:tcPr>
          <w:p w14:paraId="7D23C7E8" w14:textId="0FE3A0BA" w:rsidR="005B0328" w:rsidRDefault="005876BE" w:rsidP="00365E10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14:paraId="60B8FB67" w14:textId="753986AD" w:rsidR="005B0328" w:rsidRDefault="00C17079" w:rsidP="00365E10">
            <w:pPr>
              <w:jc w:val="center"/>
            </w:pPr>
            <w:r w:rsidRPr="00C17079">
              <w:t>0.002960</w:t>
            </w:r>
          </w:p>
        </w:tc>
      </w:tr>
      <w:tr w:rsidR="005B0328" w14:paraId="6D0FB051" w14:textId="77777777" w:rsidTr="005B0328">
        <w:tc>
          <w:tcPr>
            <w:tcW w:w="4675" w:type="dxa"/>
          </w:tcPr>
          <w:p w14:paraId="6F604667" w14:textId="64DE4BE2" w:rsidR="005B0328" w:rsidRDefault="005876BE" w:rsidP="00365E10">
            <w:pPr>
              <w:jc w:val="center"/>
            </w:pPr>
            <w:r>
              <w:lastRenderedPageBreak/>
              <w:t>64</w:t>
            </w:r>
          </w:p>
        </w:tc>
        <w:tc>
          <w:tcPr>
            <w:tcW w:w="4675" w:type="dxa"/>
          </w:tcPr>
          <w:p w14:paraId="5B79DC92" w14:textId="6A5F5135" w:rsidR="005B0328" w:rsidRDefault="00CA1F88" w:rsidP="00365E10">
            <w:pPr>
              <w:jc w:val="center"/>
            </w:pPr>
            <w:r w:rsidRPr="00CA1F88">
              <w:t>0.012656</w:t>
            </w:r>
          </w:p>
        </w:tc>
      </w:tr>
      <w:tr w:rsidR="005876BE" w14:paraId="503F7C3B" w14:textId="77777777" w:rsidTr="005B0328">
        <w:tc>
          <w:tcPr>
            <w:tcW w:w="4675" w:type="dxa"/>
          </w:tcPr>
          <w:p w14:paraId="670CB8F0" w14:textId="777C8C56" w:rsidR="005876BE" w:rsidRDefault="005876BE" w:rsidP="00365E10">
            <w:pPr>
              <w:jc w:val="center"/>
            </w:pPr>
            <w:r>
              <w:t>128</w:t>
            </w:r>
          </w:p>
        </w:tc>
        <w:tc>
          <w:tcPr>
            <w:tcW w:w="4675" w:type="dxa"/>
          </w:tcPr>
          <w:p w14:paraId="6E1FAD12" w14:textId="06C7BDEC" w:rsidR="005876BE" w:rsidRDefault="00CA1F88" w:rsidP="00365E10">
            <w:pPr>
              <w:jc w:val="center"/>
            </w:pPr>
            <w:r w:rsidRPr="00CA1F88">
              <w:t>0.056406</w:t>
            </w:r>
          </w:p>
        </w:tc>
      </w:tr>
      <w:tr w:rsidR="005876BE" w14:paraId="6A018F74" w14:textId="77777777" w:rsidTr="005B0328">
        <w:tc>
          <w:tcPr>
            <w:tcW w:w="4675" w:type="dxa"/>
          </w:tcPr>
          <w:p w14:paraId="1F80ADD5" w14:textId="57B16FB7" w:rsidR="005876BE" w:rsidRDefault="005876BE" w:rsidP="00365E10">
            <w:pPr>
              <w:jc w:val="center"/>
            </w:pPr>
            <w:r>
              <w:t>256</w:t>
            </w:r>
          </w:p>
        </w:tc>
        <w:tc>
          <w:tcPr>
            <w:tcW w:w="4675" w:type="dxa"/>
          </w:tcPr>
          <w:p w14:paraId="26998149" w14:textId="6D705498" w:rsidR="005876BE" w:rsidRDefault="00CA1F88" w:rsidP="00365E10">
            <w:pPr>
              <w:jc w:val="center"/>
            </w:pPr>
            <w:r w:rsidRPr="00CA1F88">
              <w:t>0.037674</w:t>
            </w:r>
          </w:p>
        </w:tc>
      </w:tr>
    </w:tbl>
    <w:p w14:paraId="392DE3B0" w14:textId="4E7C4FF6" w:rsidR="005B0328" w:rsidRPr="005B0328" w:rsidRDefault="005B0328" w:rsidP="00365E10"/>
    <w:p w14:paraId="4F5278D9" w14:textId="24A19720" w:rsidR="001D776A" w:rsidRDefault="00985801" w:rsidP="00492639">
      <w:pPr>
        <w:jc w:val="center"/>
      </w:pPr>
      <w:r>
        <w:rPr>
          <w:noProof/>
        </w:rPr>
        <w:drawing>
          <wp:inline distT="0" distB="0" distL="0" distR="0" wp14:anchorId="56F32D3F" wp14:editId="74CDE2FA">
            <wp:extent cx="3916800" cy="2511188"/>
            <wp:effectExtent l="0" t="0" r="7620" b="3810"/>
            <wp:docPr id="14324792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00" cy="25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5D13" w14:textId="7BCB0D4D" w:rsidR="00CA1F88" w:rsidRDefault="00CA1F88" w:rsidP="00365E10">
      <w:pPr>
        <w:pStyle w:val="Heading2"/>
      </w:pPr>
      <w:r>
        <w:t xml:space="preserve">Table </w:t>
      </w:r>
      <w:r w:rsidR="00C75356">
        <w:t xml:space="preserve">and Figure </w:t>
      </w:r>
      <w:r>
        <w:t xml:space="preserve">2: Strong Scaling Curve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F88" w14:paraId="536985DE" w14:textId="77777777" w:rsidTr="00874B75">
        <w:tc>
          <w:tcPr>
            <w:tcW w:w="4675" w:type="dxa"/>
          </w:tcPr>
          <w:p w14:paraId="0D5B7D4C" w14:textId="77777777" w:rsidR="00CA1F88" w:rsidRDefault="00CA1F88" w:rsidP="00365E10">
            <w:pPr>
              <w:jc w:val="center"/>
            </w:pPr>
            <w:r>
              <w:t>Core Count</w:t>
            </w:r>
          </w:p>
        </w:tc>
        <w:tc>
          <w:tcPr>
            <w:tcW w:w="4675" w:type="dxa"/>
          </w:tcPr>
          <w:p w14:paraId="09E28DE0" w14:textId="77777777" w:rsidR="00CA1F88" w:rsidRDefault="00CA1F88" w:rsidP="00365E10">
            <w:pPr>
              <w:jc w:val="center"/>
            </w:pPr>
            <w:r>
              <w:t>Elapsed Time (s)</w:t>
            </w:r>
          </w:p>
        </w:tc>
      </w:tr>
      <w:tr w:rsidR="00CA1F88" w14:paraId="3522868E" w14:textId="77777777" w:rsidTr="00874B75">
        <w:tc>
          <w:tcPr>
            <w:tcW w:w="4675" w:type="dxa"/>
          </w:tcPr>
          <w:p w14:paraId="12417808" w14:textId="77777777" w:rsidR="00CA1F88" w:rsidRDefault="00CA1F88" w:rsidP="00365E1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4A69156" w14:textId="6D6C3910" w:rsidR="00CA1F88" w:rsidRDefault="00EC1977" w:rsidP="00365E10">
            <w:pPr>
              <w:jc w:val="center"/>
            </w:pPr>
            <w:r w:rsidRPr="00EC1977">
              <w:t>0.017609</w:t>
            </w:r>
          </w:p>
        </w:tc>
      </w:tr>
      <w:tr w:rsidR="00CA1F88" w14:paraId="01962CF5" w14:textId="77777777" w:rsidTr="00874B75">
        <w:tc>
          <w:tcPr>
            <w:tcW w:w="4675" w:type="dxa"/>
          </w:tcPr>
          <w:p w14:paraId="0890C83C" w14:textId="77777777" w:rsidR="00CA1F88" w:rsidRDefault="00CA1F88" w:rsidP="00365E10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14:paraId="355E66B0" w14:textId="236CEAF3" w:rsidR="00CA1F88" w:rsidRDefault="00EC1977" w:rsidP="00365E10">
            <w:pPr>
              <w:jc w:val="center"/>
            </w:pPr>
            <w:r w:rsidRPr="00EC1977">
              <w:t>0.002168</w:t>
            </w:r>
          </w:p>
        </w:tc>
      </w:tr>
      <w:tr w:rsidR="00CA1F88" w14:paraId="267CFD83" w14:textId="77777777" w:rsidTr="00874B75">
        <w:tc>
          <w:tcPr>
            <w:tcW w:w="4675" w:type="dxa"/>
          </w:tcPr>
          <w:p w14:paraId="79475D43" w14:textId="77777777" w:rsidR="00CA1F88" w:rsidRDefault="00CA1F88" w:rsidP="00365E10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14:paraId="41D1BE44" w14:textId="51EF6277" w:rsidR="00CA1F88" w:rsidRDefault="00EF79B8" w:rsidP="00365E10">
            <w:pPr>
              <w:jc w:val="center"/>
            </w:pPr>
            <w:r w:rsidRPr="00EF79B8">
              <w:t>0.004520</w:t>
            </w:r>
          </w:p>
        </w:tc>
      </w:tr>
      <w:tr w:rsidR="00CA1F88" w14:paraId="2C6492D0" w14:textId="77777777" w:rsidTr="00874B75">
        <w:tc>
          <w:tcPr>
            <w:tcW w:w="4675" w:type="dxa"/>
          </w:tcPr>
          <w:p w14:paraId="24165705" w14:textId="77777777" w:rsidR="00CA1F88" w:rsidRDefault="00CA1F88" w:rsidP="00365E10">
            <w:pPr>
              <w:jc w:val="center"/>
            </w:pPr>
            <w:r>
              <w:t>64</w:t>
            </w:r>
          </w:p>
        </w:tc>
        <w:tc>
          <w:tcPr>
            <w:tcW w:w="4675" w:type="dxa"/>
          </w:tcPr>
          <w:p w14:paraId="081518C9" w14:textId="61433EED" w:rsidR="00CA1F88" w:rsidRDefault="00EF79B8" w:rsidP="00365E10">
            <w:pPr>
              <w:jc w:val="center"/>
            </w:pPr>
            <w:r w:rsidRPr="00EF79B8">
              <w:t>0.013138</w:t>
            </w:r>
          </w:p>
        </w:tc>
      </w:tr>
      <w:tr w:rsidR="00CA1F88" w14:paraId="491AEE96" w14:textId="77777777" w:rsidTr="00874B75">
        <w:tc>
          <w:tcPr>
            <w:tcW w:w="4675" w:type="dxa"/>
          </w:tcPr>
          <w:p w14:paraId="29610D75" w14:textId="77777777" w:rsidR="00CA1F88" w:rsidRDefault="00CA1F88" w:rsidP="00365E10">
            <w:pPr>
              <w:jc w:val="center"/>
            </w:pPr>
            <w:r>
              <w:t>128</w:t>
            </w:r>
          </w:p>
        </w:tc>
        <w:tc>
          <w:tcPr>
            <w:tcW w:w="4675" w:type="dxa"/>
          </w:tcPr>
          <w:p w14:paraId="0B4DF775" w14:textId="06126E98" w:rsidR="00CA1F88" w:rsidRDefault="00EF79B8" w:rsidP="00365E10">
            <w:pPr>
              <w:jc w:val="center"/>
            </w:pPr>
            <w:r w:rsidRPr="00EF79B8">
              <w:t>0.039841</w:t>
            </w:r>
          </w:p>
        </w:tc>
      </w:tr>
      <w:tr w:rsidR="00CA1F88" w14:paraId="38260FCB" w14:textId="77777777" w:rsidTr="00874B75">
        <w:tc>
          <w:tcPr>
            <w:tcW w:w="4675" w:type="dxa"/>
          </w:tcPr>
          <w:p w14:paraId="293FDB57" w14:textId="77777777" w:rsidR="00CA1F88" w:rsidRDefault="00CA1F88" w:rsidP="00365E10">
            <w:pPr>
              <w:jc w:val="center"/>
            </w:pPr>
            <w:r>
              <w:t>256</w:t>
            </w:r>
          </w:p>
        </w:tc>
        <w:tc>
          <w:tcPr>
            <w:tcW w:w="4675" w:type="dxa"/>
          </w:tcPr>
          <w:p w14:paraId="11CE7332" w14:textId="4F919E28" w:rsidR="00CA1F88" w:rsidRDefault="00B874E5" w:rsidP="00365E10">
            <w:pPr>
              <w:jc w:val="center"/>
            </w:pPr>
            <w:r w:rsidRPr="00B874E5">
              <w:t>0.036201</w:t>
            </w:r>
          </w:p>
        </w:tc>
      </w:tr>
    </w:tbl>
    <w:p w14:paraId="0D10FBE5" w14:textId="2E97F7DC" w:rsidR="005D7737" w:rsidRPr="005D7737" w:rsidRDefault="00A32C03" w:rsidP="00C75356">
      <w:pPr>
        <w:spacing w:before="240"/>
        <w:jc w:val="center"/>
      </w:pPr>
      <w:r>
        <w:rPr>
          <w:noProof/>
        </w:rPr>
        <w:drawing>
          <wp:inline distT="0" distB="0" distL="0" distR="0" wp14:anchorId="1591C7BE" wp14:editId="2ED774DD">
            <wp:extent cx="3753135" cy="2407059"/>
            <wp:effectExtent l="0" t="0" r="0" b="0"/>
            <wp:docPr id="1509454215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29" cy="24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3871" w14:textId="2090DE3B" w:rsidR="00B7214E" w:rsidRDefault="00B7214E" w:rsidP="00B7214E">
      <w:pPr>
        <w:pStyle w:val="Heading2"/>
      </w:pPr>
      <w:r>
        <w:lastRenderedPageBreak/>
        <w:t xml:space="preserve">Table </w:t>
      </w:r>
      <w:r w:rsidR="00C75356">
        <w:t xml:space="preserve">and Figure </w:t>
      </w:r>
      <w:r>
        <w:t>3</w:t>
      </w:r>
      <w:r>
        <w:t xml:space="preserve">: Weak Scaling Curve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14E" w14:paraId="67150481" w14:textId="77777777" w:rsidTr="00B23AA5">
        <w:tc>
          <w:tcPr>
            <w:tcW w:w="4675" w:type="dxa"/>
          </w:tcPr>
          <w:p w14:paraId="5EB6C565" w14:textId="77777777" w:rsidR="00B7214E" w:rsidRDefault="00B7214E" w:rsidP="00B23AA5">
            <w:pPr>
              <w:jc w:val="center"/>
            </w:pPr>
            <w:r>
              <w:t>N, Core Count</w:t>
            </w:r>
          </w:p>
        </w:tc>
        <w:tc>
          <w:tcPr>
            <w:tcW w:w="4675" w:type="dxa"/>
          </w:tcPr>
          <w:p w14:paraId="24BFA476" w14:textId="77777777" w:rsidR="00B7214E" w:rsidRDefault="00B7214E" w:rsidP="00B23AA5">
            <w:pPr>
              <w:jc w:val="center"/>
            </w:pPr>
            <w:r>
              <w:t>Elapsed Time (s)</w:t>
            </w:r>
          </w:p>
        </w:tc>
      </w:tr>
      <w:tr w:rsidR="00B7214E" w14:paraId="53EA01A4" w14:textId="77777777" w:rsidTr="00B23AA5">
        <w:tc>
          <w:tcPr>
            <w:tcW w:w="4675" w:type="dxa"/>
          </w:tcPr>
          <w:p w14:paraId="2C5AA733" w14:textId="3B1898BC" w:rsidR="00B7214E" w:rsidRDefault="00B7214E" w:rsidP="00B23A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4675" w:type="dxa"/>
          </w:tcPr>
          <w:p w14:paraId="2CCD1D4E" w14:textId="6C94EC88" w:rsidR="00B7214E" w:rsidRDefault="007D7A70" w:rsidP="00B23AA5">
            <w:pPr>
              <w:jc w:val="center"/>
            </w:pPr>
            <w:r w:rsidRPr="007D7A70">
              <w:t>0.000167</w:t>
            </w:r>
          </w:p>
        </w:tc>
      </w:tr>
      <w:tr w:rsidR="00B7214E" w14:paraId="3F107408" w14:textId="77777777" w:rsidTr="00B23AA5">
        <w:tc>
          <w:tcPr>
            <w:tcW w:w="4675" w:type="dxa"/>
          </w:tcPr>
          <w:p w14:paraId="534DD548" w14:textId="3781DE47" w:rsidR="00B7214E" w:rsidRDefault="00B7214E" w:rsidP="00B23A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6BFC09CA" w14:textId="36785DE6" w:rsidR="00B7214E" w:rsidRDefault="007D7A70" w:rsidP="00B23AA5">
            <w:pPr>
              <w:jc w:val="center"/>
            </w:pPr>
            <w:r w:rsidRPr="007D7A70">
              <w:t>0.000821</w:t>
            </w:r>
          </w:p>
        </w:tc>
      </w:tr>
      <w:tr w:rsidR="00B7214E" w14:paraId="3B39A76E" w14:textId="77777777" w:rsidTr="00B23AA5">
        <w:tc>
          <w:tcPr>
            <w:tcW w:w="4675" w:type="dxa"/>
          </w:tcPr>
          <w:p w14:paraId="7540353D" w14:textId="77777777" w:rsidR="00B7214E" w:rsidRDefault="00B7214E" w:rsidP="00B23A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3B47594D" w14:textId="24D1940E" w:rsidR="00B7214E" w:rsidRDefault="007D7A70" w:rsidP="00B23AA5">
            <w:pPr>
              <w:jc w:val="center"/>
            </w:pPr>
            <w:r w:rsidRPr="007D7A70">
              <w:t>0.012789</w:t>
            </w:r>
          </w:p>
        </w:tc>
      </w:tr>
      <w:tr w:rsidR="00B7214E" w14:paraId="2CF7A89F" w14:textId="77777777" w:rsidTr="00B23AA5">
        <w:tc>
          <w:tcPr>
            <w:tcW w:w="4675" w:type="dxa"/>
          </w:tcPr>
          <w:p w14:paraId="2DD8F33D" w14:textId="18C86566" w:rsidR="00B7214E" w:rsidRDefault="00B7214E" w:rsidP="00B23A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76F8418D" w14:textId="369DFD3A" w:rsidR="00B7214E" w:rsidRDefault="007D7A70" w:rsidP="00B23AA5">
            <w:pPr>
              <w:jc w:val="center"/>
            </w:pPr>
            <w:r w:rsidRPr="007D7A70">
              <w:t>0.078752</w:t>
            </w:r>
          </w:p>
        </w:tc>
      </w:tr>
    </w:tbl>
    <w:p w14:paraId="796C91B5" w14:textId="41843194" w:rsidR="00692384" w:rsidRDefault="00692384" w:rsidP="00C75356">
      <w:pPr>
        <w:pStyle w:val="Heading2"/>
        <w:jc w:val="center"/>
      </w:pPr>
      <w:r>
        <w:rPr>
          <w:noProof/>
        </w:rPr>
        <w:drawing>
          <wp:inline distT="0" distB="0" distL="0" distR="0" wp14:anchorId="0BE1DEC6" wp14:editId="326F599E">
            <wp:extent cx="3708211" cy="2210268"/>
            <wp:effectExtent l="0" t="0" r="6985" b="0"/>
            <wp:docPr id="104493414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64" cy="22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0288" w14:textId="76CBEF83" w:rsidR="00C042AA" w:rsidRDefault="00C042AA" w:rsidP="00365E10">
      <w:pPr>
        <w:pStyle w:val="Heading2"/>
      </w:pPr>
      <w:r>
        <w:t>Table</w:t>
      </w:r>
      <w:r w:rsidR="00C75356">
        <w:t xml:space="preserve"> and Figure</w:t>
      </w:r>
      <w:r>
        <w:t xml:space="preserve"> </w:t>
      </w:r>
      <w:r w:rsidR="00341600">
        <w:t>4</w:t>
      </w:r>
      <w:r>
        <w:t xml:space="preserve">: Weak Scaling Curve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2AA" w14:paraId="7C78BEFB" w14:textId="77777777" w:rsidTr="00874B75">
        <w:tc>
          <w:tcPr>
            <w:tcW w:w="4675" w:type="dxa"/>
          </w:tcPr>
          <w:p w14:paraId="66413229" w14:textId="62641E83" w:rsidR="00C042AA" w:rsidRDefault="00C5192A" w:rsidP="00365E10">
            <w:pPr>
              <w:jc w:val="center"/>
            </w:pPr>
            <w:r>
              <w:t>N, Core Count</w:t>
            </w:r>
          </w:p>
        </w:tc>
        <w:tc>
          <w:tcPr>
            <w:tcW w:w="4675" w:type="dxa"/>
          </w:tcPr>
          <w:p w14:paraId="6E2E2CC7" w14:textId="77777777" w:rsidR="00C042AA" w:rsidRDefault="00C042AA" w:rsidP="00365E10">
            <w:pPr>
              <w:jc w:val="center"/>
            </w:pPr>
            <w:r>
              <w:t>Elapsed Time (s)</w:t>
            </w:r>
          </w:p>
        </w:tc>
      </w:tr>
      <w:tr w:rsidR="00C042AA" w14:paraId="783ADA0B" w14:textId="77777777" w:rsidTr="00874B75">
        <w:tc>
          <w:tcPr>
            <w:tcW w:w="4675" w:type="dxa"/>
          </w:tcPr>
          <w:p w14:paraId="63A241E3" w14:textId="0BA07D95" w:rsidR="00C042AA" w:rsidRDefault="00B26DE0" w:rsidP="00365E1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4675" w:type="dxa"/>
          </w:tcPr>
          <w:p w14:paraId="62C69B26" w14:textId="3F150978" w:rsidR="00C042AA" w:rsidRDefault="00C5192A" w:rsidP="00365E10">
            <w:pPr>
              <w:jc w:val="center"/>
            </w:pPr>
            <w:r w:rsidRPr="00C5192A">
              <w:t>0.000779</w:t>
            </w:r>
          </w:p>
        </w:tc>
      </w:tr>
      <w:tr w:rsidR="00C042AA" w14:paraId="01C6A6F2" w14:textId="77777777" w:rsidTr="00874B75">
        <w:tc>
          <w:tcPr>
            <w:tcW w:w="4675" w:type="dxa"/>
          </w:tcPr>
          <w:p w14:paraId="04CBBEA7" w14:textId="4979DF8B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175DBA74" w14:textId="2CE2177F" w:rsidR="00C042AA" w:rsidRDefault="00843C36" w:rsidP="00365E10">
            <w:pPr>
              <w:jc w:val="center"/>
            </w:pPr>
            <w:r w:rsidRPr="00843C36">
              <w:t>0.003183</w:t>
            </w:r>
          </w:p>
        </w:tc>
      </w:tr>
      <w:tr w:rsidR="00C042AA" w14:paraId="038D36DE" w14:textId="77777777" w:rsidTr="00874B75">
        <w:tc>
          <w:tcPr>
            <w:tcW w:w="4675" w:type="dxa"/>
          </w:tcPr>
          <w:p w14:paraId="3CFF4B3C" w14:textId="4269ACEC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28F614EB" w14:textId="19D7888E" w:rsidR="00C042AA" w:rsidRDefault="004B3858" w:rsidP="00365E10">
            <w:pPr>
              <w:jc w:val="center"/>
            </w:pPr>
            <w:r w:rsidRPr="004B3858">
              <w:t>0.013461</w:t>
            </w:r>
          </w:p>
        </w:tc>
      </w:tr>
      <w:tr w:rsidR="00C042AA" w14:paraId="5E493388" w14:textId="77777777" w:rsidTr="00874B75">
        <w:tc>
          <w:tcPr>
            <w:tcW w:w="4675" w:type="dxa"/>
          </w:tcPr>
          <w:p w14:paraId="5B7E9EAA" w14:textId="59288E0E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2399CC8E" w14:textId="5DCACB6C" w:rsidR="00C042AA" w:rsidRDefault="004B3858" w:rsidP="00365E10">
            <w:pPr>
              <w:jc w:val="center"/>
            </w:pPr>
            <w:r w:rsidRPr="004B3858">
              <w:t>0.056406</w:t>
            </w:r>
          </w:p>
        </w:tc>
      </w:tr>
      <w:tr w:rsidR="00C042AA" w14:paraId="6F163BF6" w14:textId="77777777" w:rsidTr="00874B75">
        <w:tc>
          <w:tcPr>
            <w:tcW w:w="4675" w:type="dxa"/>
          </w:tcPr>
          <w:p w14:paraId="394AE157" w14:textId="3139A993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8B3A6E4" w14:textId="263D05C8" w:rsidR="00C042AA" w:rsidRDefault="004B3858" w:rsidP="00365E10">
            <w:pPr>
              <w:jc w:val="center"/>
            </w:pPr>
            <w:r w:rsidRPr="004B3858">
              <w:t>0.036201</w:t>
            </w:r>
          </w:p>
        </w:tc>
      </w:tr>
    </w:tbl>
    <w:p w14:paraId="430742FB" w14:textId="77777777" w:rsidR="00C042AA" w:rsidRPr="00CA1F88" w:rsidRDefault="00C042AA" w:rsidP="00365E10"/>
    <w:p w14:paraId="477B1241" w14:textId="325F6109" w:rsidR="00400361" w:rsidRDefault="00A32C03" w:rsidP="00365E10">
      <w:pPr>
        <w:jc w:val="center"/>
      </w:pPr>
      <w:r>
        <w:rPr>
          <w:noProof/>
        </w:rPr>
        <w:drawing>
          <wp:inline distT="0" distB="0" distL="0" distR="0" wp14:anchorId="2B0F8843" wp14:editId="12145E39">
            <wp:extent cx="3545404" cy="2273074"/>
            <wp:effectExtent l="0" t="0" r="0" b="0"/>
            <wp:docPr id="1131005707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72" cy="22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D7CE" w14:textId="17CB4736" w:rsidR="00492639" w:rsidRDefault="008F32D7" w:rsidP="00492639">
      <w:r w:rsidRPr="008F32D7">
        <w:lastRenderedPageBreak/>
        <w:t xml:space="preserve">Ideal weak scaling keeps time </w:t>
      </w:r>
      <w:r>
        <w:t xml:space="preserve">nearly </w:t>
      </w:r>
      <w:r w:rsidRPr="008F32D7">
        <w:t xml:space="preserve">constant; here it increases from 0.78 </w:t>
      </w:r>
      <w:proofErr w:type="spellStart"/>
      <w:r w:rsidRPr="008F32D7">
        <w:t>ms</w:t>
      </w:r>
      <w:proofErr w:type="spellEnd"/>
      <w:r w:rsidRPr="008F32D7">
        <w:t xml:space="preserve"> (16 cores) to 56.4 </w:t>
      </w:r>
      <w:proofErr w:type="spellStart"/>
      <w:r w:rsidRPr="008F32D7">
        <w:t>ms</w:t>
      </w:r>
      <w:proofErr w:type="spellEnd"/>
      <w:r w:rsidRPr="008F32D7">
        <w:t xml:space="preserve"> (128 cores), then slightly improves at 256 cores (36.2 </w:t>
      </w:r>
      <w:proofErr w:type="spellStart"/>
      <w:r w:rsidRPr="008F32D7">
        <w:t>ms</w:t>
      </w:r>
      <w:proofErr w:type="spellEnd"/>
      <w:r w:rsidRPr="008F32D7">
        <w:t>).</w:t>
      </w:r>
      <w:r w:rsidR="00BB6640">
        <w:t xml:space="preserve"> </w:t>
      </w:r>
      <w:r w:rsidRPr="008F32D7">
        <w:t xml:space="preserve">The steep rise indicates that as the problem/processor ratio stays fixed, communication (point-to-point exchanges and global reductions) overhead grows </w:t>
      </w:r>
      <w:r w:rsidR="00310BB2" w:rsidRPr="008F32D7">
        <w:t>super linearly</w:t>
      </w:r>
      <w:r w:rsidRPr="008F32D7">
        <w:t>.</w:t>
      </w:r>
    </w:p>
    <w:p w14:paraId="63A4983A" w14:textId="42404A3B" w:rsidR="00555C61" w:rsidRDefault="00555C61" w:rsidP="000D0223">
      <w:pPr>
        <w:pStyle w:val="Heading1"/>
      </w:pPr>
      <w:r>
        <w:t>Discu</w:t>
      </w:r>
      <w:r w:rsidR="00B72DC2">
        <w:t>ssion</w:t>
      </w:r>
      <w:r w:rsidR="0000366D">
        <w:t xml:space="preserve"> and Conclusion</w:t>
      </w:r>
    </w:p>
    <w:p w14:paraId="53454011" w14:textId="6DDCEF61" w:rsidR="003250BC" w:rsidRPr="003250BC" w:rsidRDefault="005C2A8F" w:rsidP="003250BC">
      <w:r>
        <w:t>In strong scaling, f</w:t>
      </w:r>
      <w:r w:rsidR="003250BC" w:rsidRPr="003250BC">
        <w:t xml:space="preserve">or both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3250BC">
        <w:t xml:space="preserve"> </w:t>
      </w:r>
      <w:r w:rsidR="003250BC" w:rsidRPr="003250BC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="003250BC" w:rsidRPr="003250BC">
        <w:t>, best speedup occurs at 16</w:t>
      </w:r>
      <w:r w:rsidR="003250BC">
        <w:t>-</w:t>
      </w:r>
      <w:r w:rsidR="003250BC" w:rsidRPr="003250BC">
        <w:t>32 cores.</w:t>
      </w:r>
      <w:r w:rsidR="003250BC">
        <w:t xml:space="preserve"> </w:t>
      </w:r>
      <w:r w:rsidR="003250BC" w:rsidRPr="003250BC">
        <w:t>Beyond 32 cores, elapsed time increases markedly</w:t>
      </w:r>
      <w:r w:rsidR="00510430">
        <w:t>,</w:t>
      </w:r>
      <w:r w:rsidR="003250BC">
        <w:t xml:space="preserve"> </w:t>
      </w:r>
      <w:r w:rsidR="003250BC" w:rsidRPr="003250BC">
        <w:t xml:space="preserve">communication/latency </w:t>
      </w:r>
      <w:r w:rsidR="00510430">
        <w:t>dominates</w:t>
      </w:r>
      <w:r w:rsidR="003250BC" w:rsidRPr="003250BC">
        <w:t xml:space="preserve"> over per-core computation.</w:t>
      </w:r>
      <w:r w:rsidR="00513C21">
        <w:t xml:space="preserve"> T</w:t>
      </w:r>
      <w:r w:rsidR="00513C21" w:rsidRPr="00513C21">
        <w:t xml:space="preserve">he </w:t>
      </w:r>
      <w:proofErr w:type="gramStart"/>
      <w:r w:rsidR="00513C21" w:rsidRPr="00513C21">
        <w:t>overhead of</w:t>
      </w:r>
      <w:proofErr w:type="gramEnd"/>
      <w:r w:rsidR="00513C21" w:rsidRPr="00513C21">
        <w:t xml:space="preserve"> exchanging vector segments and reductions outweighs local </w:t>
      </w:r>
      <w:proofErr w:type="spellStart"/>
      <w:r w:rsidR="00513C21" w:rsidRPr="00513C21">
        <w:t>SpMV</w:t>
      </w:r>
      <w:proofErr w:type="spellEnd"/>
      <w:r w:rsidR="00513C21" w:rsidRPr="00513C21">
        <w:t xml:space="preserve"> gains.</w:t>
      </w:r>
    </w:p>
    <w:p w14:paraId="01129435" w14:textId="086F6BCB" w:rsidR="003250BC" w:rsidRPr="003250BC" w:rsidRDefault="003250BC" w:rsidP="003250BC">
      <w:r w:rsidRPr="003250BC">
        <w:t>Ideal weak scaling maintains constant runtime as both problem size and cores increase.</w:t>
      </w:r>
      <w:r>
        <w:t xml:space="preserve"> </w:t>
      </w:r>
      <w:r w:rsidRPr="003250BC">
        <w:t xml:space="preserve">Here, elapsed time grows over an order of magnitude from 16 to 256 cores, indicating significant overhead in distributed matrix-vector </w:t>
      </w:r>
      <w:r w:rsidR="00510430" w:rsidRPr="003250BC">
        <w:t>multiple times</w:t>
      </w:r>
      <w:r w:rsidRPr="003250BC">
        <w:t xml:space="preserve"> and global reductions.</w:t>
      </w:r>
      <w:r w:rsidR="00C5572D">
        <w:t xml:space="preserve"> </w:t>
      </w:r>
      <w:r w:rsidR="00C5572D" w:rsidRPr="00C5572D">
        <w:t xml:space="preserve">Instead of remaining constant, runtime increases by nearly three orders of magnitude from </w:t>
      </w:r>
      <w:r w:rsidR="008D63B8">
        <w:t>4</w:t>
      </w:r>
      <w:r w:rsidR="00C5572D" w:rsidRPr="00C5572D">
        <w:t xml:space="preserve"> → 25</w:t>
      </w:r>
      <w:r w:rsidR="008D63B8">
        <w:t>6</w:t>
      </w:r>
      <w:r w:rsidR="00C5572D" w:rsidRPr="00C5572D">
        <w:t xml:space="preserve"> cores.</w:t>
      </w:r>
      <w:r w:rsidR="00DE433B">
        <w:t xml:space="preserve"> </w:t>
      </w:r>
      <w:r w:rsidR="00C5572D" w:rsidRPr="00C5572D">
        <w:t xml:space="preserve">As cores rise, each MPI rank handles roughly constant work, but exchanging the full vector across more peers </w:t>
      </w:r>
      <w:r w:rsidR="008D63B8">
        <w:t xml:space="preserve">P2P </w:t>
      </w:r>
      <w:r w:rsidR="00C5572D" w:rsidRPr="00C5572D">
        <w:t xml:space="preserve">and performing global reductions becomes increasingly expensive. Collective operations (e.g. </w:t>
      </w:r>
      <w:proofErr w:type="spellStart"/>
      <w:r w:rsidR="00C5572D" w:rsidRPr="00C5572D">
        <w:rPr>
          <w:rFonts w:ascii="Consolas" w:hAnsi="Consolas"/>
        </w:rPr>
        <w:t>MPI_Allreduce</w:t>
      </w:r>
      <w:proofErr w:type="spellEnd"/>
      <w:r w:rsidR="00C5572D" w:rsidRPr="00C5572D">
        <w:t xml:space="preserve">) scale roughly as </w:t>
      </w:r>
      <m:oMath>
        <m:r>
          <w:rPr>
            <w:rFonts w:ascii="Cambria Math" w:hAnsi="Cambria Math"/>
          </w:rPr>
          <m:t>O(log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 w:rsidR="00C5572D" w:rsidRPr="00C5572D">
        <w:t>, and the overhead of barriers at each CG iteration exacerbates the slowdown.</w:t>
      </w:r>
      <w:r w:rsidR="00DE433B">
        <w:t xml:space="preserve"> </w:t>
      </w:r>
      <w:r w:rsidR="00C5572D" w:rsidRPr="00C5572D">
        <w:t>In current form, the parallel CG is not weakly scalable beyond small core counts. Future optimizations</w:t>
      </w:r>
      <w:r w:rsidR="008D63B8">
        <w:t xml:space="preserve"> like</w:t>
      </w:r>
      <w:r w:rsidR="00C5572D" w:rsidRPr="00C5572D">
        <w:t xml:space="preserve"> </w:t>
      </w:r>
      <w:proofErr w:type="gramStart"/>
      <w:r w:rsidR="00C5572D" w:rsidRPr="00C5572D">
        <w:t>overlap</w:t>
      </w:r>
      <w:proofErr w:type="gramEnd"/>
      <w:r w:rsidR="00C5572D" w:rsidRPr="00C5572D">
        <w:t xml:space="preserve"> of communication with computation, asynchronous collectives, or pipelining</w:t>
      </w:r>
      <w:r w:rsidR="008D63B8">
        <w:t xml:space="preserve"> </w:t>
      </w:r>
      <w:r w:rsidR="00C5572D" w:rsidRPr="00C5572D">
        <w:t>are needed to flatten this curve. ​</w:t>
      </w:r>
    </w:p>
    <w:p w14:paraId="0543AE07" w14:textId="12A81F41" w:rsidR="0034221B" w:rsidRDefault="003250BC" w:rsidP="00365E10">
      <w:r w:rsidRPr="003250BC">
        <w:t xml:space="preserve">P2P communication during </w:t>
      </w:r>
      <w:proofErr w:type="spellStart"/>
      <w:r w:rsidRPr="003250BC">
        <w:t>SpMV</w:t>
      </w:r>
      <w:proofErr w:type="spellEnd"/>
      <w:r w:rsidRPr="003250BC">
        <w:t xml:space="preserve"> and </w:t>
      </w:r>
      <w:proofErr w:type="spellStart"/>
      <w:r w:rsidRPr="003250BC">
        <w:rPr>
          <w:rFonts w:ascii="Consolas" w:hAnsi="Consolas"/>
        </w:rPr>
        <w:t>MPI_Allreduce</w:t>
      </w:r>
      <w:proofErr w:type="spellEnd"/>
      <w:r w:rsidRPr="003250BC">
        <w:t xml:space="preserve"> for dot-products </w:t>
      </w:r>
      <w:r w:rsidR="009E4925">
        <w:t>contributes</w:t>
      </w:r>
      <w:r w:rsidRPr="003250BC">
        <w:t xml:space="preserve"> to the non-ideal scaling.</w:t>
      </w:r>
      <w:r>
        <w:t xml:space="preserve"> </w:t>
      </w:r>
      <w:r w:rsidRPr="003250BC">
        <w:t>For small to moderate core counts, computation dominates; at high counts, communication latency and load imbalance are limiting factors.</w:t>
      </w:r>
      <w:r w:rsidR="002B41E4">
        <w:t xml:space="preserve"> </w:t>
      </w:r>
      <w:r w:rsidR="002B41E4" w:rsidRPr="002B41E4">
        <w:t>Additionally, the synchronization barriers inserted around timing exacerbate the effect, so that beyond a certain scale, the cost of coordination eclipses any per</w:t>
      </w:r>
      <w:r w:rsidR="002B41E4" w:rsidRPr="002B41E4">
        <w:rPr>
          <w:rFonts w:ascii="Cambria Math" w:hAnsi="Cambria Math" w:cs="Cambria Math"/>
        </w:rPr>
        <w:t>‐</w:t>
      </w:r>
      <w:r w:rsidR="002B41E4" w:rsidRPr="002B41E4">
        <w:t>core workload reduction</w:t>
      </w:r>
      <w:r w:rsidR="002B41E4">
        <w:t>.</w:t>
      </w:r>
    </w:p>
    <w:p w14:paraId="02429DA4" w14:textId="59AB0D03" w:rsidR="005855F1" w:rsidRPr="005855F1" w:rsidRDefault="005855F1" w:rsidP="005855F1">
      <w:r w:rsidRPr="005855F1">
        <w:t>The MPI-parallel CG solver shows modest strong scaling up to 32 cores. However, communication overhead severely limits both strong and weak scaling at larger scales. Future optimizations might include</w:t>
      </w:r>
      <w:r>
        <w:t xml:space="preserve"> o</w:t>
      </w:r>
      <w:r w:rsidRPr="005855F1">
        <w:t>verlapping communication and computation</w:t>
      </w:r>
      <w:r>
        <w:t>, u</w:t>
      </w:r>
      <w:r w:rsidRPr="005855F1">
        <w:t xml:space="preserve">sing </w:t>
      </w:r>
      <w:r w:rsidR="002713C2" w:rsidRPr="005855F1">
        <w:t xml:space="preserve">nonblocking </w:t>
      </w:r>
      <w:r w:rsidR="002713C2">
        <w:t>collectives</w:t>
      </w:r>
      <w:r>
        <w:t>, e</w:t>
      </w:r>
      <w:r w:rsidRPr="005855F1">
        <w:t xml:space="preserve">xploring hybrid </w:t>
      </w:r>
      <w:proofErr w:type="spellStart"/>
      <w:r w:rsidRPr="005855F1">
        <w:rPr>
          <w:rFonts w:ascii="Consolas" w:hAnsi="Consolas"/>
        </w:rPr>
        <w:t>MPI+OpenMP</w:t>
      </w:r>
      <w:proofErr w:type="spellEnd"/>
      <w:r w:rsidRPr="005855F1">
        <w:t xml:space="preserve"> to reduce inter-node messages</w:t>
      </w:r>
      <w:r w:rsidR="00EB2632">
        <w:t>, and using t</w:t>
      </w:r>
      <w:r w:rsidR="00EB2632" w:rsidRPr="00EB2632">
        <w:t>opology-aware process mapping to minimize network hops.</w:t>
      </w:r>
    </w:p>
    <w:p w14:paraId="0A1B053C" w14:textId="77777777" w:rsidR="005855F1" w:rsidRPr="005855F1" w:rsidRDefault="005855F1" w:rsidP="005855F1"/>
    <w:sectPr w:rsidR="005855F1" w:rsidRPr="005855F1" w:rsidSect="004703C4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53450" w14:textId="77777777" w:rsidR="009B1568" w:rsidRDefault="009B1568" w:rsidP="00365E10">
      <w:r>
        <w:separator/>
      </w:r>
    </w:p>
  </w:endnote>
  <w:endnote w:type="continuationSeparator" w:id="0">
    <w:p w14:paraId="29BB3120" w14:textId="77777777" w:rsidR="009B1568" w:rsidRDefault="009B1568" w:rsidP="0036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797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A6F4A" w14:textId="35781B16" w:rsidR="00365E10" w:rsidRDefault="00365E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69C15" w14:textId="77777777" w:rsidR="00365E10" w:rsidRDefault="00365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4D17A" w14:textId="52F9CFFA" w:rsidR="00365E10" w:rsidRDefault="00365E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BE69B" w14:textId="77777777" w:rsidR="004703C4" w:rsidRDefault="004703C4" w:rsidP="00365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FD6DC" w14:textId="77777777" w:rsidR="009B1568" w:rsidRDefault="009B1568" w:rsidP="00365E10">
      <w:r>
        <w:separator/>
      </w:r>
    </w:p>
  </w:footnote>
  <w:footnote w:type="continuationSeparator" w:id="0">
    <w:p w14:paraId="4908337B" w14:textId="77777777" w:rsidR="009B1568" w:rsidRDefault="009B1568" w:rsidP="0036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891E" w14:textId="06E6A691" w:rsidR="004703C4" w:rsidRDefault="004703C4" w:rsidP="00365E10">
    <w:pPr>
      <w:pStyle w:val="Header"/>
    </w:pPr>
    <w:r>
      <w:t>Görkem Kadir Solun 22003214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209"/>
    <w:multiLevelType w:val="multilevel"/>
    <w:tmpl w:val="14B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10AE"/>
    <w:multiLevelType w:val="multilevel"/>
    <w:tmpl w:val="4D5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B45AF"/>
    <w:multiLevelType w:val="multilevel"/>
    <w:tmpl w:val="370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3913"/>
    <w:multiLevelType w:val="multilevel"/>
    <w:tmpl w:val="8CA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A42EF"/>
    <w:multiLevelType w:val="multilevel"/>
    <w:tmpl w:val="1AF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875C6"/>
    <w:multiLevelType w:val="multilevel"/>
    <w:tmpl w:val="174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B265B"/>
    <w:multiLevelType w:val="multilevel"/>
    <w:tmpl w:val="5CE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094E"/>
    <w:multiLevelType w:val="multilevel"/>
    <w:tmpl w:val="68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C4C3E"/>
    <w:multiLevelType w:val="multilevel"/>
    <w:tmpl w:val="5CE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2CE4"/>
    <w:multiLevelType w:val="multilevel"/>
    <w:tmpl w:val="CEF0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E12A2"/>
    <w:multiLevelType w:val="multilevel"/>
    <w:tmpl w:val="F7F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87C2F"/>
    <w:multiLevelType w:val="multilevel"/>
    <w:tmpl w:val="C43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E730D"/>
    <w:multiLevelType w:val="multilevel"/>
    <w:tmpl w:val="0B0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84FBD"/>
    <w:multiLevelType w:val="multilevel"/>
    <w:tmpl w:val="788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B208F"/>
    <w:multiLevelType w:val="multilevel"/>
    <w:tmpl w:val="AB8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845DA"/>
    <w:multiLevelType w:val="multilevel"/>
    <w:tmpl w:val="095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F3AC7"/>
    <w:multiLevelType w:val="multilevel"/>
    <w:tmpl w:val="4FA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53729"/>
    <w:multiLevelType w:val="multilevel"/>
    <w:tmpl w:val="DAF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471C5"/>
    <w:multiLevelType w:val="multilevel"/>
    <w:tmpl w:val="B91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145DB"/>
    <w:multiLevelType w:val="multilevel"/>
    <w:tmpl w:val="5CD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50025">
    <w:abstractNumId w:val="15"/>
  </w:num>
  <w:num w:numId="2" w16cid:durableId="1383014626">
    <w:abstractNumId w:val="11"/>
  </w:num>
  <w:num w:numId="3" w16cid:durableId="368531249">
    <w:abstractNumId w:val="3"/>
  </w:num>
  <w:num w:numId="4" w16cid:durableId="919601723">
    <w:abstractNumId w:val="8"/>
  </w:num>
  <w:num w:numId="5" w16cid:durableId="1201937990">
    <w:abstractNumId w:val="10"/>
  </w:num>
  <w:num w:numId="6" w16cid:durableId="1100373917">
    <w:abstractNumId w:val="0"/>
  </w:num>
  <w:num w:numId="7" w16cid:durableId="378557423">
    <w:abstractNumId w:val="9"/>
  </w:num>
  <w:num w:numId="8" w16cid:durableId="1631325537">
    <w:abstractNumId w:val="18"/>
  </w:num>
  <w:num w:numId="9" w16cid:durableId="1007050614">
    <w:abstractNumId w:val="17"/>
  </w:num>
  <w:num w:numId="10" w16cid:durableId="166020665">
    <w:abstractNumId w:val="19"/>
  </w:num>
  <w:num w:numId="11" w16cid:durableId="754400183">
    <w:abstractNumId w:val="6"/>
  </w:num>
  <w:num w:numId="12" w16cid:durableId="1134058536">
    <w:abstractNumId w:val="2"/>
  </w:num>
  <w:num w:numId="13" w16cid:durableId="1526098803">
    <w:abstractNumId w:val="7"/>
  </w:num>
  <w:num w:numId="14" w16cid:durableId="1164862085">
    <w:abstractNumId w:val="12"/>
  </w:num>
  <w:num w:numId="15" w16cid:durableId="1018387121">
    <w:abstractNumId w:val="13"/>
  </w:num>
  <w:num w:numId="16" w16cid:durableId="1347564235">
    <w:abstractNumId w:val="1"/>
  </w:num>
  <w:num w:numId="17" w16cid:durableId="632368148">
    <w:abstractNumId w:val="5"/>
  </w:num>
  <w:num w:numId="18" w16cid:durableId="1891336096">
    <w:abstractNumId w:val="4"/>
  </w:num>
  <w:num w:numId="19" w16cid:durableId="1711370680">
    <w:abstractNumId w:val="14"/>
  </w:num>
  <w:num w:numId="20" w16cid:durableId="8278633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10"/>
    <w:rsid w:val="0000366D"/>
    <w:rsid w:val="000D0223"/>
    <w:rsid w:val="00104AA5"/>
    <w:rsid w:val="00164142"/>
    <w:rsid w:val="00166D51"/>
    <w:rsid w:val="001817E8"/>
    <w:rsid w:val="001A79CD"/>
    <w:rsid w:val="001D67A4"/>
    <w:rsid w:val="001D776A"/>
    <w:rsid w:val="002713C2"/>
    <w:rsid w:val="0028467F"/>
    <w:rsid w:val="00292510"/>
    <w:rsid w:val="002B41E4"/>
    <w:rsid w:val="002B4B1B"/>
    <w:rsid w:val="00303D2B"/>
    <w:rsid w:val="00310BB2"/>
    <w:rsid w:val="003250BC"/>
    <w:rsid w:val="00341600"/>
    <w:rsid w:val="0034221B"/>
    <w:rsid w:val="00365E10"/>
    <w:rsid w:val="003B696F"/>
    <w:rsid w:val="003F64D1"/>
    <w:rsid w:val="003F6573"/>
    <w:rsid w:val="00400361"/>
    <w:rsid w:val="00433F6E"/>
    <w:rsid w:val="004703C4"/>
    <w:rsid w:val="00492639"/>
    <w:rsid w:val="004B3858"/>
    <w:rsid w:val="004C346D"/>
    <w:rsid w:val="004D64E7"/>
    <w:rsid w:val="00502D59"/>
    <w:rsid w:val="00510430"/>
    <w:rsid w:val="00513C21"/>
    <w:rsid w:val="005147FD"/>
    <w:rsid w:val="005271F2"/>
    <w:rsid w:val="00555C61"/>
    <w:rsid w:val="0057300F"/>
    <w:rsid w:val="00581E3F"/>
    <w:rsid w:val="005855F1"/>
    <w:rsid w:val="005876BE"/>
    <w:rsid w:val="005A1BC7"/>
    <w:rsid w:val="005B0328"/>
    <w:rsid w:val="005C2A8F"/>
    <w:rsid w:val="005D5FCC"/>
    <w:rsid w:val="005D7737"/>
    <w:rsid w:val="005F3AD4"/>
    <w:rsid w:val="00601305"/>
    <w:rsid w:val="006223F8"/>
    <w:rsid w:val="00654C24"/>
    <w:rsid w:val="00687DA3"/>
    <w:rsid w:val="00692384"/>
    <w:rsid w:val="006942D6"/>
    <w:rsid w:val="006A3613"/>
    <w:rsid w:val="006C4D28"/>
    <w:rsid w:val="00751217"/>
    <w:rsid w:val="007807FF"/>
    <w:rsid w:val="00793115"/>
    <w:rsid w:val="007A2EDC"/>
    <w:rsid w:val="007D7A70"/>
    <w:rsid w:val="00806AFE"/>
    <w:rsid w:val="00807EAC"/>
    <w:rsid w:val="008173AB"/>
    <w:rsid w:val="00822505"/>
    <w:rsid w:val="00843C36"/>
    <w:rsid w:val="00857449"/>
    <w:rsid w:val="00870F97"/>
    <w:rsid w:val="008D63B8"/>
    <w:rsid w:val="008F32D7"/>
    <w:rsid w:val="00953732"/>
    <w:rsid w:val="009832DC"/>
    <w:rsid w:val="00985801"/>
    <w:rsid w:val="009B1568"/>
    <w:rsid w:val="009B22F2"/>
    <w:rsid w:val="009E4925"/>
    <w:rsid w:val="00A32C03"/>
    <w:rsid w:val="00A448DB"/>
    <w:rsid w:val="00A54AEF"/>
    <w:rsid w:val="00A722F4"/>
    <w:rsid w:val="00A766B4"/>
    <w:rsid w:val="00A84972"/>
    <w:rsid w:val="00AA3C3F"/>
    <w:rsid w:val="00B26DE0"/>
    <w:rsid w:val="00B34AFD"/>
    <w:rsid w:val="00B43B8C"/>
    <w:rsid w:val="00B7214E"/>
    <w:rsid w:val="00B72DC2"/>
    <w:rsid w:val="00B81E71"/>
    <w:rsid w:val="00B874E5"/>
    <w:rsid w:val="00BB6640"/>
    <w:rsid w:val="00BD029A"/>
    <w:rsid w:val="00C042AA"/>
    <w:rsid w:val="00C17079"/>
    <w:rsid w:val="00C230C4"/>
    <w:rsid w:val="00C5192A"/>
    <w:rsid w:val="00C5370A"/>
    <w:rsid w:val="00C5572D"/>
    <w:rsid w:val="00C658CA"/>
    <w:rsid w:val="00C75356"/>
    <w:rsid w:val="00CA1F88"/>
    <w:rsid w:val="00D1679D"/>
    <w:rsid w:val="00D27699"/>
    <w:rsid w:val="00D33C8F"/>
    <w:rsid w:val="00D455C8"/>
    <w:rsid w:val="00D6030B"/>
    <w:rsid w:val="00DB4183"/>
    <w:rsid w:val="00DC6111"/>
    <w:rsid w:val="00DE433B"/>
    <w:rsid w:val="00DF6120"/>
    <w:rsid w:val="00E70A83"/>
    <w:rsid w:val="00EB2632"/>
    <w:rsid w:val="00EB39D5"/>
    <w:rsid w:val="00EC1977"/>
    <w:rsid w:val="00EF79B8"/>
    <w:rsid w:val="00F2013D"/>
    <w:rsid w:val="00F254F0"/>
    <w:rsid w:val="00FB4508"/>
    <w:rsid w:val="00FE1479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7A6F5"/>
  <w15:chartTrackingRefBased/>
  <w15:docId w15:val="{F8DD5016-1BAC-4151-AB0E-C8630FD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10"/>
    <w:pPr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23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1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806AFE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D0223"/>
    <w:rPr>
      <w:rFonts w:ascii="Arial" w:eastAsiaTheme="majorEastAsia" w:hAnsi="Arial" w:cstheme="majorBidi"/>
      <w:b/>
      <w:bCs/>
      <w:color w:val="0F4761" w:themeColor="accent1" w:themeShade="BF"/>
      <w:sz w:val="32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0D0223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23"/>
    <w:rPr>
      <w:rFonts w:ascii="Arial" w:eastAsiaTheme="majorEastAsia" w:hAnsi="Arial" w:cstheme="majorBidi"/>
      <w:b/>
      <w:bCs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5E10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1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1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1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C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C4"/>
    <w:rPr>
      <w:rFonts w:ascii="Arial" w:hAnsi="Arial"/>
    </w:rPr>
  </w:style>
  <w:style w:type="table" w:styleId="TableGrid">
    <w:name w:val="Table Grid"/>
    <w:basedOn w:val="TableNormal"/>
    <w:uiPriority w:val="39"/>
    <w:rsid w:val="005B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42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748</Words>
  <Characters>5035</Characters>
  <Application>Microsoft Office Word</Application>
  <DocSecurity>0</DocSecurity>
  <Lines>173</Lines>
  <Paragraphs>141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103</cp:revision>
  <cp:lastPrinted>2025-04-30T15:49:00Z</cp:lastPrinted>
  <dcterms:created xsi:type="dcterms:W3CDTF">2025-04-24T17:58:00Z</dcterms:created>
  <dcterms:modified xsi:type="dcterms:W3CDTF">2025-04-30T16:09:00Z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15f9277d-64ec-4f87-8cd2-7adca29017c5</vt:lpwstr>
  </property>
</Properties>
</file>