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1F4D78"/>
          <w:sz w:val="48"/>
        </w:rPr>
        <w:t>Smart Warranty Hub</w:t>
      </w:r>
    </w:p>
    <w:p>
      <w:pPr>
        <w:spacing w:after="320"/>
      </w:pPr>
      <w:r>
        <w:rPr>
          <w:rFonts w:ascii="Calibri" w:hAnsi="Calibri"/>
          <w:b w:val="0"/>
          <w:i w:val="0"/>
          <w:color w:val="1F4D78"/>
          <w:sz w:val="28"/>
        </w:rPr>
        <w:t>Hackathon Demo Guide</w:t>
      </w:r>
    </w:p>
    <w:p>
      <w:pPr>
        <w:spacing w:after="240"/>
      </w:pPr>
      <w:r>
        <w:rPr>
          <w:rFonts w:ascii="Calibri" w:hAnsi="Calibri"/>
          <w:b/>
          <w:i w:val="0"/>
          <w:color w:val="0B2545"/>
          <w:sz w:val="22"/>
        </w:rPr>
        <w:t xml:space="preserve">Pitch: </w:t>
      </w:r>
      <w:r>
        <w:rPr>
          <w:rFonts w:ascii="Calibri" w:hAnsi="Calibri"/>
          <w:b w:val="0"/>
          <w:i w:val="0"/>
          <w:color w:val="0B2545"/>
          <w:sz w:val="22"/>
        </w:rPr>
        <w:t>Smart Warranty Hub turns a customer's invoice into clear warranty guidance, proactive care and risk support, while giving OEM and TPA teams privacy-safe signals to act earlier.</w:t>
      </w:r>
    </w:p>
    <w:p>
      <w:pPr>
        <w:pStyle w:val="Heading1"/>
      </w:pPr>
      <w:r>
        <w:t>Two-Minute Judge Flow</w:t>
      </w:r>
    </w:p>
    <w:p>
      <w:pPr>
        <w:pStyle w:val="ListNumber"/>
        <w:spacing w:after="80" w:line="300" w:lineRule="auto"/>
      </w:pPr>
      <w:r>
        <w:t>Start on the public site and introduce Smart Warranty Hub as a post-purchase platform for customers, OEMs and TPAs.</w:t>
      </w:r>
    </w:p>
    <w:p>
      <w:pPr>
        <w:pStyle w:val="ListNumber"/>
        <w:spacing w:after="80" w:line="300" w:lineRule="auto"/>
      </w:pPr>
      <w:r>
        <w:t>Sign in and open the Neo dashboard.</w:t>
      </w:r>
    </w:p>
    <w:p>
      <w:pPr>
        <w:pStyle w:val="ListNumber"/>
        <w:spacing w:after="80" w:line="300" w:lineRule="auto"/>
      </w:pPr>
      <w:r>
        <w:t>Upload a sample invoice or choose an available warranty.</w:t>
      </w:r>
    </w:p>
    <w:p>
      <w:pPr>
        <w:pStyle w:val="ListNumber"/>
        <w:spacing w:after="80" w:line="300" w:lineRule="auto"/>
      </w:pPr>
      <w:r>
        <w:t>Show the warranty summary: product details, coverage, exclusions, claim steps, confidence and evidence/source context.</w:t>
      </w:r>
    </w:p>
    <w:p>
      <w:pPr>
        <w:pStyle w:val="ListNumber"/>
        <w:spacing w:after="80" w:line="300" w:lineRule="auto"/>
      </w:pPr>
      <w:r>
        <w:t>Show predictive risk, behaviour questions and preventative care or expiry guidance.</w:t>
      </w:r>
    </w:p>
    <w:p>
      <w:pPr>
        <w:pStyle w:val="ListNumber"/>
        <w:spacing w:after="80" w:line="300" w:lineRule="auto"/>
      </w:pPr>
      <w:r>
        <w:t>Open the Resolution checklist. Explain that it is draft-only and cannot submit a claim, contact an OEM or run a device action.</w:t>
      </w:r>
    </w:p>
    <w:p>
      <w:pPr>
        <w:pStyle w:val="ListNumber"/>
        <w:spacing w:after="80" w:line="300" w:lineRule="auto"/>
      </w:pPr>
      <w:r>
        <w:t>Switch to the OEM dashboard. Show aggregate insight, source verification and controlled question/recommendation workflows.</w:t>
      </w:r>
    </w:p>
    <w:p>
      <w:pPr>
        <w:pStyle w:val="ListNumber"/>
        <w:spacing w:after="80" w:line="300" w:lineRule="auto"/>
      </w:pPr>
      <w:r>
        <w:t>Close with the privacy boundary: direct OEM sharing needs explicit consent, and aggregate telemetry is cohort-suppressed.</w:t>
      </w:r>
    </w:p>
    <w:p>
      <w:pPr>
        <w:pStyle w:val="Heading1"/>
      </w:pPr>
      <w:r>
        <w:t>What Makes the Demo Credible</w:t>
      </w:r>
    </w:p>
    <w:p>
      <w:pPr>
        <w:pStyle w:val="ListBullet"/>
        <w:spacing w:after="80" w:line="300" w:lineRule="auto"/>
      </w:pPr>
      <w:r>
        <w:t>Invoice upload is size/type restricted and stored with server-generated filenames.</w:t>
      </w:r>
    </w:p>
    <w:p>
      <w:pPr>
        <w:pStyle w:val="ListBullet"/>
        <w:spacing w:after="80" w:line="300" w:lineRule="auto"/>
      </w:pPr>
      <w:r>
        <w:t>Warranty access is protected by authenticated ownership checks.</w:t>
      </w:r>
    </w:p>
    <w:p>
      <w:pPr>
        <w:pStyle w:val="ListBullet"/>
        <w:spacing w:after="80" w:line="300" w:lineRule="auto"/>
      </w:pPr>
      <w:r>
        <w:t>The OpenAI lane is optional and safely falls back when unavailable.</w:t>
      </w:r>
    </w:p>
    <w:p>
      <w:pPr>
        <w:pStyle w:val="ListBullet"/>
        <w:spacing w:after="80" w:line="300" w:lineRule="auto"/>
      </w:pPr>
      <w:r>
        <w:t>Telemetry strips direct identifiers before use and OEM aggregates require a minimum cohort.</w:t>
      </w:r>
    </w:p>
    <w:p>
      <w:pPr>
        <w:pStyle w:val="ListBullet"/>
        <w:spacing w:after="80" w:line="300" w:lineRule="auto"/>
      </w:pPr>
      <w:r>
        <w:t>High-risk/cost paths have CSRF protection, rate limits, request IDs and per-user AI quotas.</w:t>
      </w:r>
    </w:p>
    <w:p>
      <w:pPr>
        <w:pStyle w:val="ListBullet"/>
        <w:spacing w:after="80" w:line="300" w:lineRule="auto"/>
      </w:pPr>
      <w:r>
        <w:t>The warranty-resolution agent remains draft-only and records an audit trace.</w:t>
      </w:r>
    </w:p>
    <w:p>
      <w:pPr>
        <w:pStyle w:val="ListBullet"/>
        <w:spacing w:after="80" w:line="300" w:lineRule="auto"/>
      </w:pPr>
      <w:r>
        <w:t>The full automated suite currently passes: 122 tests.</w:t>
      </w:r>
    </w:p>
    <w:p>
      <w:pPr>
        <w:pStyle w:val="Heading1"/>
      </w:pPr>
      <w:r>
        <w:t>How to Describe Metrics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Use this wording: </w:t>
            </w:r>
            <w:r>
              <w:rPr>
                <w:rFonts w:ascii="Calibri" w:hAnsi="Calibri"/>
                <w:b w:val="0"/>
                <w:i w:val="0"/>
                <w:color w:val="1F4D78"/>
                <w:sz w:val="22"/>
              </w:rPr>
              <w:t>The repository includes controlled 50-case evaluations for the OCR, predictive, nudge, service, OEM dispatch, watchdog and remediation workflows. These are test metrics, not live customer results.</w:t>
            </w:r>
          </w:p>
        </w:tc>
      </w:tr>
    </w:tbl>
    <w:p>
      <w:pPr>
        <w:spacing w:before="160"/>
      </w:pPr>
      <w:r>
        <w:rPr>
          <w:rFonts w:ascii="Calibri" w:hAnsi="Calibri"/>
          <w:b/>
          <w:i w:val="0"/>
          <w:color w:val="7A5A00"/>
          <w:sz w:val="22"/>
        </w:rPr>
        <w:t>Do not claim live cost, turnaround, failure-prevention or OEM-outcome improvements without independently measured customer data.</w:t>
      </w:r>
    </w:p>
    <w:p>
      <w:pPr>
        <w:pStyle w:val="Heading1"/>
      </w:pPr>
      <w:r>
        <w:t>Judge Questions</w:t>
      </w:r>
    </w:p>
    <w:p>
      <w:pPr>
        <w:spacing w:after="120"/>
      </w:pPr>
      <w:r>
        <w:rPr>
          <w:rFonts w:ascii="Calibri" w:hAnsi="Calibri"/>
          <w:b/>
          <w:i w:val="0"/>
          <w:color w:val="1F4D78"/>
          <w:sz w:val="22"/>
        </w:rPr>
        <w:t xml:space="preserve">Is this production-ready? </w:t>
      </w:r>
      <w:r>
        <w:rPr>
          <w:rFonts w:ascii="Calibri" w:hAnsi="Calibri"/>
          <w:b w:val="0"/>
          <w:i w:val="0"/>
          <w:color w:val="0B2545"/>
          <w:sz w:val="22"/>
        </w:rPr>
        <w:t>It is ready for a controlled hackathon demo and pilot. A full production rollout would move local/process-level stores to managed Postgres, object storage and shared rate-limit/quota infrastructure.</w:t>
      </w:r>
    </w:p>
    <w:p>
      <w:pPr>
        <w:spacing w:after="120"/>
      </w:pPr>
      <w:r>
        <w:rPr>
          <w:rFonts w:ascii="Calibri" w:hAnsi="Calibri"/>
          <w:b/>
          <w:i w:val="0"/>
          <w:color w:val="1F4D78"/>
          <w:sz w:val="22"/>
        </w:rPr>
        <w:t xml:space="preserve">What does AI decide? </w:t>
      </w:r>
      <w:r>
        <w:rPr>
          <w:rFonts w:ascii="Calibri" w:hAnsi="Calibri"/>
          <w:b w:val="0"/>
          <w:i w:val="0"/>
          <w:color w:val="0B2545"/>
          <w:sz w:val="22"/>
        </w:rPr>
        <w:t>AI enriches and explains information, but deterministic warranty data, policy checks, consent, ownership and human-review boundaries remain authoritative. The agent cannot execute claims or device actions.</w:t>
      </w:r>
    </w:p>
    <w:p>
      <w:pPr>
        <w:spacing w:after="120"/>
      </w:pPr>
      <w:r>
        <w:rPr>
          <w:rFonts w:ascii="Calibri" w:hAnsi="Calibri"/>
          <w:b/>
          <w:i w:val="0"/>
          <w:color w:val="1F4D78"/>
          <w:sz w:val="22"/>
        </w:rPr>
        <w:t xml:space="preserve">How is customer data protected? </w:t>
      </w:r>
      <w:r>
        <w:rPr>
          <w:rFonts w:ascii="Calibri" w:hAnsi="Calibri"/>
          <w:b w:val="0"/>
          <w:i w:val="0"/>
          <w:color w:val="0B2545"/>
          <w:sz w:val="22"/>
        </w:rPr>
        <w:t>Users are isolated by ownership checks. Telemetry is sanitized, aggregate OEM insight has cohort suppression, and direct OEM communication requires separate explicit consent.</w:t>
      </w:r>
    </w:p>
    <w:p>
      <w:pPr>
        <w:spacing w:after="120"/>
      </w:pPr>
      <w:r>
        <w:rPr>
          <w:rFonts w:ascii="Calibri" w:hAnsi="Calibri"/>
          <w:b/>
          <w:i w:val="0"/>
          <w:color w:val="1F4D78"/>
          <w:sz w:val="22"/>
        </w:rPr>
        <w:t xml:space="preserve">What is the business value? </w:t>
      </w:r>
      <w:r>
        <w:rPr>
          <w:rFonts w:ascii="Calibri" w:hAnsi="Calibri"/>
          <w:b w:val="0"/>
          <w:i w:val="0"/>
          <w:color w:val="0B2545"/>
          <w:sz w:val="22"/>
        </w:rPr>
        <w:t>Customers get clearer coverage and earlier care guidance; OEM and TPA teams get privacy-safe early signals for support, service and product-quality workflows.</w:t>
      </w:r>
    </w:p>
    <w:p>
      <w:pPr>
        <w:pStyle w:val="Heading1"/>
      </w:pPr>
      <w:r>
        <w:t>Presentation Checklist</w:t>
      </w:r>
    </w:p>
    <w:p>
      <w:pPr>
        <w:pStyle w:val="ListBullet"/>
        <w:spacing w:after="80" w:line="300" w:lineRule="auto"/>
      </w:pPr>
      <w:r>
        <w:t>Use the active master branch for any code walkthrough.</w:t>
      </w:r>
    </w:p>
    <w:p>
      <w:pPr>
        <w:pStyle w:val="ListBullet"/>
        <w:spacing w:after="80" w:line="300" w:lineRule="auto"/>
      </w:pPr>
      <w:r>
        <w:t>Set master as the GitHub default branch before judges review the repository.</w:t>
      </w:r>
    </w:p>
    <w:p>
      <w:pPr>
        <w:pStyle w:val="ListBullet"/>
        <w:spacing w:after="80" w:line="300" w:lineRule="auto"/>
      </w:pPr>
      <w:r>
        <w:t>Keep one sample invoice and one known login ready.</w:t>
      </w:r>
    </w:p>
    <w:p>
      <w:pPr>
        <w:pStyle w:val="ListBullet"/>
        <w:spacing w:after="80" w:line="300" w:lineRule="auto"/>
      </w:pPr>
      <w:r>
        <w:t>Demonstrate the happy path; do not rely on an external OCR/LLM call during the presentation.</w:t>
      </w:r>
    </w:p>
    <w:p>
      <w:pPr>
        <w:pStyle w:val="ListBullet"/>
        <w:spacing w:after="80" w:line="300" w:lineRule="auto"/>
      </w:pPr>
      <w:r>
        <w:t>If an optional provider is unavailable, explain that deterministic fallbacks preserve the core 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1F4D78"/>
        <w:sz w:val="18"/>
      </w:rPr>
      <w:t>Controlled demo and judge presentation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1F4D78"/>
        <w:sz w:val="18"/>
      </w:rPr>
      <w:t>Smart Warranty Hub | Hackathon Demo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/>
      <w:b w:val="0"/>
      <w:color w:val="0B25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/>
      <w:b w:val="0"/>
      <w:color w:val="0B254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Warranty Hub Hackathon Demo Guide</dc:title>
  <dc:subject>Controlled demo and judge presentation guide</dc:subject>
  <dc:creator>Smart Warranty 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