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5F926F27" w14:textId="77777777" w:rsidR="0054170E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Seguimiento y Resultados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context-scope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monitoring-results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0FBF11AC" w14:textId="77777777" w:rsidR="0054170E" w:rsidRDefault="00000000">
      <w:pPr>
        <w:spacing w:after="160" w:line="276" w:lineRule="auto"/>
        <w:jc w:val="both"/>
      </w:pPr>
      <w:r/>
      <w:r>
        <w:rPr>
          <w:b/>
          <w:bCs/>
        </w:rPr>
        <w:t>Seguimiento y Resultados</w:t>
      </w:r>
      <w:r>
        <w:t xml:space="preserve"> constituye el único ítem visible en la sección </w:t>
      </w:r>
      <w:r>
        <w:rPr>
          <w:b/>
          <w:bCs/>
        </w:rPr>
        <w:t>Contexto y Alcance</w:t>
      </w:r>
      <w:r>
        <w:t xml:space="preserve">. Aquí podrán consultarse y registrarse los resultados de los </w:t>
      </w:r>
      <w:proofErr w:type="spellStart"/>
      <w:r>
        <w:t>KPIs</w:t>
      </w:r>
      <w:proofErr w:type="spellEnd"/>
      <w:r>
        <w:t xml:space="preserve"> de los que se sea </w:t>
      </w:r>
      <w:r>
        <w:rPr>
          <w:b/>
          <w:bCs/>
        </w:rPr>
        <w:t>persona responsable</w:t>
      </w:r>
      <w:r>
        <w:t>, comparándolos automáticamente con las metas que definió el administrador.</w:t>
      </w:r>
    </w:p>
    <w:p w14:paraId="3015B98B" w14:textId="4DB01D5A" w:rsidR="0054170E" w:rsidRDefault="00725CC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725CC9">
        <w:rPr>
          <w:i/>
          <w:iCs/>
          <w:color w:val="595959"/>
          <w:sz w:val="20"/>
          <w:szCs w:val="20"/>
        </w:rPr>
        <w:drawing>
          <wp:inline distT="0" distB="0" distL="0" distR="0" wp14:anchorId="300C6B2C" wp14:editId="677848BB">
            <wp:extent cx="61722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CC9">
        <w:rPr>
          <w:i/>
          <w:iCs/>
          <w:color w:val="595959"/>
          <w:sz w:val="20"/>
          <w:szCs w:val="20"/>
        </w:rPr>
        <w:t xml:space="preserve"> </w:t>
      </w:r>
    </w:p>
    <w:p w14:paraId="4C7BDCF7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46D8D6E8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Dos Advertencias Importantes 📌</w:t>
      </w:r>
    </w:p>
    <w:p w14:paraId="07B960B2" w14:textId="77777777" w:rsidR="0054170E" w:rsidRDefault="00000000">
      <w:pPr>
        <w:spacing w:after="160" w:line="276" w:lineRule="auto"/>
        <w:jc w:val="both"/>
      </w:pPr>
      <w:r>
        <w:rPr>
          <w:b/>
          <w:bCs/>
        </w:rPr>
        <w:t xml:space="preserve">Solo se visualizan los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en los que se sea persona responsable</w:t>
      </w:r>
      <w:r>
        <w:t xml:space="preserve"> — el resto de los </w:t>
      </w:r>
      <w:proofErr w:type="spellStart"/>
      <w:r>
        <w:t>KPIs</w:t>
      </w:r>
      <w:proofErr w:type="spellEnd"/>
      <w:r>
        <w:t xml:space="preserve"> del cliente, aunque existan, no aparecen en esta pantalla.</w:t>
      </w:r>
    </w:p>
    <w:p w14:paraId="6DBF3B0B" w14:textId="77777777" w:rsidR="0054170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 se visualiza la tarjeta "Flujo de Aprobación de Seguimiento"</w:t>
      </w:r>
      <w:r>
        <w:rPr>
          <w:sz w:val="21"/>
          <w:szCs w:val="21"/>
        </w:rPr>
        <w:t xml:space="preserve"> ni los botones </w:t>
      </w:r>
      <w:r>
        <w:rPr>
          <w:b/>
          <w:bCs/>
          <w:sz w:val="21"/>
          <w:szCs w:val="21"/>
        </w:rPr>
        <w:t>Enviar a Aprobación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Configurar Flujo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Reenviar a Aprobación</w:t>
      </w:r>
      <w:r>
        <w:rPr>
          <w:sz w:val="21"/>
          <w:szCs w:val="21"/>
        </w:rPr>
        <w:t xml:space="preserve"> o </w:t>
      </w:r>
      <w:r>
        <w:rPr>
          <w:b/>
          <w:bCs/>
          <w:sz w:val="21"/>
          <w:szCs w:val="21"/>
        </w:rPr>
        <w:t>Publicar Seguimiento</w:t>
      </w:r>
      <w:r>
        <w:rPr>
          <w:sz w:val="21"/>
          <w:szCs w:val="21"/>
        </w:rPr>
        <w:t xml:space="preserve"> — esas acciones son exclusivas del Administrador. Este módulo no configura </w:t>
      </w:r>
      <w:proofErr w:type="spellStart"/>
      <w:r>
        <w:rPr>
          <w:sz w:val="21"/>
          <w:szCs w:val="21"/>
        </w:rPr>
        <w:t>KPIs</w:t>
      </w:r>
      <w:proofErr w:type="spellEnd"/>
      <w:r>
        <w:rPr>
          <w:sz w:val="21"/>
          <w:szCs w:val="21"/>
        </w:rPr>
        <w:t xml:space="preserve"> ni sus umbrales, solo lee lo que ya definió el administrador.</w:t>
      </w:r>
    </w:p>
    <w:p w14:paraId="5C48FF8B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77805CB9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12720E42" w14:textId="77777777" w:rsidR="0054170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3C99C6EE" w14:textId="77777777" w:rsidR="0054170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Contexto y Alcance</w:t>
      </w:r>
      <w:r>
        <w:t>.</w:t>
      </w:r>
    </w:p>
    <w:p w14:paraId="727160D7" w14:textId="77777777" w:rsidR="0054170E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Seguimiento y Resultados</w:t>
      </w:r>
      <w:r>
        <w:t xml:space="preserve"> (único ítem visible para el perfil correspondiente).</w:t>
      </w:r>
    </w:p>
    <w:p w14:paraId="029D03C8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5CA6C3E1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Podrá Encontrarse en la Pantalla?</w:t>
      </w:r>
    </w:p>
    <w:p w14:paraId="04B57FBD" w14:textId="77777777" w:rsidR="0054170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 del periodo</w:t>
      </w:r>
      <w:r>
        <w:t xml:space="preserve">, con los chips de </w:t>
      </w:r>
      <w:r>
        <w:rPr>
          <w:b/>
          <w:bCs/>
        </w:rPr>
        <w:t>Año</w:t>
      </w:r>
      <w:r>
        <w:t xml:space="preserve"> y </w:t>
      </w:r>
      <w:r>
        <w:rPr>
          <w:b/>
          <w:bCs/>
        </w:rPr>
        <w:t>Mes</w:t>
      </w:r>
      <w:r>
        <w:t>.</w:t>
      </w:r>
    </w:p>
    <w:p w14:paraId="41F2167B" w14:textId="77777777" w:rsidR="0054170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de Seguimiento y Resultados</w:t>
      </w:r>
      <w:r>
        <w:t>.</w:t>
      </w:r>
    </w:p>
    <w:p w14:paraId="7F553596" w14:textId="77777777" w:rsidR="0054170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Avisos de estado</w:t>
      </w:r>
      <w:r>
        <w:t xml:space="preserve"> (solo cuando corresponda — sección 5).</w:t>
      </w:r>
    </w:p>
    <w:p w14:paraId="02F5B195" w14:textId="77777777" w:rsidR="0054170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4 tarjetas de resumen</w:t>
      </w:r>
      <w:r>
        <w:t>.</w:t>
      </w:r>
    </w:p>
    <w:p w14:paraId="26AA5ECC" w14:textId="77777777" w:rsidR="0054170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Resultados por KPI</w:t>
      </w:r>
      <w:r>
        <w:t>, una tarjeta por cada KPI asignado.</w:t>
      </w:r>
    </w:p>
    <w:p w14:paraId="71037E64" w14:textId="77777777" w:rsidR="0054170E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aprobaciones de seguimiento</w:t>
      </w:r>
      <w:r>
        <w:t>.</w:t>
      </w:r>
    </w:p>
    <w:p w14:paraId="2E14C1B5" w14:textId="289B8C41" w:rsidR="0054170E" w:rsidRDefault="00725CC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725CC9">
        <w:rPr>
          <w:i/>
          <w:iCs/>
          <w:color w:val="595959"/>
          <w:sz w:val="20"/>
          <w:szCs w:val="20"/>
        </w:rPr>
        <w:drawing>
          <wp:inline distT="0" distB="0" distL="0" distR="0" wp14:anchorId="68A86A41" wp14:editId="20013D92">
            <wp:extent cx="6172200" cy="3531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CC9">
        <w:rPr>
          <w:i/>
          <w:iCs/>
          <w:color w:val="595959"/>
          <w:sz w:val="20"/>
          <w:szCs w:val="20"/>
        </w:rPr>
        <w:t xml:space="preserve"> </w:t>
      </w:r>
    </w:p>
    <w:p w14:paraId="6D580E80" w14:textId="77777777" w:rsidR="0054170E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los resultados se comparan automáticamente con las metas definidas — deberá utilizarse "Ver historial mensual" para revisar o editar los valores mensuales. Los nombres de Valor 1 y Valor 2 solo aplican a </w:t>
      </w:r>
      <w:proofErr w:type="spellStart"/>
      <w:r>
        <w:t>KPIs</w:t>
      </w:r>
      <w:proofErr w:type="spellEnd"/>
      <w:r>
        <w:t xml:space="preserve"> personalizados.</w:t>
      </w:r>
    </w:p>
    <w:p w14:paraId="663124DB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065FD62E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Resumen General</w:t>
      </w:r>
    </w:p>
    <w:p w14:paraId="25A8566A" w14:textId="77777777" w:rsidR="0054170E" w:rsidRDefault="00000000">
      <w:pPr>
        <w:spacing w:after="160" w:line="276" w:lineRule="auto"/>
        <w:jc w:val="both"/>
      </w:pPr>
      <w:r>
        <w:t xml:space="preserve">4 tarjetas: </w:t>
      </w:r>
      <w:r>
        <w:rPr>
          <w:b/>
          <w:bCs/>
        </w:rPr>
        <w:t>Cumplimiento general</w:t>
      </w:r>
      <w:r>
        <w:t xml:space="preserve"> (% en verde),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en verde</w:t>
      </w:r>
      <w:r>
        <w:t xml:space="preserve">, </w:t>
      </w:r>
      <w:r>
        <w:rPr>
          <w:b/>
          <w:bCs/>
        </w:rPr>
        <w:t>KPI en amarillo</w:t>
      </w:r>
      <w:r>
        <w:t xml:space="preserve"> y </w:t>
      </w:r>
      <w:r>
        <w:rPr>
          <w:b/>
          <w:bCs/>
        </w:rPr>
        <w:t>KPI en rojo</w:t>
      </w:r>
      <w:r>
        <w:t>.</w:t>
      </w:r>
    </w:p>
    <w:p w14:paraId="4607E0B9" w14:textId="77777777" w:rsidR="0054170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Estos números se calculan </w:t>
      </w:r>
      <w:r>
        <w:rPr>
          <w:b/>
          <w:bCs/>
          <w:sz w:val="21"/>
          <w:szCs w:val="21"/>
        </w:rPr>
        <w:t xml:space="preserve">solo sobre los </w:t>
      </w:r>
      <w:proofErr w:type="spellStart"/>
      <w:r>
        <w:rPr>
          <w:b/>
          <w:bCs/>
          <w:sz w:val="21"/>
          <w:szCs w:val="21"/>
        </w:rPr>
        <w:t>KPIs</w:t>
      </w:r>
      <w:proofErr w:type="spellEnd"/>
      <w:r>
        <w:rPr>
          <w:sz w:val="21"/>
          <w:szCs w:val="21"/>
        </w:rPr>
        <w:t xml:space="preserve"> — los que están asignados como responsable.</w:t>
      </w:r>
    </w:p>
    <w:p w14:paraId="3744E63C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69415B25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Avisos de Estado Visibles</w:t>
      </w:r>
    </w:p>
    <w:p w14:paraId="0B5281FF" w14:textId="77777777" w:rsidR="0054170E" w:rsidRDefault="00000000">
      <w:pPr>
        <w:spacing w:after="160" w:line="276" w:lineRule="auto"/>
        <w:jc w:val="both"/>
      </w:pPr>
      <w:r>
        <w:t>Aunque no se gestione el flujo de aprobación, estos avisos igualmente se mostrarán, ya que se despliegan a todos los usuarios.</w:t>
      </w:r>
    </w:p>
    <w:p w14:paraId="7751C829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5.1 Si el Seguimiento fue Devuelto</w:t>
      </w:r>
    </w:p>
    <w:p w14:paraId="1778B366" w14:textId="77777777" w:rsidR="0054170E" w:rsidRDefault="00000000">
      <w:pPr>
        <w:spacing w:after="160" w:line="276" w:lineRule="auto"/>
        <w:jc w:val="both"/>
      </w:pPr>
      <w:r>
        <w:t xml:space="preserve">Tarjeta ámbar: </w:t>
      </w:r>
      <w:r>
        <w:rPr>
          <w:i/>
          <w:iCs/>
        </w:rPr>
        <w:t xml:space="preserve">"Se devolvió el seguimiento de </w:t>
      </w:r>
      <w:proofErr w:type="spellStart"/>
      <w:r>
        <w:rPr>
          <w:i/>
          <w:iCs/>
        </w:rPr>
        <w:t>KPIs</w:t>
      </w:r>
      <w:proofErr w:type="spellEnd"/>
      <w:r>
        <w:rPr>
          <w:i/>
          <w:iCs/>
        </w:rPr>
        <w:t xml:space="preserve"> para corrección"</w:t>
      </w:r>
      <w:r>
        <w:t xml:space="preserve">, con revisor, fecha/hora y </w:t>
      </w:r>
      <w:r>
        <w:rPr>
          <w:b/>
          <w:bCs/>
        </w:rPr>
        <w:t>justificación</w:t>
      </w:r>
      <w:r>
        <w:t>.</w:t>
      </w:r>
    </w:p>
    <w:p w14:paraId="0C87161E" w14:textId="77777777" w:rsidR="0054170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Podrá leerse la justificación, pero el reenvío no corresponde al usuario</w:t>
      </w:r>
      <w:r>
        <w:rPr>
          <w:sz w:val="21"/>
          <w:szCs w:val="21"/>
        </w:rPr>
        <w:t xml:space="preserve"> — el botón </w:t>
      </w:r>
      <w:r>
        <w:rPr>
          <w:b/>
          <w:bCs/>
          <w:sz w:val="21"/>
          <w:szCs w:val="21"/>
        </w:rPr>
        <w:t>Reenviar a Aprobación</w:t>
      </w:r>
      <w:r>
        <w:rPr>
          <w:sz w:val="21"/>
          <w:szCs w:val="21"/>
        </w:rPr>
        <w:t xml:space="preserve"> solo existe en el panel del administrador. Si un KPI asignado necesita corrección, deberá coordinarse con él.</w:t>
      </w:r>
    </w:p>
    <w:p w14:paraId="35682A02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5.2 Si el Seguimiento está Bajo Revisión</w:t>
      </w:r>
    </w:p>
    <w:p w14:paraId="78204F89" w14:textId="77777777" w:rsidR="0054170E" w:rsidRDefault="00000000">
      <w:pPr>
        <w:spacing w:after="160" w:line="276" w:lineRule="auto"/>
        <w:jc w:val="both"/>
      </w:pPr>
      <w:r>
        <w:t xml:space="preserve">Tarjeta azul: </w:t>
      </w:r>
      <w:r>
        <w:rPr>
          <w:i/>
          <w:iCs/>
        </w:rPr>
        <w:t>"Seguimiento bajo revisión — Los datos de seguimiento y resultados se encuentran bloqueados temporalmente para edición debido a un flujo de aprobación activo."</w:t>
      </w:r>
      <w:r>
        <w:t xml:space="preserve"> Mientras dure: no podrán editarse valores, notas ni evidencias, y los botones pasarán a modo consulta (</w:t>
      </w:r>
      <w:r>
        <w:rPr>
          <w:b/>
          <w:bCs/>
        </w:rPr>
        <w:t>Ver Seguimiento</w:t>
      </w:r>
      <w:r>
        <w:t xml:space="preserve">, </w:t>
      </w:r>
      <w:r>
        <w:rPr>
          <w:b/>
          <w:bCs/>
        </w:rPr>
        <w:t>Ver historial mensual</w:t>
      </w:r>
      <w:r>
        <w:t xml:space="preserve"> sin guardar). Podrá continuarse </w:t>
      </w:r>
      <w:r>
        <w:rPr>
          <w:b/>
          <w:bCs/>
        </w:rPr>
        <w:t>consultando</w:t>
      </w:r>
      <w:r>
        <w:t xml:space="preserve"> normalmente.</w:t>
      </w:r>
    </w:p>
    <w:p w14:paraId="0A983F8C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0DCA8C3E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Resultados por KPI 📈</w:t>
      </w:r>
    </w:p>
    <w:p w14:paraId="2E72EAB6" w14:textId="77777777" w:rsidR="0054170E" w:rsidRDefault="00000000">
      <w:pPr>
        <w:spacing w:after="160" w:line="276" w:lineRule="auto"/>
        <w:jc w:val="both"/>
      </w:pPr>
      <w:r>
        <w:t xml:space="preserve">Sin ningún KPI asignado: "No tienes </w:t>
      </w:r>
      <w:proofErr w:type="spellStart"/>
      <w:r>
        <w:t>KPIs</w:t>
      </w:r>
      <w:proofErr w:type="spellEnd"/>
      <w:r>
        <w:t xml:space="preserve"> asignados con umbrales para mostrar." (mensaje distinto al del administrador — significa que no hay </w:t>
      </w:r>
      <w:proofErr w:type="spellStart"/>
      <w:r>
        <w:t>KPIs</w:t>
      </w:r>
      <w:proofErr w:type="spellEnd"/>
      <w:r>
        <w:t xml:space="preserve"> asignados al usuario, no que el cliente no tenga ninguno).</w:t>
      </w:r>
    </w:p>
    <w:p w14:paraId="09A306D6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6.1 Cada Tarjeta Muestra</w:t>
      </w:r>
    </w:p>
    <w:p w14:paraId="4E49F47E" w14:textId="77777777" w:rsidR="0054170E" w:rsidRDefault="00000000">
      <w:pPr>
        <w:spacing w:after="160" w:line="276" w:lineRule="auto"/>
        <w:jc w:val="both"/>
      </w:pPr>
      <w:r>
        <w:t xml:space="preserve">Nombre y frecuencia; </w:t>
      </w:r>
      <w:r>
        <w:rPr>
          <w:b/>
          <w:bCs/>
        </w:rPr>
        <w:t>Umbrales</w:t>
      </w:r>
      <w:r>
        <w:t xml:space="preserve"> ("Umbrales: Verde ≥ 90%, Amarillo ≥ 75%, Rojo &lt; 75%", o "Sin umbral configurado."); </w:t>
      </w:r>
      <w:r>
        <w:rPr>
          <w:b/>
          <w:bCs/>
        </w:rPr>
        <w:t>Resultado actual</w:t>
      </w:r>
      <w:r>
        <w:t xml:space="preserve"> (calculado según la fórmula, "Calculando resultado…" mientras procesa); una </w:t>
      </w:r>
      <w:r>
        <w:rPr>
          <w:b/>
          <w:bCs/>
        </w:rPr>
        <w:t>barra de progreso</w:t>
      </w:r>
      <w:r>
        <w:t xml:space="preserve"> coloreada; y si no se está en verde, la </w:t>
      </w:r>
      <w:r>
        <w:rPr>
          <w:b/>
          <w:bCs/>
        </w:rPr>
        <w:t>desviación</w:t>
      </w:r>
      <w:r>
        <w:t xml:space="preserve"> ("La desviación es del X% sobre/por debajo de la meta.").</w:t>
      </w:r>
    </w:p>
    <w:p w14:paraId="06355AD2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6.2 Semáforo de Cumplimiento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54170E" w14:paraId="7D49B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9E3FC" w14:textId="77777777" w:rsidR="0054170E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C0F23" w14:textId="77777777" w:rsidR="0054170E" w:rsidRDefault="00000000">
            <w:r>
              <w:rPr>
                <w:b/>
                <w:bCs/>
                <w:color w:val="FFFFFF"/>
                <w:sz w:val="20"/>
                <w:szCs w:val="20"/>
              </w:rPr>
              <w:t>Etiqueta junto a la barra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DB4B0" w14:textId="77777777" w:rsidR="0054170E" w:rsidRDefault="00000000">
            <w:r>
              <w:rPr>
                <w:b/>
                <w:bCs/>
                <w:color w:val="FFFFFF"/>
                <w:sz w:val="20"/>
                <w:szCs w:val="20"/>
              </w:rPr>
              <w:t>Insignia</w:t>
            </w:r>
          </w:p>
        </w:tc>
      </w:tr>
      <w:tr w:rsidR="0054170E" w14:paraId="7936A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20B6B" w14:textId="77777777" w:rsidR="0054170E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CC4A4" w14:textId="77777777" w:rsidR="0054170E" w:rsidRDefault="00000000">
            <w:r>
              <w:rPr>
                <w:sz w:val="20"/>
                <w:szCs w:val="20"/>
              </w:rPr>
              <w:t>"¡Meta Alcanzada!"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86F7" w14:textId="77777777" w:rsidR="0054170E" w:rsidRDefault="00000000">
            <w:r>
              <w:rPr>
                <w:sz w:val="20"/>
                <w:szCs w:val="20"/>
              </w:rPr>
              <w:t>DESEMPEÑO ÓPTIMO</w:t>
            </w:r>
          </w:p>
        </w:tc>
      </w:tr>
      <w:tr w:rsidR="0054170E" w14:paraId="3FB67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C458F" w14:textId="77777777" w:rsidR="0054170E" w:rsidRDefault="00000000">
            <w:r>
              <w:rPr>
                <w:sz w:val="20"/>
                <w:szCs w:val="20"/>
              </w:rPr>
              <w:t>Amarillo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54310" w14:textId="77777777" w:rsidR="0054170E" w:rsidRDefault="00000000">
            <w:r>
              <w:rPr>
                <w:sz w:val="20"/>
                <w:szCs w:val="20"/>
              </w:rPr>
              <w:t>"Atención"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7490" w14:textId="77777777" w:rsidR="0054170E" w:rsidRDefault="00000000">
            <w:r>
              <w:rPr>
                <w:sz w:val="20"/>
                <w:szCs w:val="20"/>
              </w:rPr>
              <w:t>REQUIERE SEGUIMIENTO</w:t>
            </w:r>
          </w:p>
        </w:tc>
      </w:tr>
      <w:tr w:rsidR="0054170E" w14:paraId="351D2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0ECBE" w14:textId="77777777" w:rsidR="0054170E" w:rsidRDefault="00000000">
            <w:r>
              <w:rPr>
                <w:sz w:val="20"/>
                <w:szCs w:val="20"/>
              </w:rPr>
              <w:t>Rojo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7189A" w14:textId="77777777" w:rsidR="0054170E" w:rsidRDefault="00000000">
            <w:r>
              <w:rPr>
                <w:sz w:val="20"/>
                <w:szCs w:val="20"/>
              </w:rPr>
              <w:t>"Fuera de Umbral"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7B525" w14:textId="77777777" w:rsidR="0054170E" w:rsidRDefault="00000000">
            <w:r>
              <w:rPr>
                <w:sz w:val="20"/>
                <w:szCs w:val="20"/>
              </w:rPr>
              <w:t>REQUIERE ACCIÓN</w:t>
            </w:r>
          </w:p>
        </w:tc>
      </w:tr>
    </w:tbl>
    <w:p w14:paraId="3A74E847" w14:textId="77777777" w:rsidR="0054170E" w:rsidRDefault="0054170E">
      <w:pPr>
        <w:spacing w:after="160"/>
      </w:pPr>
    </w:p>
    <w:p w14:paraId="31FFBA18" w14:textId="77777777" w:rsidR="0054170E" w:rsidRDefault="00000000">
      <w:pPr>
        <w:spacing w:after="160" w:line="276" w:lineRule="auto"/>
        <w:jc w:val="both"/>
      </w:pPr>
      <w:r>
        <w:t>Depende del sentido del indicador: "mayor es mejor" (verde si ≥ umbral verde) o "menor es mejor" (verde si ≤ umbral verde).</w:t>
      </w:r>
    </w:p>
    <w:p w14:paraId="3A92FD71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6.3 KPI Personalizado sin Cálculo Automático</w:t>
      </w:r>
    </w:p>
    <w:p w14:paraId="34119FE8" w14:textId="77777777" w:rsidR="0054170E" w:rsidRDefault="00000000">
      <w:pPr>
        <w:spacing w:after="160" w:line="276" w:lineRule="auto"/>
        <w:jc w:val="both"/>
      </w:pPr>
      <w:r>
        <w:t xml:space="preserve">Se mostrará: </w:t>
      </w:r>
      <w:r>
        <w:rPr>
          <w:i/>
          <w:iCs/>
        </w:rPr>
        <w:t>"No se puede calcular el resultado actual, debido a que es un KPI personalizado. Usa 'Ver historial mensual' para registrar el valor manualmente."</w:t>
      </w:r>
    </w:p>
    <w:p w14:paraId="2330688A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6.4 Si el KPI está en Rojo: Registro de un Evento</w:t>
      </w:r>
    </w:p>
    <w:p w14:paraId="13274722" w14:textId="77777777" w:rsidR="0054170E" w:rsidRDefault="00000000">
      <w:pPr>
        <w:spacing w:after="160" w:line="276" w:lineRule="auto"/>
        <w:jc w:val="both"/>
      </w:pPr>
      <w:r>
        <w:t xml:space="preserve">Sin evento registrado: </w:t>
      </w:r>
      <w:r>
        <w:rPr>
          <w:i/>
          <w:iCs/>
        </w:rPr>
        <w:t>"Este KPI incumple su meta. Registra un evento de seguridad asociado."</w:t>
      </w:r>
      <w:r>
        <w:t xml:space="preserve"> con </w:t>
      </w:r>
      <w:r>
        <w:rPr>
          <w:b/>
          <w:bCs/>
        </w:rPr>
        <w:t>Registrar evento de seguridad</w:t>
      </w:r>
      <w:r>
        <w:t xml:space="preserve">, que conducirá al formulario de reporte con los datos ya prellenados. Con uno ya registrado: </w:t>
      </w:r>
      <w:r>
        <w:rPr>
          <w:b/>
          <w:bCs/>
        </w:rPr>
        <w:t>Ver evento (CÓDIGO)</w:t>
      </w:r>
      <w:r>
        <w:t>, que conducirá a la lista de eventos filtrada.</w:t>
      </w:r>
    </w:p>
    <w:p w14:paraId="64E0A463" w14:textId="77777777" w:rsidR="0054170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Esta acción no es exclusiva del administrador</w:t>
      </w:r>
      <w:r>
        <w:rPr>
          <w:sz w:val="21"/>
          <w:szCs w:val="21"/>
        </w:rPr>
        <w:t xml:space="preserve"> — cualquier responsable del KPI puede registrar o consultar el evento.</w:t>
      </w:r>
    </w:p>
    <w:p w14:paraId="190F5D48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6.5 Cómo Entrar al Detalle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4170E" w14:paraId="2C970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A5B89" w14:textId="77777777" w:rsidR="0054170E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KPI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68271" w14:textId="77777777" w:rsidR="0054170E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</w:tr>
      <w:tr w:rsidR="0054170E" w14:paraId="62498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37535" w14:textId="77777777" w:rsidR="0054170E" w:rsidRDefault="00000000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448CC" w14:textId="77777777" w:rsidR="0054170E" w:rsidRDefault="00000000">
            <w:r>
              <w:rPr>
                <w:sz w:val="20"/>
                <w:szCs w:val="20"/>
              </w:rPr>
              <w:t>Ver historial mensual</w:t>
            </w:r>
          </w:p>
        </w:tc>
      </w:tr>
      <w:tr w:rsidR="0054170E" w14:paraId="382F1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FD087" w14:textId="77777777" w:rsidR="0054170E" w:rsidRDefault="00000000">
            <w:r>
              <w:rPr>
                <w:sz w:val="20"/>
                <w:szCs w:val="20"/>
              </w:rPr>
              <w:t>Personalizado o periódico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FAF26" w14:textId="77777777" w:rsidR="0054170E" w:rsidRDefault="00000000">
            <w:r>
              <w:rPr>
                <w:sz w:val="20"/>
                <w:szCs w:val="20"/>
              </w:rPr>
              <w:t>Realizar Seguimiento</w:t>
            </w:r>
          </w:p>
        </w:tc>
      </w:tr>
    </w:tbl>
    <w:p w14:paraId="00D48758" w14:textId="77777777" w:rsidR="0054170E" w:rsidRDefault="0054170E">
      <w:pPr>
        <w:spacing w:after="160"/>
      </w:pPr>
    </w:p>
    <w:p w14:paraId="7458EFCA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12F41AC3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Historial Mensual (</w:t>
      </w:r>
      <w:proofErr w:type="spellStart"/>
      <w:r>
        <w:rPr>
          <w:b/>
          <w:bCs/>
          <w:color w:val="1F4E79"/>
        </w:rPr>
        <w:t>KPIs</w:t>
      </w:r>
      <w:proofErr w:type="spellEnd"/>
      <w:r>
        <w:rPr>
          <w:b/>
          <w:bCs/>
          <w:color w:val="1F4E79"/>
        </w:rPr>
        <w:t xml:space="preserve"> con Frecuencia Mensual) 📅</w:t>
      </w:r>
    </w:p>
    <w:p w14:paraId="39B36BF4" w14:textId="77777777" w:rsidR="0054170E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Ver historial mensual</w:t>
      </w:r>
      <w:r>
        <w:t>. Se mostrará "Historial Mensual: [nombre]", el año, el objetivo estratégico asociado, el sentido del indicador y la meta de umbral.</w:t>
      </w:r>
    </w:p>
    <w:p w14:paraId="33414390" w14:textId="77777777" w:rsidR="0054170E" w:rsidRDefault="00000000">
      <w:pPr>
        <w:spacing w:after="160" w:line="276" w:lineRule="auto"/>
        <w:jc w:val="both"/>
      </w:pPr>
      <w:r>
        <w:t xml:space="preserve">La tabla se organiza en trimestres con: </w:t>
      </w:r>
      <w:r>
        <w:rPr>
          <w:b/>
          <w:bCs/>
        </w:rPr>
        <w:t>&lt;Valor 1&gt;</w:t>
      </w:r>
      <w:r>
        <w:t xml:space="preserve">, </w:t>
      </w:r>
      <w:r>
        <w:rPr>
          <w:b/>
          <w:bCs/>
        </w:rPr>
        <w:t>&lt;Valor 2&gt;</w:t>
      </w:r>
      <w:r>
        <w:t xml:space="preserve"> (si aplica), </w:t>
      </w:r>
      <w:r>
        <w:rPr>
          <w:b/>
          <w:bCs/>
        </w:rPr>
        <w:t>Cálculo (%)</w:t>
      </w:r>
      <w:r>
        <w:t xml:space="preserve"> (coloreado), </w:t>
      </w:r>
      <w:r>
        <w:rPr>
          <w:b/>
          <w:bCs/>
        </w:rPr>
        <w:t>Meta (%)</w:t>
      </w:r>
      <w:r>
        <w:t xml:space="preserve"> y el </w:t>
      </w:r>
      <w:r>
        <w:rPr>
          <w:b/>
          <w:bCs/>
        </w:rPr>
        <w:t>Promedio</w:t>
      </w:r>
      <w:r>
        <w:t xml:space="preserve"> trimestral al pie. Sin datos en un mes: "—".</w:t>
      </w:r>
    </w:p>
    <w:p w14:paraId="69C9AF92" w14:textId="77777777" w:rsidR="0054170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Cada mes solo se puede registrar una vez</w:t>
      </w:r>
      <w:r>
        <w:rPr>
          <w:sz w:val="21"/>
          <w:szCs w:val="21"/>
        </w:rPr>
        <w:t xml:space="preserve"> (solo en </w:t>
      </w:r>
      <w:proofErr w:type="spellStart"/>
      <w:r>
        <w:rPr>
          <w:sz w:val="21"/>
          <w:szCs w:val="21"/>
        </w:rPr>
        <w:t>KPIs</w:t>
      </w:r>
      <w:proofErr w:type="spellEnd"/>
      <w:r>
        <w:rPr>
          <w:sz w:val="21"/>
          <w:szCs w:val="21"/>
        </w:rPr>
        <w:t xml:space="preserve"> personalizados) — un mes ya guardado queda bloqueado. Los valores deben ser mayores que 0.</w:t>
      </w:r>
    </w:p>
    <w:p w14:paraId="79616015" w14:textId="77777777" w:rsidR="0054170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Esta edición no está restringida por rol</w:t>
      </w:r>
      <w:r>
        <w:rPr>
          <w:sz w:val="21"/>
          <w:szCs w:val="21"/>
        </w:rPr>
        <w:t xml:space="preserve"> — si se es responsable de un KPI personalizado, podrán editarse sus meses (mientras no estén bloqueados y no haya un flujo activo).</w:t>
      </w:r>
    </w:p>
    <w:p w14:paraId="27B002FC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7.1 Cómo Guardar</w:t>
      </w:r>
    </w:p>
    <w:p w14:paraId="266F530B" w14:textId="77777777" w:rsidR="0054170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Deberán completarse los valores (el Cálculo y Promedio se recalculan en vivo).</w:t>
      </w:r>
    </w:p>
    <w:p w14:paraId="17D18A24" w14:textId="77777777" w:rsidR="0054170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Guardar cambios</w:t>
      </w:r>
      <w:r>
        <w:t>.</w:t>
      </w:r>
    </w:p>
    <w:p w14:paraId="5CAD42F2" w14:textId="77777777" w:rsidR="0054170E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"¿Estás seguro que deseas guardar? No podrá ser modificado posteriormente."</w:t>
      </w:r>
    </w:p>
    <w:p w14:paraId="7DEE1CC5" w14:textId="77777777" w:rsidR="0054170E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Una vez confirmado, esos meses no se pueden modificar después.</w:t>
      </w:r>
      <w:r>
        <w:rPr>
          <w:sz w:val="21"/>
          <w:szCs w:val="21"/>
        </w:rPr>
        <w:t xml:space="preserve"> Deberá cerrarse con </w:t>
      </w:r>
      <w:r>
        <w:rPr>
          <w:b/>
          <w:bCs/>
          <w:sz w:val="21"/>
          <w:szCs w:val="21"/>
        </w:rPr>
        <w:t>Volver</w:t>
      </w:r>
      <w:r>
        <w:rPr>
          <w:sz w:val="21"/>
          <w:szCs w:val="21"/>
        </w:rPr>
        <w:t>.</w:t>
      </w:r>
    </w:p>
    <w:p w14:paraId="32D2B01F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57BB6728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Seguimiento Periódico (</w:t>
      </w:r>
      <w:proofErr w:type="spellStart"/>
      <w:r>
        <w:rPr>
          <w:b/>
          <w:bCs/>
          <w:color w:val="1F4E79"/>
        </w:rPr>
        <w:t>KPIs</w:t>
      </w:r>
      <w:proofErr w:type="spellEnd"/>
      <w:r>
        <w:rPr>
          <w:b/>
          <w:bCs/>
          <w:color w:val="1F4E79"/>
        </w:rPr>
        <w:t xml:space="preserve"> Personalizados o Periódicos) 🎛️</w:t>
      </w:r>
    </w:p>
    <w:p w14:paraId="4B7157D3" w14:textId="77777777" w:rsidR="0054170E" w:rsidRDefault="00000000">
      <w:pPr>
        <w:spacing w:after="160" w:line="276" w:lineRule="auto"/>
        <w:jc w:val="both"/>
      </w:pPr>
      <w:r>
        <w:t>Modal identificado como "Módulo de Control" — funciona igual para todas las frecuencias, solo cambia la cantidad de periodos y el nombre del botón.</w:t>
      </w:r>
    </w:p>
    <w:p w14:paraId="564321E0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8.1 Cómo Registrar un Periodo</w:t>
      </w:r>
    </w:p>
    <w:p w14:paraId="6877819D" w14:textId="77777777" w:rsidR="0054170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Deberá expandirse el periodo (el actual se abre por defecto).</w:t>
      </w:r>
    </w:p>
    <w:p w14:paraId="4BB44BCF" w14:textId="77777777" w:rsidR="0054170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Deberán completarse: </w:t>
      </w:r>
      <w:r>
        <w:rPr>
          <w:i/>
          <w:iCs/>
        </w:rPr>
        <w:t>&lt;Valor 1&gt;</w:t>
      </w:r>
      <w:r>
        <w:t xml:space="preserve"> (obligatorio), </w:t>
      </w:r>
      <w:r>
        <w:rPr>
          <w:i/>
          <w:iCs/>
        </w:rPr>
        <w:t>&lt;Valor 2&gt;</w:t>
      </w:r>
      <w:r>
        <w:t xml:space="preserve"> (si aplica), </w:t>
      </w:r>
      <w:r>
        <w:rPr>
          <w:i/>
          <w:iCs/>
        </w:rPr>
        <w:t>Notas de Cumplimiento</w:t>
      </w:r>
      <w:r>
        <w:t xml:space="preserve"> (hasta 2000 caracteres) y la </w:t>
      </w:r>
      <w:r>
        <w:rPr>
          <w:b/>
          <w:bCs/>
        </w:rPr>
        <w:t>Evidencia</w:t>
      </w:r>
      <w:r>
        <w:t xml:space="preserve"> (obligatoria — imagen, PDF, Word, Excel o CSV, máximo 10MB; deberá seleccionarse, arrastrarse o pegarse con </w:t>
      </w:r>
      <w:proofErr w:type="spellStart"/>
      <w:r>
        <w:t>Ctrl+V</w:t>
      </w:r>
      <w:proofErr w:type="spellEnd"/>
      <w:r>
        <w:t>).</w:t>
      </w:r>
    </w:p>
    <w:p w14:paraId="5ECD33FE" w14:textId="77777777" w:rsidR="0054170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Deberá presionarse el botón de guardado (deshabilitado hasta completar todo).</w:t>
      </w:r>
    </w:p>
    <w:p w14:paraId="0150716B" w14:textId="77777777" w:rsidR="0054170E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Deberá confirmarse en "Confirmar Guardar Registro".</w:t>
      </w:r>
    </w:p>
    <w:p w14:paraId="061BB6B2" w14:textId="77777777" w:rsidR="0054170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 diferencia del historial mensual, </w:t>
      </w:r>
      <w:r>
        <w:rPr>
          <w:b/>
          <w:bCs/>
          <w:sz w:val="21"/>
          <w:szCs w:val="21"/>
        </w:rPr>
        <w:t>estos datos sí podrán seguir editándose</w:t>
      </w:r>
      <w:r>
        <w:rPr>
          <w:sz w:val="21"/>
          <w:szCs w:val="21"/>
        </w:rPr>
        <w:t xml:space="preserve"> durante el periodo — solo se bloquean al cerrarse para auditoría o con un flujo activo.</w:t>
      </w:r>
    </w:p>
    <w:p w14:paraId="703C6D34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8.2 Frecuencias y Botones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54170E" w14:paraId="697CF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66579" w14:textId="77777777" w:rsidR="0054170E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FBE08" w14:textId="77777777" w:rsidR="0054170E" w:rsidRDefault="00000000">
            <w:r>
              <w:rPr>
                <w:b/>
                <w:bCs/>
                <w:color w:val="FFFFFF"/>
                <w:sz w:val="20"/>
                <w:szCs w:val="20"/>
              </w:rPr>
              <w:t>Periodos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A020A" w14:textId="77777777" w:rsidR="0054170E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</w:tr>
      <w:tr w:rsidR="0054170E" w14:paraId="0EB42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F0A38" w14:textId="77777777" w:rsidR="0054170E" w:rsidRDefault="00000000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7F41D" w14:textId="77777777" w:rsidR="0054170E" w:rsidRDefault="00000000">
            <w:r>
              <w:rPr>
                <w:sz w:val="20"/>
                <w:szCs w:val="20"/>
              </w:rPr>
              <w:t>12 meses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CDA6C" w14:textId="77777777" w:rsidR="0054170E" w:rsidRDefault="00000000">
            <w:r>
              <w:rPr>
                <w:sz w:val="20"/>
                <w:szCs w:val="20"/>
              </w:rPr>
              <w:t>Guardar</w:t>
            </w:r>
          </w:p>
        </w:tc>
      </w:tr>
      <w:tr w:rsidR="0054170E" w14:paraId="7D0F0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81459" w14:textId="77777777" w:rsidR="0054170E" w:rsidRDefault="00000000"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1566D" w14:textId="77777777" w:rsidR="0054170E" w:rsidRDefault="00000000">
            <w:r>
              <w:rPr>
                <w:sz w:val="20"/>
                <w:szCs w:val="20"/>
              </w:rPr>
              <w:t>53 semanas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60FF" w14:textId="77777777" w:rsidR="0054170E" w:rsidRDefault="00000000">
            <w:r>
              <w:rPr>
                <w:sz w:val="20"/>
                <w:szCs w:val="20"/>
              </w:rPr>
              <w:t>Guardar Semana</w:t>
            </w:r>
          </w:p>
        </w:tc>
      </w:tr>
      <w:tr w:rsidR="0054170E" w14:paraId="50FF8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27FF6" w14:textId="77777777" w:rsidR="0054170E" w:rsidRDefault="00000000">
            <w:r>
              <w:rPr>
                <w:sz w:val="20"/>
                <w:szCs w:val="20"/>
              </w:rPr>
              <w:t>Diario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DD34" w14:textId="77777777" w:rsidR="0054170E" w:rsidRDefault="00000000">
            <w:r>
              <w:rPr>
                <w:sz w:val="20"/>
                <w:szCs w:val="20"/>
              </w:rPr>
              <w:t>366 días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9EFC2" w14:textId="77777777" w:rsidR="0054170E" w:rsidRDefault="00000000">
            <w:r>
              <w:rPr>
                <w:sz w:val="20"/>
                <w:szCs w:val="20"/>
              </w:rPr>
              <w:t>ícono compacto</w:t>
            </w:r>
          </w:p>
        </w:tc>
      </w:tr>
      <w:tr w:rsidR="0054170E" w14:paraId="78C84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6EBE" w14:textId="77777777" w:rsidR="0054170E" w:rsidRDefault="00000000">
            <w:r>
              <w:rPr>
                <w:sz w:val="20"/>
                <w:szCs w:val="20"/>
              </w:rPr>
              <w:t>Trimestral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66DB9" w14:textId="77777777" w:rsidR="0054170E" w:rsidRDefault="00000000">
            <w:r>
              <w:rPr>
                <w:sz w:val="20"/>
                <w:szCs w:val="20"/>
              </w:rPr>
              <w:t>4 trimestres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5868" w14:textId="77777777" w:rsidR="0054170E" w:rsidRDefault="00000000">
            <w:r>
              <w:rPr>
                <w:sz w:val="20"/>
                <w:szCs w:val="20"/>
              </w:rPr>
              <w:t>Guardar Trimestre</w:t>
            </w:r>
          </w:p>
        </w:tc>
      </w:tr>
      <w:tr w:rsidR="0054170E" w14:paraId="62E9E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3BD71" w14:textId="77777777" w:rsidR="0054170E" w:rsidRDefault="00000000">
            <w:r>
              <w:rPr>
                <w:sz w:val="20"/>
                <w:szCs w:val="20"/>
              </w:rPr>
              <w:t>Semestral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759EA" w14:textId="77777777" w:rsidR="0054170E" w:rsidRDefault="00000000">
            <w:r>
              <w:rPr>
                <w:sz w:val="20"/>
                <w:szCs w:val="20"/>
              </w:rPr>
              <w:t>2 semestres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132E3" w14:textId="77777777" w:rsidR="0054170E" w:rsidRDefault="00000000">
            <w:r>
              <w:rPr>
                <w:sz w:val="20"/>
                <w:szCs w:val="20"/>
              </w:rPr>
              <w:t>Guardar Semestre</w:t>
            </w:r>
          </w:p>
        </w:tc>
      </w:tr>
      <w:tr w:rsidR="0054170E" w14:paraId="1AAA3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4542B" w14:textId="77777777" w:rsidR="0054170E" w:rsidRDefault="00000000">
            <w:r>
              <w:rPr>
                <w:sz w:val="20"/>
                <w:szCs w:val="20"/>
              </w:rPr>
              <w:t>Anual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DCFC3" w14:textId="77777777" w:rsidR="0054170E" w:rsidRDefault="00000000">
            <w:r>
              <w:rPr>
                <w:sz w:val="20"/>
                <w:szCs w:val="20"/>
              </w:rPr>
              <w:t>1 registro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83305" w14:textId="77777777" w:rsidR="0054170E" w:rsidRDefault="00000000">
            <w:r>
              <w:rPr>
                <w:sz w:val="20"/>
                <w:szCs w:val="20"/>
              </w:rPr>
              <w:t>Guardar Año</w:t>
            </w:r>
          </w:p>
        </w:tc>
      </w:tr>
    </w:tbl>
    <w:p w14:paraId="0EE9B9B8" w14:textId="77777777" w:rsidR="0054170E" w:rsidRDefault="0054170E">
      <w:pPr>
        <w:spacing w:after="160"/>
      </w:pPr>
    </w:p>
    <w:p w14:paraId="37868583" w14:textId="77777777" w:rsidR="0054170E" w:rsidRDefault="00000000">
      <w:pPr>
        <w:pStyle w:val="Heading2"/>
        <w:spacing w:before="260" w:after="160"/>
      </w:pPr>
      <w:r>
        <w:rPr>
          <w:b/>
          <w:bCs/>
          <w:color w:val="1F4E79"/>
        </w:rPr>
        <w:t>8.3 Periodos Cerrados y Futuros</w:t>
      </w:r>
    </w:p>
    <w:p w14:paraId="3EBCB8DF" w14:textId="77777777" w:rsidR="0054170E" w:rsidRDefault="00000000">
      <w:pPr>
        <w:spacing w:after="160" w:line="276" w:lineRule="auto"/>
        <w:jc w:val="both"/>
      </w:pPr>
      <w:r>
        <w:t xml:space="preserve">Cerrado: </w:t>
      </w:r>
      <w:r>
        <w:rPr>
          <w:i/>
          <w:iCs/>
        </w:rPr>
        <w:t>"Este registro ha sido cerrado para garantizar la integridad de los reportes."</w:t>
      </w:r>
      <w:r>
        <w:t xml:space="preserve"> Futuro: </w:t>
      </w:r>
      <w:r>
        <w:rPr>
          <w:i/>
          <w:iCs/>
        </w:rPr>
        <w:t>"No se pueden registrar datos para periodos futuros."</w:t>
      </w:r>
    </w:p>
    <w:p w14:paraId="690D2B62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39464FC7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Historial de Aprobaciones de Seguimiento 📜</w:t>
      </w:r>
    </w:p>
    <w:p w14:paraId="596F64D3" w14:textId="77777777" w:rsidR="0054170E" w:rsidRDefault="00000000">
      <w:pPr>
        <w:spacing w:after="160" w:line="276" w:lineRule="auto"/>
        <w:jc w:val="both"/>
      </w:pPr>
      <w:r>
        <w:t xml:space="preserve">Lista todas las iteraciones enviadas a aprobación del periodo: </w:t>
      </w:r>
      <w:r>
        <w:rPr>
          <w:b/>
          <w:bCs/>
        </w:rPr>
        <w:t>Iteración</w:t>
      </w:r>
      <w:r>
        <w:t xml:space="preserve">, </w:t>
      </w:r>
      <w:r>
        <w:rPr>
          <w:b/>
          <w:bCs/>
        </w:rPr>
        <w:t>Fecha de Envío</w:t>
      </w:r>
      <w:r>
        <w:t xml:space="preserve">, </w:t>
      </w:r>
      <w:r>
        <w:rPr>
          <w:b/>
          <w:bCs/>
        </w:rPr>
        <w:t>Creador</w:t>
      </w:r>
      <w:r>
        <w:t xml:space="preserve">, </w:t>
      </w:r>
      <w:r>
        <w:rPr>
          <w:b/>
          <w:bCs/>
        </w:rPr>
        <w:t>Estado del Flujo</w:t>
      </w:r>
      <w:r>
        <w:t xml:space="preserve"> y </w:t>
      </w:r>
      <w:r>
        <w:rPr>
          <w:b/>
          <w:bCs/>
        </w:rPr>
        <w:t>Acciones</w:t>
      </w:r>
      <w:r>
        <w:t xml:space="preserve"> (</w:t>
      </w:r>
      <w:r>
        <w:rPr>
          <w:b/>
          <w:bCs/>
        </w:rPr>
        <w:t>Ver Evidencia</w:t>
      </w:r>
      <w:r>
        <w:t xml:space="preserve">, </w:t>
      </w:r>
      <w:r>
        <w:rPr>
          <w:b/>
          <w:bCs/>
        </w:rPr>
        <w:t>Ver Flujo</w:t>
      </w:r>
      <w:r>
        <w:t>).</w:t>
      </w:r>
    </w:p>
    <w:p w14:paraId="217BE332" w14:textId="77777777" w:rsidR="0054170E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Esta tabla </w:t>
      </w:r>
      <w:r>
        <w:rPr>
          <w:b/>
          <w:bCs/>
          <w:sz w:val="21"/>
          <w:szCs w:val="21"/>
        </w:rPr>
        <w:t>es visible para todos los usuarios</w:t>
      </w:r>
      <w:r>
        <w:rPr>
          <w:sz w:val="21"/>
          <w:szCs w:val="21"/>
        </w:rPr>
        <w:t xml:space="preserve"> del módulo, no solo el administrador — es de solo consulta.</w:t>
      </w:r>
    </w:p>
    <w:p w14:paraId="28C7C843" w14:textId="77777777" w:rsidR="0054170E" w:rsidRDefault="00000000">
      <w:pPr>
        <w:spacing w:after="160" w:line="276" w:lineRule="auto"/>
        <w:jc w:val="both"/>
      </w:pPr>
      <w:r>
        <w:rPr>
          <w:b/>
          <w:bCs/>
        </w:rPr>
        <w:t>Ver Evidencia</w:t>
      </w:r>
      <w:r>
        <w:t xml:space="preserve"> abre la fotografía congelada del envío (no cambia aunque luego se editen los resultados). </w:t>
      </w:r>
      <w:r>
        <w:rPr>
          <w:b/>
          <w:bCs/>
        </w:rPr>
        <w:t>Ver Flujo</w:t>
      </w:r>
      <w:r>
        <w:t xml:space="preserve"> abre la línea de tiempo de aprobadores, estado, fecha y justificación.</w:t>
      </w:r>
    </w:p>
    <w:p w14:paraId="135A76AD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10879781" w14:textId="77777777" w:rsidR="0054170E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Notas de Interés y Advertencias 🔗</w:t>
      </w:r>
    </w:p>
    <w:p w14:paraId="3CCBDC5F" w14:textId="77777777" w:rsidR="0054170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lastRenderedPageBreak/>
        <w:t xml:space="preserve">📌 </w:t>
      </w:r>
      <w:r>
        <w:rPr>
          <w:b/>
          <w:bCs/>
        </w:rPr>
        <w:t xml:space="preserve">Solo se visualizan los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en los que se es responsable</w:t>
      </w:r>
      <w:r>
        <w:t xml:space="preserve"> — si falta uno, deberá revisarse la asignación correspondiente; no deberá asumirse que no existe.</w:t>
      </w:r>
    </w:p>
    <w:p w14:paraId="73D1FE4D" w14:textId="77777777" w:rsidR="0054170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El flujo de aprobación es exclusivo del administrador</w:t>
      </w:r>
      <w:r>
        <w:t xml:space="preserve"> — no podrá iniciarse, configurarse ni </w:t>
      </w:r>
      <w:proofErr w:type="spellStart"/>
      <w:r>
        <w:t>publicarse</w:t>
      </w:r>
      <w:proofErr w:type="spellEnd"/>
      <w:r>
        <w:t>.</w:t>
      </w:r>
    </w:p>
    <w:p w14:paraId="5A15CF59" w14:textId="77777777" w:rsidR="0054170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Los avisos de estado sí resultan aplicables</w:t>
      </w:r>
      <w:r>
        <w:t xml:space="preserve"> — si hay flujo activo, los </w:t>
      </w:r>
      <w:proofErr w:type="spellStart"/>
      <w:r>
        <w:t>KPIs</w:t>
      </w:r>
      <w:proofErr w:type="spellEnd"/>
      <w:r>
        <w:t xml:space="preserve"> pasan a consulta; si se devolvió alguno, deberá coordinarse el reenvío con el administrador.</w:t>
      </w:r>
    </w:p>
    <w:p w14:paraId="11C08172" w14:textId="77777777" w:rsidR="0054170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Podrán registrarse valores mensuales y periódicos</w:t>
      </w:r>
      <w:r>
        <w:t xml:space="preserve"> de los </w:t>
      </w:r>
      <w:proofErr w:type="spellStart"/>
      <w:r>
        <w:t>KPIs</w:t>
      </w:r>
      <w:proofErr w:type="spellEnd"/>
      <w:r>
        <w:t>, con evidencia obligatoria, mientras no haya flujo activo ni el periodo esté cerrado.</w:t>
      </w:r>
    </w:p>
    <w:p w14:paraId="2132AC69" w14:textId="77777777" w:rsidR="0054170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Podrá registrarse o visualizarse el evento de un KPI en rojo</w:t>
      </w:r>
      <w:r>
        <w:t xml:space="preserve"> sin ser administrador.</w:t>
      </w:r>
    </w:p>
    <w:p w14:paraId="300D0240" w14:textId="77777777" w:rsidR="0054170E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Registro de Eventos y Reportar Evento — con su propio manual.</w:t>
      </w:r>
    </w:p>
    <w:p w14:paraId="7E1C1D60" w14:textId="77777777" w:rsidR="0054170E" w:rsidRDefault="0054170E">
      <w:pPr>
        <w:pBdr>
          <w:bottom w:val="single" w:sz="4" w:space="1" w:color="BFBFBF"/>
        </w:pBdr>
        <w:spacing w:before="100" w:after="200"/>
      </w:pPr>
    </w:p>
    <w:p w14:paraId="179FDAB2" w14:textId="77777777" w:rsidR="0054170E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54170E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C8F38" w14:textId="77777777" w:rsidR="00756762" w:rsidRDefault="00756762">
      <w:r>
        <w:separator/>
      </w:r>
    </w:p>
  </w:endnote>
  <w:endnote w:type="continuationSeparator" w:id="0">
    <w:p w14:paraId="78421ACC" w14:textId="77777777" w:rsidR="00756762" w:rsidRDefault="0075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91DB8" w14:textId="77777777" w:rsidR="0054170E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25CC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25CC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2D7B8" w14:textId="77777777" w:rsidR="00756762" w:rsidRDefault="00756762">
      <w:r>
        <w:separator/>
      </w:r>
    </w:p>
  </w:footnote>
  <w:footnote w:type="continuationSeparator" w:id="0">
    <w:p w14:paraId="6D6E96F8" w14:textId="77777777" w:rsidR="00756762" w:rsidRDefault="00756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53E2A" w14:textId="77777777" w:rsidR="0054170E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A963D947" w14:textId="77777777" w:rsidR="0054170E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118"/>
    <w:multiLevelType w:val="hybridMultilevel"/>
    <w:tmpl w:val="0ACC7606"/>
    <w:lvl w:ilvl="0" w:tplc="2878E92A">
      <w:start w:val="1"/>
      <w:numFmt w:val="bullet"/>
      <w:lvlText w:val="●"/>
      <w:lvlJc w:val="left"/>
      <w:pPr>
        <w:ind w:left="720" w:hanging="360"/>
      </w:pPr>
    </w:lvl>
    <w:lvl w:ilvl="1" w:tplc="B32E5EFC">
      <w:start w:val="1"/>
      <w:numFmt w:val="bullet"/>
      <w:lvlText w:val="○"/>
      <w:lvlJc w:val="left"/>
      <w:pPr>
        <w:ind w:left="1440" w:hanging="360"/>
      </w:pPr>
    </w:lvl>
    <w:lvl w:ilvl="2" w:tplc="8320D886">
      <w:start w:val="1"/>
      <w:numFmt w:val="bullet"/>
      <w:lvlText w:val="■"/>
      <w:lvlJc w:val="left"/>
      <w:pPr>
        <w:ind w:left="2160" w:hanging="360"/>
      </w:pPr>
    </w:lvl>
    <w:lvl w:ilvl="3" w:tplc="4586A432">
      <w:start w:val="1"/>
      <w:numFmt w:val="bullet"/>
      <w:lvlText w:val="●"/>
      <w:lvlJc w:val="left"/>
      <w:pPr>
        <w:ind w:left="2880" w:hanging="360"/>
      </w:pPr>
    </w:lvl>
    <w:lvl w:ilvl="4" w:tplc="87B84204">
      <w:start w:val="1"/>
      <w:numFmt w:val="bullet"/>
      <w:lvlText w:val="○"/>
      <w:lvlJc w:val="left"/>
      <w:pPr>
        <w:ind w:left="3600" w:hanging="360"/>
      </w:pPr>
    </w:lvl>
    <w:lvl w:ilvl="5" w:tplc="016493F0">
      <w:start w:val="1"/>
      <w:numFmt w:val="bullet"/>
      <w:lvlText w:val="■"/>
      <w:lvlJc w:val="left"/>
      <w:pPr>
        <w:ind w:left="4320" w:hanging="360"/>
      </w:pPr>
    </w:lvl>
    <w:lvl w:ilvl="6" w:tplc="C9D2272E">
      <w:start w:val="1"/>
      <w:numFmt w:val="bullet"/>
      <w:lvlText w:val="●"/>
      <w:lvlJc w:val="left"/>
      <w:pPr>
        <w:ind w:left="5040" w:hanging="360"/>
      </w:pPr>
    </w:lvl>
    <w:lvl w:ilvl="7" w:tplc="51EE9968">
      <w:start w:val="1"/>
      <w:numFmt w:val="bullet"/>
      <w:lvlText w:val="●"/>
      <w:lvlJc w:val="left"/>
      <w:pPr>
        <w:ind w:left="5760" w:hanging="360"/>
      </w:pPr>
    </w:lvl>
    <w:lvl w:ilvl="8" w:tplc="91D2A2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C715A6"/>
    <w:multiLevelType w:val="hybridMultilevel"/>
    <w:tmpl w:val="504E3406"/>
    <w:lvl w:ilvl="0" w:tplc="2E0CE396">
      <w:start w:val="1"/>
      <w:numFmt w:val="decimal"/>
      <w:lvlText w:val="%1."/>
      <w:lvlJc w:val="left"/>
      <w:pPr>
        <w:ind w:left="460" w:hanging="260"/>
      </w:pPr>
    </w:lvl>
    <w:lvl w:ilvl="1" w:tplc="9200B140">
      <w:numFmt w:val="decimal"/>
      <w:lvlText w:val=""/>
      <w:lvlJc w:val="left"/>
    </w:lvl>
    <w:lvl w:ilvl="2" w:tplc="84B22D7C">
      <w:numFmt w:val="decimal"/>
      <w:lvlText w:val=""/>
      <w:lvlJc w:val="left"/>
    </w:lvl>
    <w:lvl w:ilvl="3" w:tplc="4D7CE1AC">
      <w:numFmt w:val="decimal"/>
      <w:lvlText w:val=""/>
      <w:lvlJc w:val="left"/>
    </w:lvl>
    <w:lvl w:ilvl="4" w:tplc="32FC3E2A">
      <w:numFmt w:val="decimal"/>
      <w:lvlText w:val=""/>
      <w:lvlJc w:val="left"/>
    </w:lvl>
    <w:lvl w:ilvl="5" w:tplc="261A07B6">
      <w:numFmt w:val="decimal"/>
      <w:lvlText w:val=""/>
      <w:lvlJc w:val="left"/>
    </w:lvl>
    <w:lvl w:ilvl="6" w:tplc="1BC2311E">
      <w:numFmt w:val="decimal"/>
      <w:lvlText w:val=""/>
      <w:lvlJc w:val="left"/>
    </w:lvl>
    <w:lvl w:ilvl="7" w:tplc="96D6083C">
      <w:numFmt w:val="decimal"/>
      <w:lvlText w:val=""/>
      <w:lvlJc w:val="left"/>
    </w:lvl>
    <w:lvl w:ilvl="8" w:tplc="4364D38C">
      <w:numFmt w:val="decimal"/>
      <w:lvlText w:val=""/>
      <w:lvlJc w:val="left"/>
    </w:lvl>
  </w:abstractNum>
  <w:abstractNum w:abstractNumId="2" w15:restartNumberingAfterBreak="0">
    <w:nsid w:val="2C6B48E5"/>
    <w:multiLevelType w:val="hybridMultilevel"/>
    <w:tmpl w:val="9CE2225C"/>
    <w:lvl w:ilvl="0" w:tplc="8D58EEFE">
      <w:start w:val="1"/>
      <w:numFmt w:val="bullet"/>
      <w:lvlText w:val="•"/>
      <w:lvlJc w:val="left"/>
      <w:pPr>
        <w:ind w:left="460" w:hanging="260"/>
      </w:pPr>
    </w:lvl>
    <w:lvl w:ilvl="1" w:tplc="4F200B60">
      <w:start w:val="1"/>
      <w:numFmt w:val="bullet"/>
      <w:lvlText w:val="◦"/>
      <w:lvlJc w:val="left"/>
      <w:pPr>
        <w:ind w:left="820" w:hanging="260"/>
      </w:pPr>
    </w:lvl>
    <w:lvl w:ilvl="2" w:tplc="E048D132">
      <w:numFmt w:val="decimal"/>
      <w:lvlText w:val=""/>
      <w:lvlJc w:val="left"/>
    </w:lvl>
    <w:lvl w:ilvl="3" w:tplc="F6748C7C">
      <w:numFmt w:val="decimal"/>
      <w:lvlText w:val=""/>
      <w:lvlJc w:val="left"/>
    </w:lvl>
    <w:lvl w:ilvl="4" w:tplc="DF288CEE">
      <w:numFmt w:val="decimal"/>
      <w:lvlText w:val=""/>
      <w:lvlJc w:val="left"/>
    </w:lvl>
    <w:lvl w:ilvl="5" w:tplc="3236AB80">
      <w:numFmt w:val="decimal"/>
      <w:lvlText w:val=""/>
      <w:lvlJc w:val="left"/>
    </w:lvl>
    <w:lvl w:ilvl="6" w:tplc="B81C993C">
      <w:numFmt w:val="decimal"/>
      <w:lvlText w:val=""/>
      <w:lvlJc w:val="left"/>
    </w:lvl>
    <w:lvl w:ilvl="7" w:tplc="118ECCCC">
      <w:numFmt w:val="decimal"/>
      <w:lvlText w:val=""/>
      <w:lvlJc w:val="left"/>
    </w:lvl>
    <w:lvl w:ilvl="8" w:tplc="5E1CF200">
      <w:numFmt w:val="decimal"/>
      <w:lvlText w:val=""/>
      <w:lvlJc w:val="left"/>
    </w:lvl>
  </w:abstractNum>
  <w:abstractNum w:abstractNumId="3" w15:restartNumberingAfterBreak="0">
    <w:nsid w:val="4626647E"/>
    <w:multiLevelType w:val="hybridMultilevel"/>
    <w:tmpl w:val="1EC49B14"/>
    <w:lvl w:ilvl="0" w:tplc="BAAE4FC4">
      <w:start w:val="1"/>
      <w:numFmt w:val="decimal"/>
      <w:lvlText w:val="%1."/>
      <w:lvlJc w:val="left"/>
      <w:pPr>
        <w:ind w:left="460" w:hanging="260"/>
      </w:pPr>
    </w:lvl>
    <w:lvl w:ilvl="1" w:tplc="A8183862">
      <w:numFmt w:val="decimal"/>
      <w:lvlText w:val=""/>
      <w:lvlJc w:val="left"/>
    </w:lvl>
    <w:lvl w:ilvl="2" w:tplc="93349E74">
      <w:numFmt w:val="decimal"/>
      <w:lvlText w:val=""/>
      <w:lvlJc w:val="left"/>
    </w:lvl>
    <w:lvl w:ilvl="3" w:tplc="48A68D16">
      <w:numFmt w:val="decimal"/>
      <w:lvlText w:val=""/>
      <w:lvlJc w:val="left"/>
    </w:lvl>
    <w:lvl w:ilvl="4" w:tplc="0E985EEE">
      <w:numFmt w:val="decimal"/>
      <w:lvlText w:val=""/>
      <w:lvlJc w:val="left"/>
    </w:lvl>
    <w:lvl w:ilvl="5" w:tplc="47B2D16E">
      <w:numFmt w:val="decimal"/>
      <w:lvlText w:val=""/>
      <w:lvlJc w:val="left"/>
    </w:lvl>
    <w:lvl w:ilvl="6" w:tplc="03C2807C">
      <w:numFmt w:val="decimal"/>
      <w:lvlText w:val=""/>
      <w:lvlJc w:val="left"/>
    </w:lvl>
    <w:lvl w:ilvl="7" w:tplc="B614B840">
      <w:numFmt w:val="decimal"/>
      <w:lvlText w:val=""/>
      <w:lvlJc w:val="left"/>
    </w:lvl>
    <w:lvl w:ilvl="8" w:tplc="0DB67766">
      <w:numFmt w:val="decimal"/>
      <w:lvlText w:val=""/>
      <w:lvlJc w:val="left"/>
    </w:lvl>
  </w:abstractNum>
  <w:abstractNum w:abstractNumId="4" w15:restartNumberingAfterBreak="0">
    <w:nsid w:val="50B45C9D"/>
    <w:multiLevelType w:val="hybridMultilevel"/>
    <w:tmpl w:val="9BBC0260"/>
    <w:lvl w:ilvl="0" w:tplc="9EE653FA">
      <w:start w:val="1"/>
      <w:numFmt w:val="decimal"/>
      <w:lvlText w:val="%1."/>
      <w:lvlJc w:val="left"/>
      <w:pPr>
        <w:ind w:left="460" w:hanging="260"/>
      </w:pPr>
    </w:lvl>
    <w:lvl w:ilvl="1" w:tplc="1C4CEEC0">
      <w:numFmt w:val="decimal"/>
      <w:lvlText w:val=""/>
      <w:lvlJc w:val="left"/>
    </w:lvl>
    <w:lvl w:ilvl="2" w:tplc="F3CC983C">
      <w:numFmt w:val="decimal"/>
      <w:lvlText w:val=""/>
      <w:lvlJc w:val="left"/>
    </w:lvl>
    <w:lvl w:ilvl="3" w:tplc="D93C75F6">
      <w:numFmt w:val="decimal"/>
      <w:lvlText w:val=""/>
      <w:lvlJc w:val="left"/>
    </w:lvl>
    <w:lvl w:ilvl="4" w:tplc="D60E4FCE">
      <w:numFmt w:val="decimal"/>
      <w:lvlText w:val=""/>
      <w:lvlJc w:val="left"/>
    </w:lvl>
    <w:lvl w:ilvl="5" w:tplc="0BB8F9EC">
      <w:numFmt w:val="decimal"/>
      <w:lvlText w:val=""/>
      <w:lvlJc w:val="left"/>
    </w:lvl>
    <w:lvl w:ilvl="6" w:tplc="8F540DE4">
      <w:numFmt w:val="decimal"/>
      <w:lvlText w:val=""/>
      <w:lvlJc w:val="left"/>
    </w:lvl>
    <w:lvl w:ilvl="7" w:tplc="476A376C">
      <w:numFmt w:val="decimal"/>
      <w:lvlText w:val=""/>
      <w:lvlJc w:val="left"/>
    </w:lvl>
    <w:lvl w:ilvl="8" w:tplc="A2225AB2">
      <w:numFmt w:val="decimal"/>
      <w:lvlText w:val=""/>
      <w:lvlJc w:val="left"/>
    </w:lvl>
  </w:abstractNum>
  <w:abstractNum w:abstractNumId="5" w15:restartNumberingAfterBreak="0">
    <w:nsid w:val="613B50AD"/>
    <w:multiLevelType w:val="hybridMultilevel"/>
    <w:tmpl w:val="65840EBC"/>
    <w:lvl w:ilvl="0" w:tplc="8CDA1E32">
      <w:start w:val="1"/>
      <w:numFmt w:val="decimal"/>
      <w:lvlText w:val="%1."/>
      <w:lvlJc w:val="left"/>
      <w:pPr>
        <w:ind w:left="460" w:hanging="260"/>
      </w:pPr>
    </w:lvl>
    <w:lvl w:ilvl="1" w:tplc="AF8AAFF4">
      <w:numFmt w:val="decimal"/>
      <w:lvlText w:val=""/>
      <w:lvlJc w:val="left"/>
    </w:lvl>
    <w:lvl w:ilvl="2" w:tplc="8F903468">
      <w:numFmt w:val="decimal"/>
      <w:lvlText w:val=""/>
      <w:lvlJc w:val="left"/>
    </w:lvl>
    <w:lvl w:ilvl="3" w:tplc="DA662F7C">
      <w:numFmt w:val="decimal"/>
      <w:lvlText w:val=""/>
      <w:lvlJc w:val="left"/>
    </w:lvl>
    <w:lvl w:ilvl="4" w:tplc="105CF6F4">
      <w:numFmt w:val="decimal"/>
      <w:lvlText w:val=""/>
      <w:lvlJc w:val="left"/>
    </w:lvl>
    <w:lvl w:ilvl="5" w:tplc="84EE45C4">
      <w:numFmt w:val="decimal"/>
      <w:lvlText w:val=""/>
      <w:lvlJc w:val="left"/>
    </w:lvl>
    <w:lvl w:ilvl="6" w:tplc="E872EFC8">
      <w:numFmt w:val="decimal"/>
      <w:lvlText w:val=""/>
      <w:lvlJc w:val="left"/>
    </w:lvl>
    <w:lvl w:ilvl="7" w:tplc="7F4052F6">
      <w:numFmt w:val="decimal"/>
      <w:lvlText w:val=""/>
      <w:lvlJc w:val="left"/>
    </w:lvl>
    <w:lvl w:ilvl="8" w:tplc="15A237C4">
      <w:numFmt w:val="decimal"/>
      <w:lvlText w:val=""/>
      <w:lvlJc w:val="left"/>
    </w:lvl>
  </w:abstractNum>
  <w:abstractNum w:abstractNumId="6" w15:restartNumberingAfterBreak="0">
    <w:nsid w:val="625D68A4"/>
    <w:multiLevelType w:val="hybridMultilevel"/>
    <w:tmpl w:val="7414A654"/>
    <w:lvl w:ilvl="0" w:tplc="7AEC18F8">
      <w:start w:val="1"/>
      <w:numFmt w:val="decimal"/>
      <w:lvlText w:val="%1."/>
      <w:lvlJc w:val="left"/>
      <w:pPr>
        <w:ind w:left="460" w:hanging="260"/>
      </w:pPr>
    </w:lvl>
    <w:lvl w:ilvl="1" w:tplc="51382942">
      <w:numFmt w:val="decimal"/>
      <w:lvlText w:val=""/>
      <w:lvlJc w:val="left"/>
    </w:lvl>
    <w:lvl w:ilvl="2" w:tplc="0D74858A">
      <w:numFmt w:val="decimal"/>
      <w:lvlText w:val=""/>
      <w:lvlJc w:val="left"/>
    </w:lvl>
    <w:lvl w:ilvl="3" w:tplc="6D3C098A">
      <w:numFmt w:val="decimal"/>
      <w:lvlText w:val=""/>
      <w:lvlJc w:val="left"/>
    </w:lvl>
    <w:lvl w:ilvl="4" w:tplc="37C04C0E">
      <w:numFmt w:val="decimal"/>
      <w:lvlText w:val=""/>
      <w:lvlJc w:val="left"/>
    </w:lvl>
    <w:lvl w:ilvl="5" w:tplc="0B8C774C">
      <w:numFmt w:val="decimal"/>
      <w:lvlText w:val=""/>
      <w:lvlJc w:val="left"/>
    </w:lvl>
    <w:lvl w:ilvl="6" w:tplc="393E7214">
      <w:numFmt w:val="decimal"/>
      <w:lvlText w:val=""/>
      <w:lvlJc w:val="left"/>
    </w:lvl>
    <w:lvl w:ilvl="7" w:tplc="00CE5B72">
      <w:numFmt w:val="decimal"/>
      <w:lvlText w:val=""/>
      <w:lvlJc w:val="left"/>
    </w:lvl>
    <w:lvl w:ilvl="8" w:tplc="BD54D7FA">
      <w:numFmt w:val="decimal"/>
      <w:lvlText w:val=""/>
      <w:lvlJc w:val="left"/>
    </w:lvl>
  </w:abstractNum>
  <w:num w:numId="1" w16cid:durableId="124280076">
    <w:abstractNumId w:val="0"/>
    <w:lvlOverride w:ilvl="0">
      <w:startOverride w:val="1"/>
    </w:lvlOverride>
  </w:num>
  <w:num w:numId="2" w16cid:durableId="556864053">
    <w:abstractNumId w:val="1"/>
    <w:lvlOverride w:ilvl="0">
      <w:startOverride w:val="1"/>
    </w:lvlOverride>
  </w:num>
  <w:num w:numId="3" w16cid:durableId="1593539498">
    <w:abstractNumId w:val="3"/>
    <w:lvlOverride w:ilvl="0">
      <w:startOverride w:val="1"/>
    </w:lvlOverride>
  </w:num>
  <w:num w:numId="4" w16cid:durableId="348678143">
    <w:abstractNumId w:val="5"/>
    <w:lvlOverride w:ilvl="0">
      <w:startOverride w:val="1"/>
    </w:lvlOverride>
  </w:num>
  <w:num w:numId="5" w16cid:durableId="569921311">
    <w:abstractNumId w:val="4"/>
    <w:lvlOverride w:ilvl="0">
      <w:startOverride w:val="1"/>
    </w:lvlOverride>
  </w:num>
  <w:num w:numId="6" w16cid:durableId="122521947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70E"/>
    <w:rsid w:val="0054170E"/>
    <w:rsid w:val="00725CC9"/>
    <w:rsid w:val="00756762"/>
    <w:rsid w:val="00C6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EF933"/>
  <w15:docId w15:val="{0D8E232F-21AD-4EF7-8700-F565885E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1206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2026-08-14T15:17:00Z</dcterms:created>
  <dcterms:modified xsi:type="dcterms:W3CDTF">2026-08-17T19:18:00Z</dcterms:modified>
</cp:coreProperties>
</file>