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7B1113"/>
          <w:sz w:val="48"/>
        </w:rPr>
        <w:t>BUTCHERY MANAGEMENT SYSTEM</w:t>
      </w:r>
    </w:p>
    <w:p>
      <w:pPr>
        <w:spacing w:after="280"/>
      </w:pPr>
      <w:r>
        <w:rPr>
          <w:rFonts w:ascii="Arial" w:hAnsi="Arial"/>
          <w:color w:val="555555"/>
          <w:sz w:val="26"/>
        </w:rPr>
        <w:t>Comprehensive User, Operational &amp; Accounting Manual for ERPNext</w:t>
      </w:r>
    </w:p>
    <w:p>
      <w:pPr>
        <w:spacing w:after="320"/>
      </w:pPr>
      <w:r>
        <w:rPr>
          <w:rFonts w:ascii="Arial" w:hAnsi="Arial"/>
          <w:i/>
          <w:color w:val="666666"/>
          <w:sz w:val="20"/>
        </w:rPr>
        <w:t>Covers Inbound Receiving Reconciliation, Net Realizable Value (NRV) Carcass Deboning, Internal Item Transformation, Retail Packaging &amp; Expiry Management, and B2B Dispatch / Returns Handling.</w:t>
      </w:r>
    </w:p>
    <w:tbl>
      <w:tblPr>
        <w:tblW w:type="auto" w:w="0"/>
        <w:jc w:val="center"/>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4680"/>
        <w:gridCol w:w="4680"/>
      </w:tblGrid>
      <w:tr>
        <w:tc>
          <w:tcPr>
            <w:tcW w:type="dxa" w:w="2880"/>
            <w:shd w:fill="F9F5F5"/>
            <w:tcMar>
              <w:top w:w="50" w:type="dxa"/>
              <w:bottom w:w="50" w:type="dxa"/>
              <w:left w:w="80" w:type="dxa"/>
              <w:right w:w="80" w:type="dxa"/>
            </w:tcMar>
          </w:tcPr>
          <w:p>
            <w:pPr>
              <w:spacing w:after="0"/>
            </w:pPr>
            <w:r>
              <w:rPr>
                <w:rFonts w:ascii="Arial" w:hAnsi="Arial"/>
                <w:b/>
                <w:color w:val="7B1113"/>
                <w:sz w:val="19"/>
              </w:rPr>
              <w:t>Application Name:</w:t>
            </w:r>
          </w:p>
        </w:tc>
        <w:tc>
          <w:tcPr>
            <w:tcW w:type="dxa" w:w="6480"/>
            <w:shd w:fill="FFFFFF"/>
            <w:tcMar>
              <w:top w:w="50" w:type="dxa"/>
              <w:bottom w:w="50" w:type="dxa"/>
              <w:left w:w="80" w:type="dxa"/>
              <w:right w:w="80" w:type="dxa"/>
            </w:tcMar>
          </w:tcPr>
          <w:p>
            <w:pPr>
              <w:spacing w:after="0"/>
            </w:pPr>
            <w:r>
              <w:rPr>
                <w:rFonts w:ascii="Arial" w:hAnsi="Arial"/>
                <w:color w:val="333333"/>
                <w:sz w:val="19"/>
              </w:rPr>
              <w:t>butchery_management (Custom App for ERPNext v15+)</w:t>
            </w:r>
          </w:p>
        </w:tc>
      </w:tr>
      <w:tr>
        <w:tc>
          <w:tcPr>
            <w:tcW w:type="dxa" w:w="2880"/>
            <w:shd w:fill="F9F5F5"/>
            <w:tcMar>
              <w:top w:w="50" w:type="dxa"/>
              <w:bottom w:w="50" w:type="dxa"/>
              <w:left w:w="80" w:type="dxa"/>
              <w:right w:w="80" w:type="dxa"/>
            </w:tcMar>
          </w:tcPr>
          <w:p>
            <w:pPr>
              <w:spacing w:after="0"/>
            </w:pPr>
            <w:r>
              <w:rPr>
                <w:rFonts w:ascii="Arial" w:hAnsi="Arial"/>
                <w:b/>
                <w:color w:val="7B1113"/>
                <w:sz w:val="19"/>
              </w:rPr>
              <w:t>Primary Workspace:</w:t>
            </w:r>
          </w:p>
        </w:tc>
        <w:tc>
          <w:tcPr>
            <w:tcW w:type="dxa" w:w="6480"/>
            <w:shd w:fill="FFFFFF"/>
            <w:tcMar>
              <w:top w:w="50" w:type="dxa"/>
              <w:bottom w:w="50" w:type="dxa"/>
              <w:left w:w="80" w:type="dxa"/>
              <w:right w:w="80" w:type="dxa"/>
            </w:tcMar>
          </w:tcPr>
          <w:p>
            <w:pPr>
              <w:spacing w:after="0"/>
            </w:pPr>
            <w:r>
              <w:rPr>
                <w:rFonts w:ascii="Arial" w:hAnsi="Arial"/>
                <w:color w:val="333333"/>
                <w:sz w:val="19"/>
              </w:rPr>
              <w:t>Butchery (Desk Sidebar &amp; Navigation)</w:t>
            </w:r>
          </w:p>
        </w:tc>
      </w:tr>
      <w:tr>
        <w:tc>
          <w:tcPr>
            <w:tcW w:type="dxa" w:w="2880"/>
            <w:shd w:fill="F9F5F5"/>
            <w:tcMar>
              <w:top w:w="50" w:type="dxa"/>
              <w:bottom w:w="50" w:type="dxa"/>
              <w:left w:w="80" w:type="dxa"/>
              <w:right w:w="80" w:type="dxa"/>
            </w:tcMar>
          </w:tcPr>
          <w:p>
            <w:pPr>
              <w:spacing w:after="0"/>
            </w:pPr>
            <w:r>
              <w:rPr>
                <w:rFonts w:ascii="Arial" w:hAnsi="Arial"/>
                <w:b/>
                <w:color w:val="7B1113"/>
                <w:sz w:val="19"/>
              </w:rPr>
              <w:t>Prepared For:</w:t>
            </w:r>
          </w:p>
        </w:tc>
        <w:tc>
          <w:tcPr>
            <w:tcW w:type="dxa" w:w="6480"/>
            <w:shd w:fill="FFFFFF"/>
            <w:tcMar>
              <w:top w:w="50" w:type="dxa"/>
              <w:bottom w:w="50" w:type="dxa"/>
              <w:left w:w="80" w:type="dxa"/>
              <w:right w:w="80" w:type="dxa"/>
            </w:tcMar>
          </w:tcPr>
          <w:p>
            <w:pPr>
              <w:spacing w:after="0"/>
            </w:pPr>
            <w:r>
              <w:rPr>
                <w:rFonts w:ascii="Arial" w:hAnsi="Arial"/>
                <w:color w:val="333333"/>
                <w:sz w:val="19"/>
              </w:rPr>
              <w:t>Meat Processing Plants, Commercial Abattoirs &amp; Retail Butcheries</w:t>
            </w:r>
          </w:p>
        </w:tc>
      </w:tr>
      <w:tr>
        <w:tc>
          <w:tcPr>
            <w:tcW w:type="dxa" w:w="2880"/>
            <w:shd w:fill="F9F5F5"/>
            <w:tcMar>
              <w:top w:w="50" w:type="dxa"/>
              <w:bottom w:w="50" w:type="dxa"/>
              <w:left w:w="80" w:type="dxa"/>
              <w:right w:w="80" w:type="dxa"/>
            </w:tcMar>
          </w:tcPr>
          <w:p>
            <w:pPr>
              <w:spacing w:after="0"/>
            </w:pPr>
            <w:r>
              <w:rPr>
                <w:rFonts w:ascii="Arial" w:hAnsi="Arial"/>
                <w:b/>
                <w:color w:val="7B1113"/>
                <w:sz w:val="19"/>
              </w:rPr>
              <w:t>Version &amp; Date:</w:t>
            </w:r>
          </w:p>
        </w:tc>
        <w:tc>
          <w:tcPr>
            <w:tcW w:type="dxa" w:w="6480"/>
            <w:shd w:fill="FFFFFF"/>
            <w:tcMar>
              <w:top w:w="50" w:type="dxa"/>
              <w:bottom w:w="50" w:type="dxa"/>
              <w:left w:w="80" w:type="dxa"/>
              <w:right w:w="80" w:type="dxa"/>
            </w:tcMar>
          </w:tcPr>
          <w:p>
            <w:pPr>
              <w:spacing w:after="0"/>
            </w:pPr>
            <w:r>
              <w:rPr>
                <w:rFonts w:ascii="Arial" w:hAnsi="Arial"/>
                <w:color w:val="333333"/>
                <w:sz w:val="19"/>
              </w:rPr>
              <w:t>Version 1.0 (Production Release) | September 2026</w:t>
            </w:r>
          </w:p>
        </w:tc>
      </w:tr>
      <w:tr>
        <w:tc>
          <w:tcPr>
            <w:tcW w:type="dxa" w:w="2880"/>
            <w:shd w:fill="F9F5F5"/>
            <w:tcMar>
              <w:top w:w="50" w:type="dxa"/>
              <w:bottom w:w="50" w:type="dxa"/>
              <w:left w:w="80" w:type="dxa"/>
              <w:right w:w="80" w:type="dxa"/>
            </w:tcMar>
          </w:tcPr>
          <w:p>
            <w:pPr>
              <w:spacing w:after="0"/>
            </w:pPr>
            <w:r>
              <w:rPr>
                <w:rFonts w:ascii="Arial" w:hAnsi="Arial"/>
                <w:b/>
                <w:color w:val="7B1113"/>
                <w:sz w:val="19"/>
              </w:rPr>
              <w:t>Documentation Scope:</w:t>
            </w:r>
          </w:p>
        </w:tc>
        <w:tc>
          <w:tcPr>
            <w:tcW w:type="dxa" w:w="6480"/>
            <w:shd w:fill="FFFFFF"/>
            <w:tcMar>
              <w:top w:w="50" w:type="dxa"/>
              <w:bottom w:w="50" w:type="dxa"/>
              <w:left w:w="80" w:type="dxa"/>
              <w:right w:w="80" w:type="dxa"/>
            </w:tcMar>
          </w:tcPr>
          <w:p>
            <w:pPr>
              <w:spacing w:after="0"/>
            </w:pPr>
            <w:r>
              <w:rPr>
                <w:rFonts w:ascii="Arial" w:hAnsi="Arial"/>
                <w:color w:val="333333"/>
                <w:sz w:val="19"/>
              </w:rPr>
              <w:t>Operational Procedures, Financial Accounting Treatments &amp; Reporting</w:t>
            </w:r>
          </w:p>
        </w:tc>
      </w:tr>
    </w:tbl>
    <w:p>
      <w:pPr>
        <w:spacing w:after="280"/>
      </w:pPr>
    </w:p>
    <w:p>
      <w:pPr>
        <w:keepNext/>
        <w:spacing w:before="360" w:after="120"/>
      </w:pPr>
      <w:r>
        <w:rPr>
          <w:rFonts w:ascii="Arial" w:hAnsi="Arial"/>
          <w:b/>
          <w:color w:val="7B1113"/>
          <w:sz w:val="30"/>
        </w:rPr>
        <w:t>1. Executive Overview &amp; Meat Processing Architecture</w:t>
      </w:r>
    </w:p>
    <w:p>
      <w:pPr>
        <w:spacing w:after="120" w:line="276" w:lineRule="auto"/>
      </w:pPr>
      <w:r>
        <w:rPr>
          <w:rFonts w:ascii="Arial" w:hAnsi="Arial"/>
          <w:color w:val="333333"/>
          <w:sz w:val="20"/>
        </w:rPr>
        <w:t>Standard manufacturing software relies on an assembly Bill of Materials (BOM) — aggregating multiple raw materials into a finished good. Butchery, meat processing, and abattoir operations function in the inverse: a single biological organism (parent carcass) is disassembled into dozens of distinct sellable primal cuts, manufacturing meats, edible offals, trimmings, and residual bone/waste.</w:t>
      </w:r>
    </w:p>
    <w:p>
      <w:pPr>
        <w:spacing w:after="120" w:line="276" w:lineRule="auto"/>
      </w:pPr>
      <w:r>
        <w:rPr>
          <w:rFonts w:ascii="Arial" w:hAnsi="Arial"/>
          <w:color w:val="333333"/>
          <w:sz w:val="20"/>
        </w:rPr>
        <w:t>The butchery_management application is built specifically to address the physical and financial complexities of commercial meat processing:</w:t>
      </w:r>
    </w:p>
    <w:p>
      <w:pPr>
        <w:pStyle w:val="ListBullet"/>
        <w:spacing w:after="60" w:line="276" w:lineRule="auto"/>
      </w:pPr>
      <w:r>
        <w:rPr>
          <w:rFonts w:ascii="Arial" w:hAnsi="Arial"/>
          <w:b/>
          <w:color w:val="7B1113"/>
          <w:sz w:val="20"/>
        </w:rPr>
        <w:t xml:space="preserve">Transit Shrinkage Reconciliation: </w:t>
      </w:r>
      <w:r>
        <w:rPr>
          <w:rFonts w:ascii="Arial" w:hAnsi="Arial"/>
          <w:color w:val="333333"/>
          <w:sz w:val="20"/>
        </w:rPr>
        <w:t>Live/invoiced weight from cattle markets/abattoirs frequently differs from receiving dock scale weight due to fluid leakage, transport stress, and evaporative moisture loss.</w:t>
      </w:r>
    </w:p>
    <w:p>
      <w:pPr>
        <w:pStyle w:val="ListBullet"/>
        <w:spacing w:after="60" w:line="276" w:lineRule="auto"/>
      </w:pPr>
      <w:r>
        <w:rPr>
          <w:rFonts w:ascii="Arial" w:hAnsi="Arial"/>
          <w:b/>
          <w:color w:val="7B1113"/>
          <w:sz w:val="20"/>
        </w:rPr>
        <w:t xml:space="preserve">Joint Cost Allocation (NRV): </w:t>
      </w:r>
      <w:r>
        <w:rPr>
          <w:rFonts w:ascii="Arial" w:hAnsi="Arial"/>
          <w:color w:val="333333"/>
          <w:sz w:val="20"/>
        </w:rPr>
        <w:t>Purchasing a 400kg carcass at flat ₦3,000/kg yields both high-value cuts (Ribeye, Fillet @ ₦14,000–₦15,000/kg) and low-value cuts (Bones, Offals @ ₦600/kg). Flat cost averaging destroys gross margin analytics; the system allocates carcass acquisition cost proportionally based on market Net Realizable Value (NRV).</w:t>
      </w:r>
    </w:p>
    <w:p>
      <w:pPr>
        <w:pStyle w:val="ListBullet"/>
        <w:spacing w:after="60" w:line="276" w:lineRule="auto"/>
      </w:pPr>
      <w:r>
        <w:rPr>
          <w:rFonts w:ascii="Arial" w:hAnsi="Arial"/>
          <w:b/>
          <w:color w:val="7B1113"/>
          <w:sz w:val="20"/>
        </w:rPr>
        <w:t xml:space="preserve">Mass Balance Conservation: </w:t>
      </w:r>
      <w:r>
        <w:rPr>
          <w:rFonts w:ascii="Arial" w:hAnsi="Arial"/>
          <w:color w:val="333333"/>
          <w:sz w:val="20"/>
        </w:rPr>
        <w:t>Enforces the physical conservation of mass. Scale readings are validated to ensure total cut yields do not exceed carcass input weight by more than 5%, preventing phantom stock inflation.</w:t>
      </w:r>
    </w:p>
    <w:p>
      <w:pPr>
        <w:pStyle w:val="ListBullet"/>
        <w:spacing w:after="60" w:line="276" w:lineRule="auto"/>
      </w:pPr>
      <w:r>
        <w:rPr>
          <w:rFonts w:ascii="Arial" w:hAnsi="Arial"/>
          <w:b/>
          <w:color w:val="7B1113"/>
          <w:sz w:val="20"/>
        </w:rPr>
        <w:t xml:space="preserve">End-to-End Batch Lineage: </w:t>
      </w:r>
      <w:r>
        <w:rPr>
          <w:rFonts w:ascii="Arial" w:hAnsi="Arial"/>
          <w:color w:val="333333"/>
          <w:sz w:val="20"/>
        </w:rPr>
        <w:t>Every cut inherits a traceable child batch number linked directly to the parent animal/inbound shipment, providing full recall and quality audit capability.</w:t>
      </w:r>
    </w:p>
    <w:p>
      <w:pPr>
        <w:pStyle w:val="ListBullet"/>
        <w:spacing w:after="60" w:line="276" w:lineRule="auto"/>
      </w:pPr>
      <w:r>
        <w:rPr>
          <w:rFonts w:ascii="Arial" w:hAnsi="Arial"/>
          <w:b/>
          <w:color w:val="7B1113"/>
          <w:sz w:val="20"/>
        </w:rPr>
        <w:t xml:space="preserve">Native ERPNext Stock Ledger Integration: </w:t>
      </w:r>
      <w:r>
        <w:rPr>
          <w:rFonts w:ascii="Arial" w:hAnsi="Arial"/>
          <w:color w:val="333333"/>
          <w:sz w:val="20"/>
        </w:rPr>
        <w:t>Every butchery transaction submits a native ERPNext Stock Entry (Material Receipt or Repack), ensuring complete auditability across stock ledgers and financial balance sheets.</w:t>
      </w:r>
    </w:p>
    <w:tbl>
      <w:tblPr>
        <w:tblW w:type="auto" w:w="0"/>
        <w:jc w:val="center"/>
        <w:tblLook w:firstColumn="1" w:firstRow="1" w:lastColumn="0" w:lastRow="0" w:noHBand="0" w:noVBand="1" w:val="04A0"/>
      </w:tblPr>
      <w:tblGrid>
        <w:gridCol w:w="9360"/>
      </w:tblGrid>
      <w:tr>
        <w:tc>
          <w:tcPr>
            <w:tcW w:type="dxa" w:w="9360"/>
            <w:shd w:fill="F9F9FB"/>
            <w:tcMar>
              <w:top w:w="120" w:type="dxa"/>
              <w:bottom w:w="120" w:type="dxa"/>
              <w:left w:w="180" w:type="dxa"/>
              <w:right w:w="180" w:type="dxa"/>
            </w:tcMar>
            <w:tcBorders>
              <w:left w:val="single" w:sz="24" w:space="0" w:color="7B1113"/>
              <w:top w:val="none"/>
              <w:right w:val="none"/>
              <w:bottom w:val="none"/>
            </w:tcBorders>
          </w:tcPr>
          <w:p>
            <w:pPr>
              <w:spacing w:before="40" w:after="40" w:line="276" w:lineRule="auto"/>
            </w:pPr>
            <w:r>
              <w:rPr>
                <w:rFonts w:ascii="Arial" w:hAnsi="Arial"/>
                <w:b/>
                <w:color w:val="7B1113"/>
                <w:sz w:val="19"/>
              </w:rPr>
              <w:t xml:space="preserve">[CORE ARCHITECTURE RULE] </w:t>
            </w:r>
            <w:r>
              <w:rPr>
                <w:rFonts w:ascii="Arial" w:hAnsi="Arial"/>
                <w:color w:val="333333"/>
                <w:sz w:val="19"/>
              </w:rPr>
              <w:t>All transactions within the Butchery app generate native ERPNext Stock Entry records behind the scenes. This ensures native warehouse bin updates, stock valuation ledgers (SLE), and general ledger (GL) journal balance entries without duplicate data entry.</w:t>
            </w:r>
          </w:p>
        </w:tc>
      </w:tr>
    </w:tbl>
    <w:p>
      <w:pPr>
        <w:spacing w:after="80"/>
      </w:pPr>
    </w:p>
    <w:p>
      <w:pPr>
        <w:keepNext/>
        <w:spacing w:before="360" w:after="120"/>
      </w:pPr>
      <w:r>
        <w:rPr>
          <w:rFonts w:ascii="Arial" w:hAnsi="Arial"/>
          <w:b/>
          <w:color w:val="7B1113"/>
          <w:sz w:val="30"/>
        </w:rPr>
        <w:t>2. Master Data &amp; System Setup</w:t>
      </w:r>
    </w:p>
    <w:p>
      <w:pPr>
        <w:keepNext/>
        <w:spacing w:before="260" w:after="80"/>
      </w:pPr>
      <w:r>
        <w:rPr>
          <w:rFonts w:ascii="Arial" w:hAnsi="Arial"/>
          <w:b/>
          <w:color w:val="1B365D"/>
          <w:sz w:val="24"/>
        </w:rPr>
        <w:t>2.1 Butchery Settings</w:t>
      </w:r>
    </w:p>
    <w:p>
      <w:pPr>
        <w:spacing w:after="120" w:line="276" w:lineRule="auto"/>
      </w:pPr>
      <w:r>
        <w:rPr>
          <w:rFonts w:ascii="Arial" w:hAnsi="Arial"/>
          <w:color w:val="333333"/>
          <w:sz w:val="20"/>
        </w:rPr>
        <w:t>Configure operational thresholds and default financial variance accounts under Butchery &gt; Items &amp; Master Data &gt; Butchery Settings.</w:t>
      </w:r>
    </w:p>
    <w:tbl>
      <w:tblPr>
        <w:tblW w:type="auto" w:w="0"/>
        <w:jc w:val="center"/>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3120"/>
        <w:gridCol w:w="3120"/>
        <w:gridCol w:w="3120"/>
      </w:tblGrid>
      <w:tr>
        <w:tc>
          <w:tcPr>
            <w:tcW w:type="dxa" w:w="2880"/>
            <w:shd w:fill="7B1113"/>
            <w:tcMar>
              <w:top w:w="80" w:type="dxa"/>
              <w:bottom w:w="80" w:type="dxa"/>
              <w:left w:w="100" w:type="dxa"/>
              <w:right w:w="100" w:type="dxa"/>
            </w:tcMar>
          </w:tcPr>
          <w:p>
            <w:pPr>
              <w:spacing w:after="0"/>
            </w:pPr>
            <w:r>
              <w:rPr>
                <w:rFonts w:ascii="Arial" w:hAnsi="Arial"/>
                <w:b/>
                <w:color w:val="FFFFFF"/>
                <w:sz w:val="18"/>
              </w:rPr>
              <w:t>Setting Field</w:t>
            </w:r>
          </w:p>
        </w:tc>
        <w:tc>
          <w:tcPr>
            <w:tcW w:type="dxa" w:w="4608"/>
            <w:shd w:fill="7B1113"/>
            <w:tcMar>
              <w:top w:w="80" w:type="dxa"/>
              <w:bottom w:w="80" w:type="dxa"/>
              <w:left w:w="100" w:type="dxa"/>
              <w:right w:w="100" w:type="dxa"/>
            </w:tcMar>
          </w:tcPr>
          <w:p>
            <w:pPr>
              <w:spacing w:after="0"/>
            </w:pPr>
            <w:r>
              <w:rPr>
                <w:rFonts w:ascii="Arial" w:hAnsi="Arial"/>
                <w:b/>
                <w:color w:val="FFFFFF"/>
                <w:sz w:val="18"/>
              </w:rPr>
              <w:t>Description</w:t>
            </w:r>
          </w:p>
        </w:tc>
        <w:tc>
          <w:tcPr>
            <w:tcW w:type="dxa" w:w="1872"/>
            <w:shd w:fill="7B1113"/>
            <w:tcMar>
              <w:top w:w="80" w:type="dxa"/>
              <w:bottom w:w="80" w:type="dxa"/>
              <w:left w:w="100" w:type="dxa"/>
              <w:right w:w="100" w:type="dxa"/>
            </w:tcMar>
          </w:tcPr>
          <w:p>
            <w:pPr>
              <w:spacing w:after="0"/>
            </w:pPr>
            <w:r>
              <w:rPr>
                <w:rFonts w:ascii="Arial" w:hAnsi="Arial"/>
                <w:b/>
                <w:color w:val="FFFFFF"/>
                <w:sz w:val="18"/>
              </w:rPr>
              <w:t>Standard Value</w:t>
            </w:r>
          </w:p>
        </w:tc>
      </w:tr>
      <w:tr>
        <w:tc>
          <w:tcPr>
            <w:tcW w:type="dxa" w:w="2880"/>
            <w:shd w:fill="FFFFFF"/>
            <w:tcMar>
              <w:top w:w="60" w:type="dxa"/>
              <w:bottom w:w="60" w:type="dxa"/>
              <w:left w:w="100" w:type="dxa"/>
              <w:right w:w="100" w:type="dxa"/>
            </w:tcMar>
          </w:tcPr>
          <w:p>
            <w:pPr>
              <w:spacing w:after="0"/>
            </w:pPr>
            <w:r>
              <w:rPr>
                <w:rFonts w:ascii="Arial" w:hAnsi="Arial"/>
                <w:color w:val="333333"/>
                <w:sz w:val="18"/>
              </w:rPr>
              <w:t>Max Receiving Shortage %</w:t>
            </w:r>
          </w:p>
        </w:tc>
        <w:tc>
          <w:tcPr>
            <w:tcW w:type="dxa" w:w="4608"/>
            <w:shd w:fill="FFFFFF"/>
            <w:tcMar>
              <w:top w:w="60" w:type="dxa"/>
              <w:bottom w:w="60" w:type="dxa"/>
              <w:left w:w="100" w:type="dxa"/>
              <w:right w:w="100" w:type="dxa"/>
            </w:tcMar>
          </w:tcPr>
          <w:p>
            <w:pPr>
              <w:spacing w:after="0"/>
            </w:pPr>
            <w:r>
              <w:rPr>
                <w:rFonts w:ascii="Arial" w:hAnsi="Arial"/>
                <w:color w:val="333333"/>
                <w:sz w:val="18"/>
              </w:rPr>
              <w:t>Permissible in-transit fluid shrinkage threshold before supervisor escalation</w:t>
            </w:r>
          </w:p>
        </w:tc>
        <w:tc>
          <w:tcPr>
            <w:tcW w:type="dxa" w:w="1872"/>
            <w:shd w:fill="FFFFFF"/>
            <w:tcMar>
              <w:top w:w="60" w:type="dxa"/>
              <w:bottom w:w="60" w:type="dxa"/>
              <w:left w:w="100" w:type="dxa"/>
              <w:right w:w="100" w:type="dxa"/>
            </w:tcMar>
          </w:tcPr>
          <w:p>
            <w:pPr>
              <w:spacing w:after="0"/>
            </w:pPr>
            <w:r>
              <w:rPr>
                <w:rFonts w:ascii="Arial" w:hAnsi="Arial"/>
                <w:color w:val="333333"/>
                <w:sz w:val="18"/>
              </w:rPr>
              <w:t>2.50%</w:t>
            </w:r>
          </w:p>
        </w:tc>
      </w:tr>
      <w:tr>
        <w:tc>
          <w:tcPr>
            <w:tcW w:type="dxa" w:w="2880"/>
            <w:shd w:fill="FDF8F7"/>
            <w:tcMar>
              <w:top w:w="60" w:type="dxa"/>
              <w:bottom w:w="60" w:type="dxa"/>
              <w:left w:w="100" w:type="dxa"/>
              <w:right w:w="100" w:type="dxa"/>
            </w:tcMar>
          </w:tcPr>
          <w:p>
            <w:pPr>
              <w:spacing w:after="0"/>
            </w:pPr>
            <w:r>
              <w:rPr>
                <w:rFonts w:ascii="Arial" w:hAnsi="Arial"/>
                <w:color w:val="333333"/>
                <w:sz w:val="18"/>
              </w:rPr>
              <w:t>Max Cutting Loss %</w:t>
            </w:r>
          </w:p>
        </w:tc>
        <w:tc>
          <w:tcPr>
            <w:tcW w:type="dxa" w:w="4608"/>
            <w:shd w:fill="FDF8F7"/>
            <w:tcMar>
              <w:top w:w="60" w:type="dxa"/>
              <w:bottom w:w="60" w:type="dxa"/>
              <w:left w:w="100" w:type="dxa"/>
              <w:right w:w="100" w:type="dxa"/>
            </w:tcMar>
          </w:tcPr>
          <w:p>
            <w:pPr>
              <w:spacing w:after="0"/>
            </w:pPr>
            <w:r>
              <w:rPr>
                <w:rFonts w:ascii="Arial" w:hAnsi="Arial"/>
                <w:color w:val="333333"/>
                <w:sz w:val="18"/>
              </w:rPr>
              <w:t>Permissible evaporative / trimming deboning loss threshold</w:t>
            </w:r>
          </w:p>
        </w:tc>
        <w:tc>
          <w:tcPr>
            <w:tcW w:type="dxa" w:w="1872"/>
            <w:shd w:fill="FDF8F7"/>
            <w:tcMar>
              <w:top w:w="60" w:type="dxa"/>
              <w:bottom w:w="60" w:type="dxa"/>
              <w:left w:w="100" w:type="dxa"/>
              <w:right w:w="100" w:type="dxa"/>
            </w:tcMar>
          </w:tcPr>
          <w:p>
            <w:pPr>
              <w:spacing w:after="0"/>
            </w:pPr>
            <w:r>
              <w:rPr>
                <w:rFonts w:ascii="Arial" w:hAnsi="Arial"/>
                <w:color w:val="333333"/>
                <w:sz w:val="18"/>
              </w:rPr>
              <w:t>3.50%</w:t>
            </w:r>
          </w:p>
        </w:tc>
      </w:tr>
      <w:tr>
        <w:tc>
          <w:tcPr>
            <w:tcW w:type="dxa" w:w="2880"/>
            <w:shd w:fill="FFFFFF"/>
            <w:tcMar>
              <w:top w:w="60" w:type="dxa"/>
              <w:bottom w:w="60" w:type="dxa"/>
              <w:left w:w="100" w:type="dxa"/>
              <w:right w:w="100" w:type="dxa"/>
            </w:tcMar>
          </w:tcPr>
          <w:p>
            <w:pPr>
              <w:spacing w:after="0"/>
            </w:pPr>
            <w:r>
              <w:rPr>
                <w:rFonts w:ascii="Arial" w:hAnsi="Arial"/>
                <w:color w:val="333333"/>
                <w:sz w:val="18"/>
              </w:rPr>
              <w:t>Transit Loss Account</w:t>
            </w:r>
          </w:p>
        </w:tc>
        <w:tc>
          <w:tcPr>
            <w:tcW w:type="dxa" w:w="4608"/>
            <w:shd w:fill="FFFFFF"/>
            <w:tcMar>
              <w:top w:w="60" w:type="dxa"/>
              <w:bottom w:w="60" w:type="dxa"/>
              <w:left w:w="100" w:type="dxa"/>
              <w:right w:w="100" w:type="dxa"/>
            </w:tcMar>
          </w:tcPr>
          <w:p>
            <w:pPr>
              <w:spacing w:after="0"/>
            </w:pPr>
            <w:r>
              <w:rPr>
                <w:rFonts w:ascii="Arial" w:hAnsi="Arial"/>
                <w:color w:val="333333"/>
                <w:sz w:val="18"/>
              </w:rPr>
              <w:t>Default GL expense account for transit shrinkage booked as expense</w:t>
            </w:r>
          </w:p>
        </w:tc>
        <w:tc>
          <w:tcPr>
            <w:tcW w:type="dxa" w:w="1872"/>
            <w:shd w:fill="FFFFFF"/>
            <w:tcMar>
              <w:top w:w="60" w:type="dxa"/>
              <w:bottom w:w="60" w:type="dxa"/>
              <w:left w:w="100" w:type="dxa"/>
              <w:right w:w="100" w:type="dxa"/>
            </w:tcMar>
          </w:tcPr>
          <w:p>
            <w:pPr>
              <w:spacing w:after="0"/>
            </w:pPr>
            <w:r>
              <w:rPr>
                <w:rFonts w:ascii="Arial" w:hAnsi="Arial"/>
                <w:color w:val="333333"/>
                <w:sz w:val="18"/>
              </w:rPr>
              <w:t>Cost of Goods Sold - Meat Variance</w:t>
            </w:r>
          </w:p>
        </w:tc>
      </w:tr>
      <w:tr>
        <w:tc>
          <w:tcPr>
            <w:tcW w:type="dxa" w:w="2880"/>
            <w:shd w:fill="FDF8F7"/>
            <w:tcMar>
              <w:top w:w="60" w:type="dxa"/>
              <w:bottom w:w="60" w:type="dxa"/>
              <w:left w:w="100" w:type="dxa"/>
              <w:right w:w="100" w:type="dxa"/>
            </w:tcMar>
          </w:tcPr>
          <w:p>
            <w:pPr>
              <w:spacing w:after="0"/>
            </w:pPr>
            <w:r>
              <w:rPr>
                <w:rFonts w:ascii="Arial" w:hAnsi="Arial"/>
                <w:color w:val="333333"/>
                <w:sz w:val="18"/>
              </w:rPr>
              <w:t>Cutting Loss Account</w:t>
            </w:r>
          </w:p>
        </w:tc>
        <w:tc>
          <w:tcPr>
            <w:tcW w:type="dxa" w:w="4608"/>
            <w:shd w:fill="FDF8F7"/>
            <w:tcMar>
              <w:top w:w="60" w:type="dxa"/>
              <w:bottom w:w="60" w:type="dxa"/>
              <w:left w:w="100" w:type="dxa"/>
              <w:right w:w="100" w:type="dxa"/>
            </w:tcMar>
          </w:tcPr>
          <w:p>
            <w:pPr>
              <w:spacing w:after="0"/>
            </w:pPr>
            <w:r>
              <w:rPr>
                <w:rFonts w:ascii="Arial" w:hAnsi="Arial"/>
                <w:color w:val="333333"/>
                <w:sz w:val="18"/>
              </w:rPr>
              <w:t>Default GL expense account for excessive deboning loss</w:t>
            </w:r>
          </w:p>
        </w:tc>
        <w:tc>
          <w:tcPr>
            <w:tcW w:type="dxa" w:w="1872"/>
            <w:shd w:fill="FDF8F7"/>
            <w:tcMar>
              <w:top w:w="60" w:type="dxa"/>
              <w:bottom w:w="60" w:type="dxa"/>
              <w:left w:w="100" w:type="dxa"/>
              <w:right w:w="100" w:type="dxa"/>
            </w:tcMar>
          </w:tcPr>
          <w:p>
            <w:pPr>
              <w:spacing w:after="0"/>
            </w:pPr>
            <w:r>
              <w:rPr>
                <w:rFonts w:ascii="Arial" w:hAnsi="Arial"/>
                <w:color w:val="333333"/>
                <w:sz w:val="18"/>
              </w:rPr>
              <w:t>Production Shrinkage &amp; Loss</w:t>
            </w:r>
          </w:p>
        </w:tc>
      </w:tr>
      <w:tr>
        <w:tc>
          <w:tcPr>
            <w:tcW w:type="dxa" w:w="2880"/>
            <w:shd w:fill="FFFFFF"/>
            <w:tcMar>
              <w:top w:w="60" w:type="dxa"/>
              <w:bottom w:w="60" w:type="dxa"/>
              <w:left w:w="100" w:type="dxa"/>
              <w:right w:w="100" w:type="dxa"/>
            </w:tcMar>
          </w:tcPr>
          <w:p>
            <w:pPr>
              <w:spacing w:after="0"/>
            </w:pPr>
            <w:r>
              <w:rPr>
                <w:rFonts w:ascii="Arial" w:hAnsi="Arial"/>
                <w:color w:val="333333"/>
                <w:sz w:val="18"/>
              </w:rPr>
              <w:t>Return Loss Account</w:t>
            </w:r>
          </w:p>
        </w:tc>
        <w:tc>
          <w:tcPr>
            <w:tcW w:type="dxa" w:w="4608"/>
            <w:shd w:fill="FFFFFF"/>
            <w:tcMar>
              <w:top w:w="60" w:type="dxa"/>
              <w:bottom w:w="60" w:type="dxa"/>
              <w:left w:w="100" w:type="dxa"/>
              <w:right w:w="100" w:type="dxa"/>
            </w:tcMar>
          </w:tcPr>
          <w:p>
            <w:pPr>
              <w:spacing w:after="0"/>
            </w:pPr>
            <w:r>
              <w:rPr>
                <w:rFonts w:ascii="Arial" w:hAnsi="Arial"/>
                <w:color w:val="333333"/>
                <w:sz w:val="18"/>
              </w:rPr>
              <w:t>Default GL expense account for B2B customer return in-transit shortages</w:t>
            </w:r>
          </w:p>
        </w:tc>
        <w:tc>
          <w:tcPr>
            <w:tcW w:type="dxa" w:w="1872"/>
            <w:shd w:fill="FFFFFF"/>
            <w:tcMar>
              <w:top w:w="60" w:type="dxa"/>
              <w:bottom w:w="60" w:type="dxa"/>
              <w:left w:w="100" w:type="dxa"/>
              <w:right w:w="100" w:type="dxa"/>
            </w:tcMar>
          </w:tcPr>
          <w:p>
            <w:pPr>
              <w:spacing w:after="0"/>
            </w:pPr>
            <w:r>
              <w:rPr>
                <w:rFonts w:ascii="Arial" w:hAnsi="Arial"/>
                <w:color w:val="333333"/>
                <w:sz w:val="18"/>
              </w:rPr>
              <w:t>Customer Return Transit Shortage</w:t>
            </w:r>
          </w:p>
        </w:tc>
      </w:tr>
    </w:tbl>
    <w:p>
      <w:pPr>
        <w:spacing w:after="160"/>
      </w:pPr>
    </w:p>
    <w:p>
      <w:pPr>
        <w:keepNext/>
        <w:spacing w:before="260" w:after="80"/>
      </w:pPr>
      <w:r>
        <w:rPr>
          <w:rFonts w:ascii="Arial" w:hAnsi="Arial"/>
          <w:b/>
          <w:color w:val="1B365D"/>
          <w:sz w:val="24"/>
        </w:rPr>
        <w:t>2.2 Meat Item Master Taxonomy</w:t>
      </w:r>
    </w:p>
    <w:p>
      <w:pPr>
        <w:spacing w:after="120" w:line="276" w:lineRule="auto"/>
      </w:pPr>
      <w:r>
        <w:rPr>
          <w:rFonts w:ascii="Arial" w:hAnsi="Arial"/>
          <w:color w:val="333333"/>
          <w:sz w:val="20"/>
        </w:rPr>
        <w:t>All meat products are configured under the Item Group 'Meat &amp; Butchery Products'. Each item must have 'Is Stock Item' enabled, 'Has Batch No' enabled, and standard units of measure (Kg or Nos).</w:t>
      </w:r>
    </w:p>
    <w:tbl>
      <w:tblPr>
        <w:tblW w:type="auto" w:w="0"/>
        <w:jc w:val="center"/>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2340"/>
        <w:gridCol w:w="2340"/>
        <w:gridCol w:w="2340"/>
        <w:gridCol w:w="2340"/>
      </w:tblGrid>
      <w:tr>
        <w:tc>
          <w:tcPr>
            <w:tcW w:type="dxa" w:w="2160"/>
            <w:shd w:fill="7B1113"/>
            <w:tcMar>
              <w:top w:w="80" w:type="dxa"/>
              <w:bottom w:w="80" w:type="dxa"/>
              <w:left w:w="100" w:type="dxa"/>
              <w:right w:w="100" w:type="dxa"/>
            </w:tcMar>
          </w:tcPr>
          <w:p>
            <w:pPr>
              <w:spacing w:after="0"/>
            </w:pPr>
            <w:r>
              <w:rPr>
                <w:rFonts w:ascii="Arial" w:hAnsi="Arial"/>
                <w:b/>
                <w:color w:val="FFFFFF"/>
                <w:sz w:val="18"/>
              </w:rPr>
              <w:t>Category</w:t>
            </w:r>
          </w:p>
        </w:tc>
        <w:tc>
          <w:tcPr>
            <w:tcW w:type="dxa" w:w="4896"/>
            <w:shd w:fill="7B1113"/>
            <w:tcMar>
              <w:top w:w="80" w:type="dxa"/>
              <w:bottom w:w="80" w:type="dxa"/>
              <w:left w:w="100" w:type="dxa"/>
              <w:right w:w="100" w:type="dxa"/>
            </w:tcMar>
          </w:tcPr>
          <w:p>
            <w:pPr>
              <w:spacing w:after="0"/>
            </w:pPr>
            <w:r>
              <w:rPr>
                <w:rFonts w:ascii="Arial" w:hAnsi="Arial"/>
                <w:b/>
                <w:color w:val="FFFFFF"/>
                <w:sz w:val="18"/>
              </w:rPr>
              <w:t>Representative Items</w:t>
            </w:r>
          </w:p>
        </w:tc>
        <w:tc>
          <w:tcPr>
            <w:tcW w:type="dxa" w:w="1152"/>
            <w:shd w:fill="7B1113"/>
            <w:tcMar>
              <w:top w:w="80" w:type="dxa"/>
              <w:bottom w:w="80" w:type="dxa"/>
              <w:left w:w="100" w:type="dxa"/>
              <w:right w:w="100" w:type="dxa"/>
            </w:tcMar>
          </w:tcPr>
          <w:p>
            <w:pPr>
              <w:spacing w:after="0"/>
            </w:pPr>
            <w:r>
              <w:rPr>
                <w:rFonts w:ascii="Arial" w:hAnsi="Arial"/>
                <w:b/>
                <w:color w:val="FFFFFF"/>
                <w:sz w:val="18"/>
              </w:rPr>
              <w:t>Stock UOM</w:t>
            </w:r>
          </w:p>
        </w:tc>
        <w:tc>
          <w:tcPr>
            <w:tcW w:type="dxa" w:w="1152"/>
            <w:shd w:fill="7B1113"/>
            <w:tcMar>
              <w:top w:w="80" w:type="dxa"/>
              <w:bottom w:w="80" w:type="dxa"/>
              <w:left w:w="100" w:type="dxa"/>
              <w:right w:w="100" w:type="dxa"/>
            </w:tcMar>
          </w:tcPr>
          <w:p>
            <w:pPr>
              <w:spacing w:after="0"/>
            </w:pPr>
            <w:r>
              <w:rPr>
                <w:rFonts w:ascii="Arial" w:hAnsi="Arial"/>
                <w:b/>
                <w:color w:val="FFFFFF"/>
                <w:sz w:val="18"/>
              </w:rPr>
              <w:t>Batching</w:t>
            </w:r>
          </w:p>
        </w:tc>
      </w:tr>
      <w:tr>
        <w:tc>
          <w:tcPr>
            <w:tcW w:type="dxa" w:w="2160"/>
            <w:shd w:fill="FFFFFF"/>
            <w:tcMar>
              <w:top w:w="60" w:type="dxa"/>
              <w:bottom w:w="60" w:type="dxa"/>
              <w:left w:w="100" w:type="dxa"/>
              <w:right w:w="100" w:type="dxa"/>
            </w:tcMar>
          </w:tcPr>
          <w:p>
            <w:pPr>
              <w:spacing w:after="0"/>
            </w:pPr>
            <w:r>
              <w:rPr>
                <w:rFonts w:ascii="Arial" w:hAnsi="Arial"/>
                <w:color w:val="333333"/>
                <w:sz w:val="18"/>
              </w:rPr>
              <w:t>Parent Carcass</w:t>
            </w:r>
          </w:p>
        </w:tc>
        <w:tc>
          <w:tcPr>
            <w:tcW w:type="dxa" w:w="4896"/>
            <w:shd w:fill="FFFFFF"/>
            <w:tcMar>
              <w:top w:w="60" w:type="dxa"/>
              <w:bottom w:w="60" w:type="dxa"/>
              <w:left w:w="100" w:type="dxa"/>
              <w:right w:w="100" w:type="dxa"/>
            </w:tcMar>
          </w:tcPr>
          <w:p>
            <w:pPr>
              <w:spacing w:after="0"/>
            </w:pPr>
            <w:r>
              <w:rPr>
                <w:rFonts w:ascii="Arial" w:hAnsi="Arial"/>
                <w:color w:val="333333"/>
                <w:sz w:val="18"/>
              </w:rPr>
              <w:t>Whole Beef Carcass, Goat Carcass, Pork Carcass</w:t>
            </w:r>
          </w:p>
        </w:tc>
        <w:tc>
          <w:tcPr>
            <w:tcW w:type="dxa" w:w="1152"/>
            <w:shd w:fill="FFFFFF"/>
            <w:tcMar>
              <w:top w:w="60" w:type="dxa"/>
              <w:bottom w:w="60" w:type="dxa"/>
              <w:left w:w="100" w:type="dxa"/>
              <w:right w:w="100" w:type="dxa"/>
            </w:tcMar>
          </w:tcPr>
          <w:p>
            <w:pPr>
              <w:spacing w:after="0"/>
            </w:pPr>
            <w:r>
              <w:rPr>
                <w:rFonts w:ascii="Arial" w:hAnsi="Arial"/>
                <w:color w:val="333333"/>
                <w:sz w:val="18"/>
              </w:rPr>
              <w:t>Kg</w:t>
            </w:r>
          </w:p>
        </w:tc>
        <w:tc>
          <w:tcPr>
            <w:tcW w:type="dxa" w:w="1152"/>
            <w:shd w:fill="FFFFFF"/>
            <w:tcMar>
              <w:top w:w="60" w:type="dxa"/>
              <w:bottom w:w="60" w:type="dxa"/>
              <w:left w:w="100" w:type="dxa"/>
              <w:right w:w="100" w:type="dxa"/>
            </w:tcMar>
          </w:tcPr>
          <w:p>
            <w:pPr>
              <w:spacing w:after="0"/>
            </w:pPr>
            <w:r>
              <w:rPr>
                <w:rFonts w:ascii="Arial" w:hAnsi="Arial"/>
                <w:color w:val="333333"/>
                <w:sz w:val="18"/>
              </w:rPr>
              <w:t>Mandatory</w:t>
            </w:r>
          </w:p>
        </w:tc>
      </w:tr>
      <w:tr>
        <w:tc>
          <w:tcPr>
            <w:tcW w:type="dxa" w:w="2160"/>
            <w:shd w:fill="FDF8F7"/>
            <w:tcMar>
              <w:top w:w="60" w:type="dxa"/>
              <w:bottom w:w="60" w:type="dxa"/>
              <w:left w:w="100" w:type="dxa"/>
              <w:right w:w="100" w:type="dxa"/>
            </w:tcMar>
          </w:tcPr>
          <w:p>
            <w:pPr>
              <w:spacing w:after="0"/>
            </w:pPr>
            <w:r>
              <w:rPr>
                <w:rFonts w:ascii="Arial" w:hAnsi="Arial"/>
                <w:color w:val="333333"/>
                <w:sz w:val="18"/>
              </w:rPr>
              <w:t>Primal / Steaks</w:t>
            </w:r>
          </w:p>
        </w:tc>
        <w:tc>
          <w:tcPr>
            <w:tcW w:type="dxa" w:w="4896"/>
            <w:shd w:fill="FDF8F7"/>
            <w:tcMar>
              <w:top w:w="60" w:type="dxa"/>
              <w:bottom w:w="60" w:type="dxa"/>
              <w:left w:w="100" w:type="dxa"/>
              <w:right w:w="100" w:type="dxa"/>
            </w:tcMar>
          </w:tcPr>
          <w:p>
            <w:pPr>
              <w:spacing w:after="0"/>
            </w:pPr>
            <w:r>
              <w:rPr>
                <w:rFonts w:ascii="Arial" w:hAnsi="Arial"/>
                <w:color w:val="333333"/>
                <w:sz w:val="18"/>
              </w:rPr>
              <w:t>Beef Fillet, Ribeye, Sirloin Beef, T-Bone, Tomahawk, Minute Steak</w:t>
            </w:r>
          </w:p>
        </w:tc>
        <w:tc>
          <w:tcPr>
            <w:tcW w:type="dxa" w:w="1152"/>
            <w:shd w:fill="FDF8F7"/>
            <w:tcMar>
              <w:top w:w="60" w:type="dxa"/>
              <w:bottom w:w="60" w:type="dxa"/>
              <w:left w:w="100" w:type="dxa"/>
              <w:right w:w="100" w:type="dxa"/>
            </w:tcMar>
          </w:tcPr>
          <w:p>
            <w:pPr>
              <w:spacing w:after="0"/>
            </w:pPr>
            <w:r>
              <w:rPr>
                <w:rFonts w:ascii="Arial" w:hAnsi="Arial"/>
                <w:color w:val="333333"/>
                <w:sz w:val="18"/>
              </w:rPr>
              <w:t>Kg</w:t>
            </w:r>
          </w:p>
        </w:tc>
        <w:tc>
          <w:tcPr>
            <w:tcW w:type="dxa" w:w="1152"/>
            <w:shd w:fill="FDF8F7"/>
            <w:tcMar>
              <w:top w:w="60" w:type="dxa"/>
              <w:bottom w:w="60" w:type="dxa"/>
              <w:left w:w="100" w:type="dxa"/>
              <w:right w:w="100" w:type="dxa"/>
            </w:tcMar>
          </w:tcPr>
          <w:p>
            <w:pPr>
              <w:spacing w:after="0"/>
            </w:pPr>
            <w:r>
              <w:rPr>
                <w:rFonts w:ascii="Arial" w:hAnsi="Arial"/>
                <w:color w:val="333333"/>
                <w:sz w:val="18"/>
              </w:rPr>
              <w:t>Mandatory</w:t>
            </w:r>
          </w:p>
        </w:tc>
      </w:tr>
      <w:tr>
        <w:tc>
          <w:tcPr>
            <w:tcW w:type="dxa" w:w="2160"/>
            <w:shd w:fill="FFFFFF"/>
            <w:tcMar>
              <w:top w:w="60" w:type="dxa"/>
              <w:bottom w:w="60" w:type="dxa"/>
              <w:left w:w="100" w:type="dxa"/>
              <w:right w:w="100" w:type="dxa"/>
            </w:tcMar>
          </w:tcPr>
          <w:p>
            <w:pPr>
              <w:spacing w:after="0"/>
            </w:pPr>
            <w:r>
              <w:rPr>
                <w:rFonts w:ascii="Arial" w:hAnsi="Arial"/>
                <w:color w:val="333333"/>
                <w:sz w:val="18"/>
              </w:rPr>
              <w:t>Manufacturing</w:t>
            </w:r>
          </w:p>
        </w:tc>
        <w:tc>
          <w:tcPr>
            <w:tcW w:type="dxa" w:w="4896"/>
            <w:shd w:fill="FFFFFF"/>
            <w:tcMar>
              <w:top w:w="60" w:type="dxa"/>
              <w:bottom w:w="60" w:type="dxa"/>
              <w:left w:w="100" w:type="dxa"/>
              <w:right w:w="100" w:type="dxa"/>
            </w:tcMar>
          </w:tcPr>
          <w:p>
            <w:pPr>
              <w:spacing w:after="0"/>
            </w:pPr>
            <w:r>
              <w:rPr>
                <w:rFonts w:ascii="Arial" w:hAnsi="Arial"/>
                <w:color w:val="333333"/>
                <w:sz w:val="18"/>
              </w:rPr>
              <w:t>Boneless Beef, Minced Beef, Topside, Silver Side, Stewing Pack, Shin</w:t>
            </w:r>
          </w:p>
        </w:tc>
        <w:tc>
          <w:tcPr>
            <w:tcW w:type="dxa" w:w="1152"/>
            <w:shd w:fill="FFFFFF"/>
            <w:tcMar>
              <w:top w:w="60" w:type="dxa"/>
              <w:bottom w:w="60" w:type="dxa"/>
              <w:left w:w="100" w:type="dxa"/>
              <w:right w:w="100" w:type="dxa"/>
            </w:tcMar>
          </w:tcPr>
          <w:p>
            <w:pPr>
              <w:spacing w:after="0"/>
            </w:pPr>
            <w:r>
              <w:rPr>
                <w:rFonts w:ascii="Arial" w:hAnsi="Arial"/>
                <w:color w:val="333333"/>
                <w:sz w:val="18"/>
              </w:rPr>
              <w:t>Kg</w:t>
            </w:r>
          </w:p>
        </w:tc>
        <w:tc>
          <w:tcPr>
            <w:tcW w:type="dxa" w:w="1152"/>
            <w:shd w:fill="FFFFFF"/>
            <w:tcMar>
              <w:top w:w="60" w:type="dxa"/>
              <w:bottom w:w="60" w:type="dxa"/>
              <w:left w:w="100" w:type="dxa"/>
              <w:right w:w="100" w:type="dxa"/>
            </w:tcMar>
          </w:tcPr>
          <w:p>
            <w:pPr>
              <w:spacing w:after="0"/>
            </w:pPr>
            <w:r>
              <w:rPr>
                <w:rFonts w:ascii="Arial" w:hAnsi="Arial"/>
                <w:color w:val="333333"/>
                <w:sz w:val="18"/>
              </w:rPr>
              <w:t>Mandatory</w:t>
            </w:r>
          </w:p>
        </w:tc>
      </w:tr>
      <w:tr>
        <w:tc>
          <w:tcPr>
            <w:tcW w:type="dxa" w:w="2160"/>
            <w:shd w:fill="FDF8F7"/>
            <w:tcMar>
              <w:top w:w="60" w:type="dxa"/>
              <w:bottom w:w="60" w:type="dxa"/>
              <w:left w:w="100" w:type="dxa"/>
              <w:right w:w="100" w:type="dxa"/>
            </w:tcMar>
          </w:tcPr>
          <w:p>
            <w:pPr>
              <w:spacing w:after="0"/>
            </w:pPr>
            <w:r>
              <w:rPr>
                <w:rFonts w:ascii="Arial" w:hAnsi="Arial"/>
                <w:color w:val="333333"/>
                <w:sz w:val="18"/>
              </w:rPr>
              <w:t>Direct Offals</w:t>
            </w:r>
          </w:p>
        </w:tc>
        <w:tc>
          <w:tcPr>
            <w:tcW w:type="dxa" w:w="4896"/>
            <w:shd w:fill="FDF8F7"/>
            <w:tcMar>
              <w:top w:w="60" w:type="dxa"/>
              <w:bottom w:w="60" w:type="dxa"/>
              <w:left w:w="100" w:type="dxa"/>
              <w:right w:w="100" w:type="dxa"/>
            </w:tcMar>
          </w:tcPr>
          <w:p>
            <w:pPr>
              <w:spacing w:after="0"/>
            </w:pPr>
            <w:r>
              <w:rPr>
                <w:rFonts w:ascii="Arial" w:hAnsi="Arial"/>
                <w:color w:val="333333"/>
                <w:sz w:val="18"/>
              </w:rPr>
              <w:t>Ponmo, Cow Legs, Liver, Shaki (Tripe), Oxtail, Head, Tongue, Intestine</w:t>
            </w:r>
          </w:p>
        </w:tc>
        <w:tc>
          <w:tcPr>
            <w:tcW w:type="dxa" w:w="1152"/>
            <w:shd w:fill="FDF8F7"/>
            <w:tcMar>
              <w:top w:w="60" w:type="dxa"/>
              <w:bottom w:w="60" w:type="dxa"/>
              <w:left w:w="100" w:type="dxa"/>
              <w:right w:w="100" w:type="dxa"/>
            </w:tcMar>
          </w:tcPr>
          <w:p>
            <w:pPr>
              <w:spacing w:after="0"/>
            </w:pPr>
            <w:r>
              <w:rPr>
                <w:rFonts w:ascii="Arial" w:hAnsi="Arial"/>
                <w:color w:val="333333"/>
                <w:sz w:val="18"/>
              </w:rPr>
              <w:t>Kg</w:t>
            </w:r>
          </w:p>
        </w:tc>
        <w:tc>
          <w:tcPr>
            <w:tcW w:type="dxa" w:w="1152"/>
            <w:shd w:fill="FDF8F7"/>
            <w:tcMar>
              <w:top w:w="60" w:type="dxa"/>
              <w:bottom w:w="60" w:type="dxa"/>
              <w:left w:w="100" w:type="dxa"/>
              <w:right w:w="100" w:type="dxa"/>
            </w:tcMar>
          </w:tcPr>
          <w:p>
            <w:pPr>
              <w:spacing w:after="0"/>
            </w:pPr>
            <w:r>
              <w:rPr>
                <w:rFonts w:ascii="Arial" w:hAnsi="Arial"/>
                <w:color w:val="333333"/>
                <w:sz w:val="18"/>
              </w:rPr>
              <w:t>Mandatory</w:t>
            </w:r>
          </w:p>
        </w:tc>
      </w:tr>
      <w:tr>
        <w:tc>
          <w:tcPr>
            <w:tcW w:type="dxa" w:w="2160"/>
            <w:shd w:fill="FFFFFF"/>
            <w:tcMar>
              <w:top w:w="60" w:type="dxa"/>
              <w:bottom w:w="60" w:type="dxa"/>
              <w:left w:w="100" w:type="dxa"/>
              <w:right w:w="100" w:type="dxa"/>
            </w:tcMar>
          </w:tcPr>
          <w:p>
            <w:pPr>
              <w:spacing w:after="0"/>
            </w:pPr>
            <w:r>
              <w:rPr>
                <w:rFonts w:ascii="Arial" w:hAnsi="Arial"/>
                <w:color w:val="333333"/>
                <w:sz w:val="18"/>
              </w:rPr>
              <w:t>Residuals</w:t>
            </w:r>
          </w:p>
        </w:tc>
        <w:tc>
          <w:tcPr>
            <w:tcW w:type="dxa" w:w="4896"/>
            <w:shd w:fill="FFFFFF"/>
            <w:tcMar>
              <w:top w:w="60" w:type="dxa"/>
              <w:bottom w:w="60" w:type="dxa"/>
              <w:left w:w="100" w:type="dxa"/>
              <w:right w:w="100" w:type="dxa"/>
            </w:tcMar>
          </w:tcPr>
          <w:p>
            <w:pPr>
              <w:spacing w:after="0"/>
            </w:pPr>
            <w:r>
              <w:rPr>
                <w:rFonts w:ascii="Arial" w:hAnsi="Arial"/>
                <w:color w:val="333333"/>
                <w:sz w:val="18"/>
              </w:rPr>
              <w:t>Beef Tendon, Beef Bone, Beef Trash</w:t>
            </w:r>
          </w:p>
        </w:tc>
        <w:tc>
          <w:tcPr>
            <w:tcW w:type="dxa" w:w="1152"/>
            <w:shd w:fill="FFFFFF"/>
            <w:tcMar>
              <w:top w:w="60" w:type="dxa"/>
              <w:bottom w:w="60" w:type="dxa"/>
              <w:left w:w="100" w:type="dxa"/>
              <w:right w:w="100" w:type="dxa"/>
            </w:tcMar>
          </w:tcPr>
          <w:p>
            <w:pPr>
              <w:spacing w:after="0"/>
            </w:pPr>
            <w:r>
              <w:rPr>
                <w:rFonts w:ascii="Arial" w:hAnsi="Arial"/>
                <w:color w:val="333333"/>
                <w:sz w:val="18"/>
              </w:rPr>
              <w:t>Kg</w:t>
            </w:r>
          </w:p>
        </w:tc>
        <w:tc>
          <w:tcPr>
            <w:tcW w:type="dxa" w:w="1152"/>
            <w:shd w:fill="FFFFFF"/>
            <w:tcMar>
              <w:top w:w="60" w:type="dxa"/>
              <w:bottom w:w="60" w:type="dxa"/>
              <w:left w:w="100" w:type="dxa"/>
              <w:right w:w="100" w:type="dxa"/>
            </w:tcMar>
          </w:tcPr>
          <w:p>
            <w:pPr>
              <w:spacing w:after="0"/>
            </w:pPr>
            <w:r>
              <w:rPr>
                <w:rFonts w:ascii="Arial" w:hAnsi="Arial"/>
                <w:color w:val="333333"/>
                <w:sz w:val="18"/>
              </w:rPr>
              <w:t>Mandatory</w:t>
            </w:r>
          </w:p>
        </w:tc>
      </w:tr>
      <w:tr>
        <w:tc>
          <w:tcPr>
            <w:tcW w:type="dxa" w:w="2160"/>
            <w:shd w:fill="FDF8F7"/>
            <w:tcMar>
              <w:top w:w="60" w:type="dxa"/>
              <w:bottom w:w="60" w:type="dxa"/>
              <w:left w:w="100" w:type="dxa"/>
              <w:right w:w="100" w:type="dxa"/>
            </w:tcMar>
          </w:tcPr>
          <w:p>
            <w:pPr>
              <w:spacing w:after="0"/>
            </w:pPr>
            <w:r>
              <w:rPr>
                <w:rFonts w:ascii="Arial" w:hAnsi="Arial"/>
                <w:color w:val="333333"/>
                <w:sz w:val="18"/>
              </w:rPr>
              <w:t>Retail Packs &amp; Consumables</w:t>
            </w:r>
          </w:p>
        </w:tc>
        <w:tc>
          <w:tcPr>
            <w:tcW w:type="dxa" w:w="4896"/>
            <w:shd w:fill="FDF8F7"/>
            <w:tcMar>
              <w:top w:w="60" w:type="dxa"/>
              <w:bottom w:w="60" w:type="dxa"/>
              <w:left w:w="100" w:type="dxa"/>
              <w:right w:w="100" w:type="dxa"/>
            </w:tcMar>
          </w:tcPr>
          <w:p>
            <w:pPr>
              <w:spacing w:after="0"/>
            </w:pPr>
            <w:r>
              <w:rPr>
                <w:rFonts w:ascii="Arial" w:hAnsi="Arial"/>
                <w:color w:val="333333"/>
                <w:sz w:val="18"/>
              </w:rPr>
              <w:t>Shaki 1kg Pack, Ribeye Portioned Pack, Vacuum Pouch, Packaging Trays</w:t>
            </w:r>
          </w:p>
        </w:tc>
        <w:tc>
          <w:tcPr>
            <w:tcW w:type="dxa" w:w="1152"/>
            <w:shd w:fill="FDF8F7"/>
            <w:tcMar>
              <w:top w:w="60" w:type="dxa"/>
              <w:bottom w:w="60" w:type="dxa"/>
              <w:left w:w="100" w:type="dxa"/>
              <w:right w:w="100" w:type="dxa"/>
            </w:tcMar>
          </w:tcPr>
          <w:p>
            <w:pPr>
              <w:spacing w:after="0"/>
            </w:pPr>
            <w:r>
              <w:rPr>
                <w:rFonts w:ascii="Arial" w:hAnsi="Arial"/>
                <w:color w:val="333333"/>
                <w:sz w:val="18"/>
              </w:rPr>
              <w:t>Nos</w:t>
            </w:r>
          </w:p>
        </w:tc>
        <w:tc>
          <w:tcPr>
            <w:tcW w:type="dxa" w:w="1152"/>
            <w:shd w:fill="FDF8F7"/>
            <w:tcMar>
              <w:top w:w="60" w:type="dxa"/>
              <w:bottom w:w="60" w:type="dxa"/>
              <w:left w:w="100" w:type="dxa"/>
              <w:right w:w="100" w:type="dxa"/>
            </w:tcMar>
          </w:tcPr>
          <w:p>
            <w:pPr>
              <w:spacing w:after="0"/>
            </w:pPr>
            <w:r>
              <w:rPr>
                <w:rFonts w:ascii="Arial" w:hAnsi="Arial"/>
                <w:color w:val="333333"/>
                <w:sz w:val="18"/>
              </w:rPr>
              <w:t>Mandatory</w:t>
            </w:r>
          </w:p>
        </w:tc>
      </w:tr>
    </w:tbl>
    <w:p>
      <w:pPr>
        <w:spacing w:after="160"/>
      </w:pPr>
    </w:p>
    <w:p>
      <w:pPr>
        <w:keepNext/>
        <w:spacing w:before="260" w:after="80"/>
      </w:pPr>
      <w:r>
        <w:rPr>
          <w:rFonts w:ascii="Arial" w:hAnsi="Arial"/>
          <w:b/>
          <w:color w:val="1B365D"/>
          <w:sz w:val="24"/>
        </w:rPr>
        <w:t>2.3 Meat Breakdown Templates</w:t>
      </w:r>
    </w:p>
    <w:p>
      <w:pPr>
        <w:spacing w:after="120" w:line="276" w:lineRule="auto"/>
      </w:pPr>
      <w:r>
        <w:rPr>
          <w:rFonts w:ascii="Arial" w:hAnsi="Arial"/>
          <w:color w:val="333333"/>
          <w:sz w:val="20"/>
        </w:rPr>
        <w:t>Breakdown Templates standardize animal deboning rosters, expected yield percentages (typically totaling 96–98%), and benchmark market selling prices used by the Net Realizable Value (NRV) cost allocator.</w:t>
      </w:r>
    </w:p>
    <w:p>
      <w:pPr>
        <w:keepNext/>
        <w:spacing w:before="360" w:after="120"/>
      </w:pPr>
      <w:r>
        <w:rPr>
          <w:rFonts w:ascii="Arial" w:hAnsi="Arial"/>
          <w:b/>
          <w:color w:val="7B1113"/>
          <w:sz w:val="30"/>
        </w:rPr>
        <w:t>3. Module 1: Inbound Receiving Reconciliation</w:t>
      </w:r>
    </w:p>
    <w:p>
      <w:pPr>
        <w:keepNext/>
        <w:spacing w:before="260" w:after="80"/>
      </w:pPr>
      <w:r>
        <w:rPr>
          <w:rFonts w:ascii="Arial" w:hAnsi="Arial"/>
          <w:b/>
          <w:color w:val="1B365D"/>
          <w:sz w:val="24"/>
        </w:rPr>
        <w:t>3.1 Operational Principle &amp; The Weighing Scale Dilemma</w:t>
      </w:r>
    </w:p>
    <w:p>
      <w:pPr>
        <w:spacing w:after="120" w:line="276" w:lineRule="auto"/>
      </w:pPr>
      <w:r>
        <w:rPr>
          <w:rFonts w:ascii="Arial" w:hAnsi="Arial"/>
          <w:color w:val="333333"/>
          <w:sz w:val="20"/>
        </w:rPr>
        <w:t>Slaughterhouses issue invoices based on slaughterhouse dock or live scale readings (e.g., 5 cows = 800kg @ ₦3,000/kg = ₦2,400,000). By the time the refrigerated truck arrives at the retail outlet cold room, fluid drainage, transit blood loss, and cooling evaporation reduce actual weight to 790kg. Entering 800kg into stock creates phantom inventory; entering 790kg without accounting reconciliation creates vendor ledger disputes.</w:t>
      </w:r>
    </w:p>
    <w:p>
      <w:pPr>
        <w:keepNext/>
        <w:spacing w:before="260" w:after="80"/>
      </w:pPr>
      <w:r>
        <w:rPr>
          <w:rFonts w:ascii="Arial" w:hAnsi="Arial"/>
          <w:b/>
          <w:color w:val="1B365D"/>
          <w:sz w:val="24"/>
        </w:rPr>
        <w:t>3.2 The Three Financial Shortage Treatments</w:t>
      </w:r>
    </w:p>
    <w:p>
      <w:pPr>
        <w:spacing w:after="120" w:line="276" w:lineRule="auto"/>
      </w:pPr>
      <w:r>
        <w:rPr>
          <w:rFonts w:ascii="Arial" w:hAnsi="Arial"/>
          <w:color w:val="333333"/>
          <w:sz w:val="20"/>
        </w:rPr>
        <w:t>The Butchery Receiving Voucher supports three distinct accounting treatments depending on commercial agreements with your livestock supplier:</w:t>
      </w:r>
    </w:p>
    <w:p>
      <w:pPr>
        <w:pStyle w:val="ListBullet"/>
        <w:spacing w:after="60" w:line="276" w:lineRule="auto"/>
      </w:pPr>
      <w:r>
        <w:rPr>
          <w:rFonts w:ascii="Arial" w:hAnsi="Arial"/>
          <w:b/>
          <w:color w:val="7B1113"/>
          <w:sz w:val="20"/>
        </w:rPr>
        <w:t xml:space="preserve">Treatment 1: Absorb in Valuation (Capitalize Loss) — [Recommended]: </w:t>
      </w:r>
      <w:r>
        <w:rPr>
          <w:rFonts w:ascii="Arial" w:hAnsi="Arial"/>
          <w:color w:val="333333"/>
          <w:sz w:val="20"/>
        </w:rPr>
        <w:t>The full supplier invoiced amount (₦2,400,000) is divided by the actual dock weight received (790kg). This increases the effective valuation rate from ₦3,000.00 to ₦3,037.97/kg. The 10kg transit loss is capitalized directly into the inventory valuation of the meat, preserving gross profit accuracy upon sale.</w:t>
      </w:r>
    </w:p>
    <w:p>
      <w:pPr>
        <w:pStyle w:val="ListBullet"/>
        <w:spacing w:after="60" w:line="276" w:lineRule="auto"/>
      </w:pPr>
      <w:r>
        <w:rPr>
          <w:rFonts w:ascii="Arial" w:hAnsi="Arial"/>
          <w:b/>
          <w:color w:val="7B1113"/>
          <w:sz w:val="20"/>
        </w:rPr>
        <w:t xml:space="preserve">Treatment 2: Book as Expense (Loss Account): </w:t>
      </w:r>
      <w:r>
        <w:rPr>
          <w:rFonts w:ascii="Arial" w:hAnsi="Arial"/>
          <w:color w:val="333333"/>
          <w:sz w:val="20"/>
        </w:rPr>
        <w:t>Inventory is receipted at the contract rate (790kg @ ₦3,000 = ₦2,370,000). The 10kg shortage (₦30,000) is debited directly to the General Ledger account 'Cost of Goods Sold - Meat Variance' as an operating transport shrinkage expense.</w:t>
      </w:r>
    </w:p>
    <w:p>
      <w:pPr>
        <w:pStyle w:val="ListBullet"/>
        <w:spacing w:after="60" w:line="276" w:lineRule="auto"/>
      </w:pPr>
      <w:r>
        <w:rPr>
          <w:rFonts w:ascii="Arial" w:hAnsi="Arial"/>
          <w:b/>
          <w:color w:val="7B1113"/>
          <w:sz w:val="20"/>
        </w:rPr>
        <w:t xml:space="preserve">Treatment 3: Deduct from Supplier (Shortage Debit): </w:t>
      </w:r>
      <w:r>
        <w:rPr>
          <w:rFonts w:ascii="Arial" w:hAnsi="Arial"/>
          <w:color w:val="333333"/>
          <w:sz w:val="20"/>
        </w:rPr>
        <w:t>Inventory is receipted at contract rate (790kg @ ₦3,000 = ₦2,370,000). The system flags the 10kg shortage (₦30,000) for a Purchase Debit Note, reducing the payable liability owed to the livestock supplier.</w:t>
      </w:r>
    </w:p>
    <w:tbl>
      <w:tblPr>
        <w:tblW w:type="auto" w:w="0"/>
        <w:jc w:val="center"/>
        <w:tblLook w:firstColumn="1" w:firstRow="1" w:lastColumn="0" w:lastRow="0" w:noHBand="0" w:noVBand="1" w:val="04A0"/>
      </w:tblPr>
      <w:tblGrid>
        <w:gridCol w:w="9360"/>
      </w:tblGrid>
      <w:tr>
        <w:tc>
          <w:tcPr>
            <w:tcW w:type="dxa" w:w="9360"/>
            <w:shd w:fill="F9F9FB"/>
            <w:tcMar>
              <w:top w:w="120" w:type="dxa"/>
              <w:bottom w:w="120" w:type="dxa"/>
              <w:left w:w="180" w:type="dxa"/>
              <w:right w:w="180" w:type="dxa"/>
            </w:tcMar>
            <w:tcBorders>
              <w:left w:val="single" w:sz="24" w:space="0" w:color="7B1113"/>
              <w:top w:val="none"/>
              <w:right w:val="none"/>
              <w:bottom w:val="none"/>
            </w:tcBorders>
          </w:tcPr>
          <w:p>
            <w:pPr>
              <w:spacing w:before="40" w:after="40" w:line="276" w:lineRule="auto"/>
            </w:pPr>
            <w:r>
              <w:rPr>
                <w:rFonts w:ascii="Arial" w:hAnsi="Arial"/>
                <w:b/>
                <w:color w:val="7B1113"/>
                <w:sz w:val="19"/>
              </w:rPr>
              <w:t xml:space="preserve">[VALUATION CAPITALIZATION FORMULA] </w:t>
            </w:r>
            <w:r>
              <w:rPr>
                <w:rFonts w:ascii="Arial" w:hAnsi="Arial"/>
                <w:color w:val="333333"/>
                <w:sz w:val="19"/>
              </w:rPr>
              <w:t>Formula for Capitalized Valuation Rate:</w:t>
              <w:br/>
              <w:t>Effective Valuation Rate = (Invoiced Weight × Invoiced Rate per kg) / Actual Received Weight</w:t>
              <w:br/>
              <w:t>Example: (800kg × ₦3,000) / 790kg = ₦3,037.97 per kg.</w:t>
            </w:r>
          </w:p>
        </w:tc>
      </w:tr>
    </w:tbl>
    <w:p>
      <w:pPr>
        <w:spacing w:after="80"/>
      </w:pPr>
    </w:p>
    <w:p>
      <w:pPr>
        <w:keepNext/>
        <w:spacing w:before="260" w:after="80"/>
      </w:pPr>
      <w:r>
        <w:rPr>
          <w:rFonts w:ascii="Arial" w:hAnsi="Arial"/>
          <w:b/>
          <w:color w:val="1B365D"/>
          <w:sz w:val="24"/>
        </w:rPr>
        <w:t>3.3 Operating Procedure</w:t>
      </w:r>
    </w:p>
    <w:p>
      <w:pPr>
        <w:pStyle w:val="ListBullet"/>
        <w:spacing w:after="60" w:line="276" w:lineRule="auto"/>
      </w:pPr>
      <w:r>
        <w:rPr>
          <w:rFonts w:ascii="Arial" w:hAnsi="Arial"/>
          <w:b/>
          <w:color w:val="7B1113"/>
          <w:sz w:val="20"/>
        </w:rPr>
        <w:t xml:space="preserve">Step 1: </w:t>
      </w:r>
      <w:r>
        <w:rPr>
          <w:rFonts w:ascii="Arial" w:hAnsi="Arial"/>
          <w:color w:val="333333"/>
          <w:sz w:val="20"/>
        </w:rPr>
        <w:t>Navigate to Butchery &gt; Butchery Operations &gt; Butchery Receiving Voucher &gt; Add Butchery Receiving Voucher.</w:t>
      </w:r>
    </w:p>
    <w:p>
      <w:pPr>
        <w:pStyle w:val="ListBullet"/>
        <w:spacing w:after="60" w:line="276" w:lineRule="auto"/>
      </w:pPr>
      <w:r>
        <w:rPr>
          <w:rFonts w:ascii="Arial" w:hAnsi="Arial"/>
          <w:b/>
          <w:color w:val="7B1113"/>
          <w:sz w:val="20"/>
        </w:rPr>
        <w:t xml:space="preserve">Step 2: </w:t>
      </w:r>
      <w:r>
        <w:rPr>
          <w:rFonts w:ascii="Arial" w:hAnsi="Arial"/>
          <w:color w:val="333333"/>
          <w:sz w:val="20"/>
        </w:rPr>
        <w:t>Select Company, Supplier (e.g., Ikorodu Abattoir), Supplier Invoice Number, Receiving Outlet Warehouse, and vehicle/dispatcher details.</w:t>
      </w:r>
    </w:p>
    <w:p>
      <w:pPr>
        <w:pStyle w:val="ListBullet"/>
        <w:spacing w:after="60" w:line="276" w:lineRule="auto"/>
      </w:pPr>
      <w:r>
        <w:rPr>
          <w:rFonts w:ascii="Arial" w:hAnsi="Arial"/>
          <w:b/>
          <w:color w:val="7B1113"/>
          <w:sz w:val="20"/>
        </w:rPr>
        <w:t xml:space="preserve">Step 3: </w:t>
      </w:r>
      <w:r>
        <w:rPr>
          <w:rFonts w:ascii="Arial" w:hAnsi="Arial"/>
          <w:color w:val="333333"/>
          <w:sz w:val="20"/>
        </w:rPr>
        <w:t>Select Carcass Item, input Number of Carcasses, Inbound Batch No, Invoiced Weight (800kg), Invoiced Rate (₦3,000), and Actual Received Weight (790kg).</w:t>
      </w:r>
    </w:p>
    <w:p>
      <w:pPr>
        <w:pStyle w:val="ListBullet"/>
        <w:spacing w:after="60" w:line="276" w:lineRule="auto"/>
      </w:pPr>
      <w:r>
        <w:rPr>
          <w:rFonts w:ascii="Arial" w:hAnsi="Arial"/>
          <w:b/>
          <w:color w:val="7B1113"/>
          <w:sz w:val="20"/>
        </w:rPr>
        <w:t xml:space="preserve">Step 4: </w:t>
      </w:r>
      <w:r>
        <w:rPr>
          <w:rFonts w:ascii="Arial" w:hAnsi="Arial"/>
          <w:color w:val="333333"/>
          <w:sz w:val="20"/>
        </w:rPr>
        <w:t>Select the Shortage Treatment. The system computes weight variance (10kg), variance percentage (1.25%), and effective rate.</w:t>
      </w:r>
    </w:p>
    <w:p>
      <w:pPr>
        <w:pStyle w:val="ListBullet"/>
        <w:spacing w:after="60" w:line="276" w:lineRule="auto"/>
      </w:pPr>
      <w:r>
        <w:rPr>
          <w:rFonts w:ascii="Arial" w:hAnsi="Arial"/>
          <w:b/>
          <w:color w:val="7B1113"/>
          <w:sz w:val="20"/>
        </w:rPr>
        <w:t xml:space="preserve">Step 5: </w:t>
      </w:r>
      <w:r>
        <w:rPr>
          <w:rFonts w:ascii="Arial" w:hAnsi="Arial"/>
          <w:color w:val="333333"/>
          <w:sz w:val="20"/>
        </w:rPr>
        <w:t>Click Save and Submit. The system generates and submits a native ERPNext Material Receipt Stock Entry for 790kg.</w:t>
      </w:r>
    </w:p>
    <w:p>
      <w:pPr>
        <w:keepNext/>
        <w:spacing w:before="360" w:after="120"/>
      </w:pPr>
      <w:r>
        <w:rPr>
          <w:rFonts w:ascii="Arial" w:hAnsi="Arial"/>
          <w:b/>
          <w:color w:val="7B1113"/>
          <w:sz w:val="30"/>
        </w:rPr>
        <w:t>4. Module 2: Carcass Breakdown / Deboning (NRV Allocation)</w:t>
      </w:r>
    </w:p>
    <w:p>
      <w:pPr>
        <w:keepNext/>
        <w:spacing w:before="260" w:after="80"/>
      </w:pPr>
      <w:r>
        <w:rPr>
          <w:rFonts w:ascii="Arial" w:hAnsi="Arial"/>
          <w:b/>
          <w:color w:val="1B365D"/>
          <w:sz w:val="24"/>
        </w:rPr>
        <w:t>4.1 The Joint Costing Problem in Disassembly</w:t>
      </w:r>
    </w:p>
    <w:p>
      <w:pPr>
        <w:spacing w:after="120" w:line="276" w:lineRule="auto"/>
      </w:pPr>
      <w:r>
        <w:rPr>
          <w:rFonts w:ascii="Arial" w:hAnsi="Arial"/>
          <w:color w:val="333333"/>
          <w:sz w:val="20"/>
        </w:rPr>
        <w:t>When an animal carcass costing ₦2,400,000 is deboned, simple average costing would assign every cut the exact same cost per kilogram (₦3,100/kg). This results in massive distortions: Beef Fillet (selling for ₦15,000/kg) would show artificial 80% margins, while Beef Bones (selling for ₦600/kg) would show catastrophic 80% losses. Net Realizable Value (NRV) allocates carcass costs proportionally based on the relative revenue generation potential of each cut.</w:t>
      </w:r>
    </w:p>
    <w:p>
      <w:pPr>
        <w:keepNext/>
        <w:spacing w:before="260" w:after="80"/>
      </w:pPr>
      <w:r>
        <w:rPr>
          <w:rFonts w:ascii="Arial" w:hAnsi="Arial"/>
          <w:b/>
          <w:color w:val="1B365D"/>
          <w:sz w:val="24"/>
        </w:rPr>
        <w:t>4.2 Mathematical Model for NRV Allocation</w:t>
      </w:r>
    </w:p>
    <w:p>
      <w:pPr>
        <w:spacing w:after="120" w:line="276" w:lineRule="auto"/>
      </w:pPr>
      <w:r>
        <w:rPr>
          <w:rFonts w:ascii="Arial" w:hAnsi="Arial"/>
          <w:color w:val="333333"/>
          <w:sz w:val="20"/>
        </w:rPr>
        <w:t>For each sellable cut (i) produced from a carcass with total acquisition cost (C_total):</w:t>
        <w:br/>
        <w:t>1. Cut Sales Value (V_i) = Actual Cut Weight (W_i) × Standard Selling Price (P_i)</w:t>
        <w:br/>
        <w:t>2. Total Outturn Potential Revenue (V_total) = Sum of all (V_i)</w:t>
        <w:br/>
        <w:t>3. Sales Value Ratio (R_i) = V_i / V_total</w:t>
        <w:br/>
        <w:t>4. Allocated Production Cost (C_i) = C_total × R_i</w:t>
        <w:br/>
        <w:t>5. Unit Cost per Kilogram = C_i / W_i</w:t>
        <w:br/>
        <w:br/>
        <w:t>Crucially: The sum of all Allocated Costs (Sum C_i) perfectly equals the input Carcass Cost (C_total), ensuring zero financial leakage across your ledger.</w:t>
      </w:r>
    </w:p>
    <w:p>
      <w:pPr>
        <w:keepNext/>
        <w:spacing w:before="260" w:after="80"/>
      </w:pPr>
      <w:r>
        <w:rPr>
          <w:rFonts w:ascii="Arial" w:hAnsi="Arial"/>
          <w:b/>
          <w:color w:val="1B365D"/>
          <w:sz w:val="24"/>
        </w:rPr>
        <w:t>4.3 Deboning Mass Balance &amp; Safety Checks</w:t>
      </w:r>
    </w:p>
    <w:p>
      <w:pPr>
        <w:spacing w:after="120" w:line="276" w:lineRule="auto"/>
      </w:pPr>
      <w:r>
        <w:rPr>
          <w:rFonts w:ascii="Arial" w:hAnsi="Arial"/>
          <w:color w:val="333333"/>
          <w:sz w:val="20"/>
        </w:rPr>
        <w:t>The system enforces two critical mass balance controls during deboning:</w:t>
      </w:r>
    </w:p>
    <w:p>
      <w:pPr>
        <w:pStyle w:val="ListBullet"/>
        <w:spacing w:after="60" w:line="276" w:lineRule="auto"/>
      </w:pPr>
      <w:r>
        <w:rPr>
          <w:rFonts w:ascii="Arial" w:hAnsi="Arial"/>
          <w:b/>
          <w:color w:val="7B1113"/>
          <w:sz w:val="20"/>
        </w:rPr>
        <w:t xml:space="preserve">Mass Balance Barrier: </w:t>
      </w:r>
      <w:r>
        <w:rPr>
          <w:rFonts w:ascii="Arial" w:hAnsi="Arial"/>
          <w:color w:val="333333"/>
          <w:sz w:val="20"/>
        </w:rPr>
        <w:t>Total Outturn Cuts Weight cannot exceed Input Carcass Weight by more than 5%. Any higher variance triggers a ValidationError blocking submission to prevent scale taring errors from inflating stock.</w:t>
      </w:r>
    </w:p>
    <w:p>
      <w:pPr>
        <w:pStyle w:val="ListBullet"/>
        <w:spacing w:after="60" w:line="276" w:lineRule="auto"/>
      </w:pPr>
      <w:r>
        <w:rPr>
          <w:rFonts w:ascii="Arial" w:hAnsi="Arial"/>
          <w:b/>
          <w:color w:val="7B1113"/>
          <w:sz w:val="20"/>
        </w:rPr>
        <w:t xml:space="preserve">Shrinkage Monitoring: </w:t>
      </w:r>
      <w:r>
        <w:rPr>
          <w:rFonts w:ascii="Arial" w:hAnsi="Arial"/>
          <w:color w:val="333333"/>
          <w:sz w:val="20"/>
        </w:rPr>
        <w:t>Evaporative Cutting Loss (Input Weight minus Outturn Weight) is checked against the allowable threshold (default 3.5%). Discrepancies generate visual warning alerts for production managers.</w:t>
      </w:r>
    </w:p>
    <w:p>
      <w:pPr>
        <w:keepNext/>
        <w:spacing w:before="260" w:after="80"/>
      </w:pPr>
      <w:r>
        <w:rPr>
          <w:rFonts w:ascii="Arial" w:hAnsi="Arial"/>
          <w:b/>
          <w:color w:val="1B365D"/>
          <w:sz w:val="24"/>
        </w:rPr>
        <w:t>4.4 Collision-Free Child Batch Generation</w:t>
      </w:r>
    </w:p>
    <w:p>
      <w:pPr>
        <w:spacing w:after="120" w:line="276" w:lineRule="auto"/>
      </w:pPr>
      <w:r>
        <w:rPr>
          <w:rFonts w:ascii="Arial" w:hAnsi="Arial"/>
          <w:color w:val="333333"/>
          <w:sz w:val="20"/>
        </w:rPr>
        <w:t>The system automatically assigns each cut a structured, unique child batch number derived from the parent batch:</w:t>
        <w:br/>
        <w:t>• Fillet: BEFIL-COW-2026-001</w:t>
        <w:br/>
        <w:t>• Ribeye: RIBEY-COW-2026-001</w:t>
        <w:br/>
        <w:t>• Minced: MINCE-COW-2026-001</w:t>
        <w:br/>
        <w:t>• Shaki: SHTRI-COW-2026-001</w:t>
        <w:br/>
        <w:t>Collision avoidance algorithms ensure items with similar prefixes (e.g. Cow Head vs Cow Heart) receive distinct batch identifiers.</w:t>
      </w:r>
    </w:p>
    <w:p>
      <w:pPr>
        <w:keepNext/>
        <w:spacing w:before="260" w:after="80"/>
      </w:pPr>
      <w:r>
        <w:rPr>
          <w:rFonts w:ascii="Arial" w:hAnsi="Arial"/>
          <w:b/>
          <w:color w:val="1B365D"/>
          <w:sz w:val="24"/>
        </w:rPr>
        <w:t>4.5 Operating Procedure</w:t>
      </w:r>
    </w:p>
    <w:p>
      <w:pPr>
        <w:pStyle w:val="ListBullet"/>
        <w:spacing w:after="60" w:line="276" w:lineRule="auto"/>
      </w:pPr>
      <w:r>
        <w:rPr>
          <w:rFonts w:ascii="Arial" w:hAnsi="Arial"/>
          <w:b/>
          <w:color w:val="7B1113"/>
          <w:sz w:val="20"/>
        </w:rPr>
        <w:t xml:space="preserve">Step 1: </w:t>
      </w:r>
      <w:r>
        <w:rPr>
          <w:rFonts w:ascii="Arial" w:hAnsi="Arial"/>
          <w:color w:val="333333"/>
          <w:sz w:val="20"/>
        </w:rPr>
        <w:t>Navigate to Butchery &gt; Butchery Operations &gt; Meat Breakdown &gt; Add Meat Breakdown.</w:t>
      </w:r>
    </w:p>
    <w:p>
      <w:pPr>
        <w:pStyle w:val="ListBullet"/>
        <w:spacing w:after="60" w:line="276" w:lineRule="auto"/>
      </w:pPr>
      <w:r>
        <w:rPr>
          <w:rFonts w:ascii="Arial" w:hAnsi="Arial"/>
          <w:b/>
          <w:color w:val="7B1113"/>
          <w:sz w:val="20"/>
        </w:rPr>
        <w:t xml:space="preserve">Step 2: </w:t>
      </w:r>
      <w:r>
        <w:rPr>
          <w:rFonts w:ascii="Arial" w:hAnsi="Arial"/>
          <w:color w:val="333333"/>
          <w:sz w:val="20"/>
        </w:rPr>
        <w:t>Select Breakdown Template ('Standard Beef Cow Breakdown'), Carcass Item, Source Batch, Warehouse, and Carcass Input Weight.</w:t>
      </w:r>
    </w:p>
    <w:p>
      <w:pPr>
        <w:pStyle w:val="ListBullet"/>
        <w:spacing w:after="60" w:line="276" w:lineRule="auto"/>
      </w:pPr>
      <w:r>
        <w:rPr>
          <w:rFonts w:ascii="Arial" w:hAnsi="Arial"/>
          <w:b/>
          <w:color w:val="7B1113"/>
          <w:sz w:val="20"/>
        </w:rPr>
        <w:t xml:space="preserve">Step 3: </w:t>
      </w:r>
      <w:r>
        <w:rPr>
          <w:rFonts w:ascii="Arial" w:hAnsi="Arial"/>
          <w:color w:val="333333"/>
          <w:sz w:val="20"/>
        </w:rPr>
        <w:t>Click 'Fetch Cuts from Template' to load the standard 30 cuts and baseline selling prices.</w:t>
      </w:r>
    </w:p>
    <w:p>
      <w:pPr>
        <w:pStyle w:val="ListBullet"/>
        <w:spacing w:after="60" w:line="276" w:lineRule="auto"/>
      </w:pPr>
      <w:r>
        <w:rPr>
          <w:rFonts w:ascii="Arial" w:hAnsi="Arial"/>
          <w:b/>
          <w:color w:val="7B1113"/>
          <w:sz w:val="20"/>
        </w:rPr>
        <w:t xml:space="preserve">Step 4: </w:t>
      </w:r>
      <w:r>
        <w:rPr>
          <w:rFonts w:ascii="Arial" w:hAnsi="Arial"/>
          <w:color w:val="333333"/>
          <w:sz w:val="20"/>
        </w:rPr>
        <w:t>Enter actual measured scale weights for each cut produced on the deboning block.</w:t>
      </w:r>
    </w:p>
    <w:p>
      <w:pPr>
        <w:pStyle w:val="ListBullet"/>
        <w:spacing w:after="60" w:line="276" w:lineRule="auto"/>
      </w:pPr>
      <w:r>
        <w:rPr>
          <w:rFonts w:ascii="Arial" w:hAnsi="Arial"/>
          <w:b/>
          <w:color w:val="7B1113"/>
          <w:sz w:val="20"/>
        </w:rPr>
        <w:t xml:space="preserve">Step 5: </w:t>
      </w:r>
      <w:r>
        <w:rPr>
          <w:rFonts w:ascii="Arial" w:hAnsi="Arial"/>
          <w:color w:val="333333"/>
          <w:sz w:val="20"/>
        </w:rPr>
        <w:t>Click Save and Submit. The system validates mass balance, computes NRV allocations, generates child batches, and posts a native ERPNext Repack Stock Entry.</w:t>
      </w:r>
    </w:p>
    <w:p>
      <w:pPr>
        <w:keepNext/>
        <w:spacing w:before="360" w:after="120"/>
      </w:pPr>
      <w:r>
        <w:rPr>
          <w:rFonts w:ascii="Arial" w:hAnsi="Arial"/>
          <w:b/>
          <w:color w:val="7B1113"/>
          <w:sz w:val="30"/>
        </w:rPr>
        <w:t>5. Module 3: Internal Product Conversions</w:t>
      </w:r>
    </w:p>
    <w:p>
      <w:pPr>
        <w:spacing w:after="120" w:line="276" w:lineRule="auto"/>
      </w:pPr>
      <w:r>
        <w:rPr>
          <w:rFonts w:ascii="Arial" w:hAnsi="Arial"/>
          <w:color w:val="333333"/>
          <w:sz w:val="20"/>
        </w:rPr>
        <w:t>Daily retail demand often requires secondary transformations — e.g., converting 50kg of Boneless Beef into Minced Beef, or trimming whole Sirloin into Minute Steaks. Grinding and trimming inevitably produce residue loss.</w:t>
      </w:r>
    </w:p>
    <w:p>
      <w:pPr>
        <w:spacing w:after="120" w:line="276" w:lineRule="auto"/>
      </w:pPr>
      <w:r>
        <w:rPr>
          <w:rFonts w:ascii="Arial" w:hAnsi="Arial"/>
          <w:color w:val="333333"/>
          <w:sz w:val="20"/>
        </w:rPr>
        <w:t>The Meat Conversion document handles one-to-one secondary processing:</w:t>
      </w:r>
    </w:p>
    <w:p>
      <w:pPr>
        <w:pStyle w:val="ListBullet"/>
        <w:spacing w:after="60" w:line="276" w:lineRule="auto"/>
      </w:pPr>
      <w:r>
        <w:rPr>
          <w:rFonts w:ascii="Arial" w:hAnsi="Arial"/>
          <w:b/>
          <w:color w:val="7B1113"/>
          <w:sz w:val="20"/>
        </w:rPr>
        <w:t xml:space="preserve">Input Example: </w:t>
      </w:r>
      <w:r>
        <w:rPr>
          <w:rFonts w:ascii="Arial" w:hAnsi="Arial"/>
          <w:color w:val="333333"/>
          <w:sz w:val="20"/>
        </w:rPr>
        <w:t>50.0 kg Boneless Beef @ ₦4,392.55/kg = Total Input Cost: ₦219,627.50.</w:t>
      </w:r>
    </w:p>
    <w:p>
      <w:pPr>
        <w:pStyle w:val="ListBullet"/>
        <w:spacing w:after="60" w:line="276" w:lineRule="auto"/>
      </w:pPr>
      <w:r>
        <w:rPr>
          <w:rFonts w:ascii="Arial" w:hAnsi="Arial"/>
          <w:b/>
          <w:color w:val="7B1113"/>
          <w:sz w:val="20"/>
        </w:rPr>
        <w:t xml:space="preserve">Output Example: </w:t>
      </w:r>
      <w:r>
        <w:rPr>
          <w:rFonts w:ascii="Arial" w:hAnsi="Arial"/>
          <w:color w:val="333333"/>
          <w:sz w:val="20"/>
        </w:rPr>
        <w:t>49.0 kg Minced Beef (1.0 kg or 2.0% grinder loss).</w:t>
      </w:r>
    </w:p>
    <w:p>
      <w:pPr>
        <w:pStyle w:val="ListBullet"/>
        <w:spacing w:after="60" w:line="276" w:lineRule="auto"/>
      </w:pPr>
      <w:r>
        <w:rPr>
          <w:rFonts w:ascii="Arial" w:hAnsi="Arial"/>
          <w:b/>
          <w:color w:val="7B1113"/>
          <w:sz w:val="20"/>
        </w:rPr>
        <w:t xml:space="preserve">Valuation Recalibration: </w:t>
      </w:r>
      <w:r>
        <w:rPr>
          <w:rFonts w:ascii="Arial" w:hAnsi="Arial"/>
          <w:color w:val="333333"/>
          <w:sz w:val="20"/>
        </w:rPr>
        <w:t>The 49.0 kg output inherits the full ₦219,627.50 cost, recalibrating unit valuation to ₦4,482.19/kg.</w:t>
      </w:r>
    </w:p>
    <w:p>
      <w:pPr>
        <w:pStyle w:val="ListBullet"/>
        <w:spacing w:after="60" w:line="276" w:lineRule="auto"/>
      </w:pPr>
      <w:r>
        <w:rPr>
          <w:rFonts w:ascii="Arial" w:hAnsi="Arial"/>
          <w:b/>
          <w:color w:val="7B1113"/>
          <w:sz w:val="20"/>
        </w:rPr>
        <w:t xml:space="preserve">Ledger Update: </w:t>
      </w:r>
      <w:r>
        <w:rPr>
          <w:rFonts w:ascii="Arial" w:hAnsi="Arial"/>
          <w:color w:val="333333"/>
          <w:sz w:val="20"/>
        </w:rPr>
        <w:t>Generates a native ERPNext Repack Stock Entry with set_basic_rate_manually: 1.</w:t>
      </w:r>
    </w:p>
    <w:p>
      <w:pPr>
        <w:keepNext/>
        <w:spacing w:before="360" w:after="120"/>
      </w:pPr>
      <w:r>
        <w:rPr>
          <w:rFonts w:ascii="Arial" w:hAnsi="Arial"/>
          <w:b/>
          <w:color w:val="7B1113"/>
          <w:sz w:val="30"/>
        </w:rPr>
        <w:t>6. Module 4: Portioning, Packaging &amp; Retail Expiry</w:t>
      </w:r>
    </w:p>
    <w:p>
      <w:pPr>
        <w:spacing w:after="120" w:line="276" w:lineRule="auto"/>
      </w:pPr>
      <w:r>
        <w:rPr>
          <w:rFonts w:ascii="Arial" w:hAnsi="Arial"/>
          <w:color w:val="333333"/>
          <w:sz w:val="20"/>
        </w:rPr>
        <w:t>Portioning converts bulk meats (measured in kilograms) into consumer-ready retail packs (measured in units/Nos). It dynamically accounts for packaging consumables (pouches, trays, soak pads), calculates unit pack cost, computes expiry dates, and generates POS checkout barcodes.</w:t>
      </w:r>
    </w:p>
    <w:p>
      <w:pPr>
        <w:pStyle w:val="ListBullet"/>
        <w:spacing w:after="60" w:line="276" w:lineRule="auto"/>
      </w:pPr>
      <w:r>
        <w:rPr>
          <w:rFonts w:ascii="Arial" w:hAnsi="Arial"/>
          <w:b/>
          <w:color w:val="7B1113"/>
          <w:sz w:val="20"/>
        </w:rPr>
        <w:t xml:space="preserve">Bulk to Retail: </w:t>
      </w:r>
      <w:r>
        <w:rPr>
          <w:rFonts w:ascii="Arial" w:hAnsi="Arial"/>
          <w:color w:val="333333"/>
          <w:sz w:val="20"/>
        </w:rPr>
        <w:t>Select Bulk Item (e.g. Shaki 10kg @ ₦2,928.36/kg = ₦29,283.60) and Retail Item (Shaki 1kg Pack, 10 packs).</w:t>
      </w:r>
    </w:p>
    <w:p>
      <w:pPr>
        <w:pStyle w:val="ListBullet"/>
        <w:spacing w:after="60" w:line="276" w:lineRule="auto"/>
      </w:pPr>
      <w:r>
        <w:rPr>
          <w:rFonts w:ascii="Arial" w:hAnsi="Arial"/>
          <w:b/>
          <w:color w:val="7B1113"/>
          <w:sz w:val="20"/>
        </w:rPr>
        <w:t xml:space="preserve">Packaging BOM: </w:t>
      </w:r>
      <w:r>
        <w:rPr>
          <w:rFonts w:ascii="Arial" w:hAnsi="Arial"/>
          <w:color w:val="333333"/>
          <w:sz w:val="20"/>
        </w:rPr>
        <w:t>Add consumed packaging materials (10 Vacuum Pouches @ ₦50 = ₦500.00).</w:t>
      </w:r>
    </w:p>
    <w:p>
      <w:pPr>
        <w:pStyle w:val="ListBullet"/>
        <w:spacing w:after="60" w:line="276" w:lineRule="auto"/>
      </w:pPr>
      <w:r>
        <w:rPr>
          <w:rFonts w:ascii="Arial" w:hAnsi="Arial"/>
          <w:b/>
          <w:color w:val="7B1113"/>
          <w:sz w:val="20"/>
        </w:rPr>
        <w:t xml:space="preserve">Cost Rollup: </w:t>
      </w:r>
      <w:r>
        <w:rPr>
          <w:rFonts w:ascii="Arial" w:hAnsi="Arial"/>
          <w:color w:val="333333"/>
          <w:sz w:val="20"/>
        </w:rPr>
        <w:t>Total Production Cost = ₦29,283.60 + ₦500.00 = ₦29,783.60. Unit Cost = ₦2,978.36/pack.</w:t>
      </w:r>
    </w:p>
    <w:p>
      <w:pPr>
        <w:pStyle w:val="ListBullet"/>
        <w:spacing w:after="60" w:line="276" w:lineRule="auto"/>
      </w:pPr>
      <w:r>
        <w:rPr>
          <w:rFonts w:ascii="Arial" w:hAnsi="Arial"/>
          <w:b/>
          <w:color w:val="7B1113"/>
          <w:sz w:val="20"/>
        </w:rPr>
        <w:t xml:space="preserve">Expiry Calculation: </w:t>
      </w:r>
      <w:r>
        <w:rPr>
          <w:rFonts w:ascii="Arial" w:hAnsi="Arial"/>
          <w:color w:val="333333"/>
          <w:sz w:val="20"/>
        </w:rPr>
        <w:t>Automatically calculated from shelf-life days (e.g., today + 21 days = 2026-10-21).</w:t>
      </w:r>
    </w:p>
    <w:p>
      <w:pPr>
        <w:pStyle w:val="ListBullet"/>
        <w:spacing w:after="60" w:line="276" w:lineRule="auto"/>
      </w:pPr>
      <w:r>
        <w:rPr>
          <w:rFonts w:ascii="Arial" w:hAnsi="Arial"/>
          <w:b/>
          <w:color w:val="7B1113"/>
          <w:sz w:val="20"/>
        </w:rPr>
        <w:t xml:space="preserve">POS Barcode: </w:t>
      </w:r>
      <w:r>
        <w:rPr>
          <w:rFonts w:ascii="Arial" w:hAnsi="Arial"/>
          <w:color w:val="333333"/>
          <w:sz w:val="20"/>
        </w:rPr>
        <w:t>EAN-compatible barcode generated automatically (e.g., 20SHAK0010) for barcode scanners.</w:t>
      </w:r>
    </w:p>
    <w:p>
      <w:pPr>
        <w:pStyle w:val="ListBullet"/>
        <w:spacing w:after="60" w:line="276" w:lineRule="auto"/>
      </w:pPr>
      <w:r>
        <w:rPr>
          <w:rFonts w:ascii="Arial" w:hAnsi="Arial"/>
          <w:b/>
          <w:color w:val="7B1113"/>
          <w:sz w:val="20"/>
        </w:rPr>
        <w:t xml:space="preserve">Stock Entry: </w:t>
      </w:r>
      <w:r>
        <w:rPr>
          <w:rFonts w:ascii="Arial" w:hAnsi="Arial"/>
          <w:color w:val="333333"/>
          <w:sz w:val="20"/>
        </w:rPr>
        <w:t>Generates native Repack Stock Entry deducting bulk meat and packaging items, and receipting retail units.</w:t>
      </w:r>
    </w:p>
    <w:p>
      <w:pPr>
        <w:keepNext/>
        <w:spacing w:before="360" w:after="120"/>
      </w:pPr>
      <w:r>
        <w:rPr>
          <w:rFonts w:ascii="Arial" w:hAnsi="Arial"/>
          <w:b/>
          <w:color w:val="7B1113"/>
          <w:sz w:val="30"/>
        </w:rPr>
        <w:t>7. Module 5: B2B Dispatch &amp; Customer Returns Handling</w:t>
      </w:r>
    </w:p>
    <w:p>
      <w:pPr>
        <w:spacing w:after="120" w:line="276" w:lineRule="auto"/>
      </w:pPr>
      <w:r>
        <w:rPr>
          <w:rFonts w:ascii="Arial" w:hAnsi="Arial"/>
          <w:color w:val="333333"/>
          <w:sz w:val="20"/>
        </w:rPr>
        <w:t>In B2B hospitality meat supply (hotels, catering, restaurants), customer rejections present a severe inventory vulnerability. For example, a customer rejects 10kg of meat; upon return to your central depot cold room, the scale reads only 9kg due to fluid drainage or transit leakage.</w:t>
      </w:r>
    </w:p>
    <w:p>
      <w:pPr>
        <w:spacing w:after="120" w:line="276" w:lineRule="auto"/>
      </w:pPr>
      <w:r>
        <w:rPr>
          <w:rFonts w:ascii="Arial" w:hAnsi="Arial"/>
          <w:color w:val="333333"/>
          <w:sz w:val="20"/>
        </w:rPr>
        <w:t>The Butchery Return Voucher provides complete accountability:</w:t>
      </w:r>
    </w:p>
    <w:p>
      <w:pPr>
        <w:pStyle w:val="ListBullet"/>
        <w:spacing w:after="60" w:line="276" w:lineRule="auto"/>
      </w:pPr>
      <w:r>
        <w:rPr>
          <w:rFonts w:ascii="Arial" w:hAnsi="Arial"/>
          <w:b/>
          <w:color w:val="7B1113"/>
          <w:sz w:val="20"/>
        </w:rPr>
        <w:t xml:space="preserve">Re-weighing Reconciliation: </w:t>
      </w:r>
      <w:r>
        <w:rPr>
          <w:rFonts w:ascii="Arial" w:hAnsi="Arial"/>
          <w:color w:val="333333"/>
          <w:sz w:val="20"/>
        </w:rPr>
        <w:t>Logs original dispatched weight (50kg), customer rejected weight (10kg), and actual dock received weight (9kg).</w:t>
      </w:r>
    </w:p>
    <w:p>
      <w:pPr>
        <w:pStyle w:val="ListBullet"/>
        <w:spacing w:after="60" w:line="276" w:lineRule="auto"/>
      </w:pPr>
      <w:r>
        <w:rPr>
          <w:rFonts w:ascii="Arial" w:hAnsi="Arial"/>
          <w:b/>
          <w:color w:val="7B1113"/>
          <w:sz w:val="20"/>
        </w:rPr>
        <w:t xml:space="preserve">Shortage Attribution: </w:t>
      </w:r>
      <w:r>
        <w:rPr>
          <w:rFonts w:ascii="Arial" w:hAnsi="Arial"/>
          <w:color w:val="333333"/>
          <w:sz w:val="20"/>
        </w:rPr>
        <w:t>Computes in-transit return loss (1.0kg / 10.0%) and financial shortage amount (1.0kg × ₦4,482.19 = ₦4,482.19).</w:t>
      </w:r>
    </w:p>
    <w:p>
      <w:pPr>
        <w:pStyle w:val="ListBullet"/>
        <w:spacing w:after="60" w:line="276" w:lineRule="auto"/>
      </w:pPr>
      <w:r>
        <w:rPr>
          <w:rFonts w:ascii="Arial" w:hAnsi="Arial"/>
          <w:b/>
          <w:color w:val="7B1113"/>
          <w:sz w:val="20"/>
        </w:rPr>
        <w:t xml:space="preserve">Logistics Audit: </w:t>
      </w:r>
      <w:r>
        <w:rPr>
          <w:rFonts w:ascii="Arial" w:hAnsi="Arial"/>
          <w:color w:val="333333"/>
          <w:sz w:val="20"/>
        </w:rPr>
        <w:t>Logs driver name and vehicle registration to maintain logistics audit trails.</w:t>
      </w:r>
    </w:p>
    <w:p>
      <w:pPr>
        <w:pStyle w:val="ListBullet"/>
        <w:spacing w:after="60" w:line="276" w:lineRule="auto"/>
      </w:pPr>
      <w:r>
        <w:rPr>
          <w:rFonts w:ascii="Arial" w:hAnsi="Arial"/>
          <w:b/>
          <w:color w:val="7B1113"/>
          <w:sz w:val="20"/>
        </w:rPr>
        <w:t xml:space="preserve">Restock Action: </w:t>
      </w:r>
      <w:r>
        <w:rPr>
          <w:rFonts w:ascii="Arial" w:hAnsi="Arial"/>
          <w:color w:val="333333"/>
          <w:sz w:val="20"/>
        </w:rPr>
        <w:t>Restocks the actual physical 9.0kg into inventory under a dedicated batch (RET-BRV-RET-2026-00001) via Material Receipt Stock Entry.</w:t>
      </w:r>
    </w:p>
    <w:p>
      <w:pPr>
        <w:keepNext/>
        <w:spacing w:before="360" w:after="120"/>
      </w:pPr>
      <w:r>
        <w:rPr>
          <w:rFonts w:ascii="Arial" w:hAnsi="Arial"/>
          <w:b/>
          <w:color w:val="7B1113"/>
          <w:sz w:val="30"/>
        </w:rPr>
        <w:t>8. Reports &amp; Analytics</w:t>
      </w:r>
    </w:p>
    <w:p>
      <w:pPr>
        <w:spacing w:after="120" w:line="276" w:lineRule="auto"/>
      </w:pPr>
      <w:r>
        <w:rPr>
          <w:rFonts w:ascii="Arial" w:hAnsi="Arial"/>
          <w:color w:val="333333"/>
          <w:sz w:val="20"/>
        </w:rPr>
        <w:t>The Butchery workspace provides three dedicated script reports featuring interactive filtering, export support, and visual charts:</w:t>
      </w:r>
    </w:p>
    <w:tbl>
      <w:tblPr>
        <w:tblW w:type="auto" w:w="0"/>
        <w:jc w:val="center"/>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3120"/>
        <w:gridCol w:w="3120"/>
        <w:gridCol w:w="3120"/>
      </w:tblGrid>
      <w:tr>
        <w:tc>
          <w:tcPr>
            <w:tcW w:type="dxa" w:w="2880"/>
            <w:shd w:fill="7B1113"/>
            <w:tcMar>
              <w:top w:w="80" w:type="dxa"/>
              <w:bottom w:w="80" w:type="dxa"/>
              <w:left w:w="100" w:type="dxa"/>
              <w:right w:w="100" w:type="dxa"/>
            </w:tcMar>
          </w:tcPr>
          <w:p>
            <w:pPr>
              <w:spacing w:after="0"/>
            </w:pPr>
            <w:r>
              <w:rPr>
                <w:rFonts w:ascii="Arial" w:hAnsi="Arial"/>
                <w:b/>
                <w:color w:val="FFFFFF"/>
                <w:sz w:val="18"/>
              </w:rPr>
              <w:t>Report Name</w:t>
            </w:r>
          </w:p>
        </w:tc>
        <w:tc>
          <w:tcPr>
            <w:tcW w:type="dxa" w:w="4608"/>
            <w:shd w:fill="7B1113"/>
            <w:tcMar>
              <w:top w:w="80" w:type="dxa"/>
              <w:bottom w:w="80" w:type="dxa"/>
              <w:left w:w="100" w:type="dxa"/>
              <w:right w:w="100" w:type="dxa"/>
            </w:tcMar>
          </w:tcPr>
          <w:p>
            <w:pPr>
              <w:spacing w:after="0"/>
            </w:pPr>
            <w:r>
              <w:rPr>
                <w:rFonts w:ascii="Arial" w:hAnsi="Arial"/>
                <w:b/>
                <w:color w:val="FFFFFF"/>
                <w:sz w:val="18"/>
              </w:rPr>
              <w:t>Key Metrics Tracked</w:t>
            </w:r>
          </w:p>
        </w:tc>
        <w:tc>
          <w:tcPr>
            <w:tcW w:type="dxa" w:w="1872"/>
            <w:shd w:fill="7B1113"/>
            <w:tcMar>
              <w:top w:w="80" w:type="dxa"/>
              <w:bottom w:w="80" w:type="dxa"/>
              <w:left w:w="100" w:type="dxa"/>
              <w:right w:w="100" w:type="dxa"/>
            </w:tcMar>
          </w:tcPr>
          <w:p>
            <w:pPr>
              <w:spacing w:after="0"/>
            </w:pPr>
            <w:r>
              <w:rPr>
                <w:rFonts w:ascii="Arial" w:hAnsi="Arial"/>
                <w:b/>
                <w:color w:val="FFFFFF"/>
                <w:sz w:val="18"/>
              </w:rPr>
              <w:t>Visual Chart</w:t>
            </w:r>
          </w:p>
        </w:tc>
      </w:tr>
      <w:tr>
        <w:tc>
          <w:tcPr>
            <w:tcW w:type="dxa" w:w="2880"/>
            <w:shd w:fill="FFFFFF"/>
            <w:tcMar>
              <w:top w:w="60" w:type="dxa"/>
              <w:bottom w:w="60" w:type="dxa"/>
              <w:left w:w="100" w:type="dxa"/>
              <w:right w:w="100" w:type="dxa"/>
            </w:tcMar>
          </w:tcPr>
          <w:p>
            <w:pPr>
              <w:spacing w:after="0"/>
            </w:pPr>
            <w:r>
              <w:rPr>
                <w:rFonts w:ascii="Arial" w:hAnsi="Arial"/>
                <w:color w:val="333333"/>
                <w:sz w:val="18"/>
              </w:rPr>
              <w:t>Inbound Weight Variance Report</w:t>
            </w:r>
          </w:p>
        </w:tc>
        <w:tc>
          <w:tcPr>
            <w:tcW w:type="dxa" w:w="4608"/>
            <w:shd w:fill="FFFFFF"/>
            <w:tcMar>
              <w:top w:w="60" w:type="dxa"/>
              <w:bottom w:w="60" w:type="dxa"/>
              <w:left w:w="100" w:type="dxa"/>
              <w:right w:w="100" w:type="dxa"/>
            </w:tcMar>
          </w:tcPr>
          <w:p>
            <w:pPr>
              <w:spacing w:after="0"/>
            </w:pPr>
            <w:r>
              <w:rPr>
                <w:rFonts w:ascii="Arial" w:hAnsi="Arial"/>
                <w:color w:val="333333"/>
                <w:sz w:val="18"/>
              </w:rPr>
              <w:t>Invoiced vs received dock weight, shortage (kg), variance %, financial treatment, supplier audit</w:t>
            </w:r>
          </w:p>
        </w:tc>
        <w:tc>
          <w:tcPr>
            <w:tcW w:type="dxa" w:w="1872"/>
            <w:shd w:fill="FFFFFF"/>
            <w:tcMar>
              <w:top w:w="60" w:type="dxa"/>
              <w:bottom w:w="60" w:type="dxa"/>
              <w:left w:w="100" w:type="dxa"/>
              <w:right w:w="100" w:type="dxa"/>
            </w:tcMar>
          </w:tcPr>
          <w:p>
            <w:pPr>
              <w:spacing w:after="0"/>
            </w:pPr>
            <w:r>
              <w:rPr>
                <w:rFonts w:ascii="Arial" w:hAnsi="Arial"/>
                <w:color w:val="333333"/>
                <w:sz w:val="18"/>
              </w:rPr>
              <w:t>Bar chart of shortage (kg) by voucher</w:t>
            </w:r>
          </w:p>
        </w:tc>
      </w:tr>
      <w:tr>
        <w:tc>
          <w:tcPr>
            <w:tcW w:type="dxa" w:w="2880"/>
            <w:shd w:fill="FDF8F7"/>
            <w:tcMar>
              <w:top w:w="60" w:type="dxa"/>
              <w:bottom w:w="60" w:type="dxa"/>
              <w:left w:w="100" w:type="dxa"/>
              <w:right w:w="100" w:type="dxa"/>
            </w:tcMar>
          </w:tcPr>
          <w:p>
            <w:pPr>
              <w:spacing w:after="0"/>
            </w:pPr>
            <w:r>
              <w:rPr>
                <w:rFonts w:ascii="Arial" w:hAnsi="Arial"/>
                <w:color w:val="333333"/>
                <w:sz w:val="18"/>
              </w:rPr>
              <w:t>Carcass Breakdown and Yield Report</w:t>
            </w:r>
          </w:p>
        </w:tc>
        <w:tc>
          <w:tcPr>
            <w:tcW w:type="dxa" w:w="4608"/>
            <w:shd w:fill="FDF8F7"/>
            <w:tcMar>
              <w:top w:w="60" w:type="dxa"/>
              <w:bottom w:w="60" w:type="dxa"/>
              <w:left w:w="100" w:type="dxa"/>
              <w:right w:w="100" w:type="dxa"/>
            </w:tcMar>
          </w:tcPr>
          <w:p>
            <w:pPr>
              <w:spacing w:after="0"/>
            </w:pPr>
            <w:r>
              <w:rPr>
                <w:rFonts w:ascii="Arial" w:hAnsi="Arial"/>
                <w:color w:val="333333"/>
                <w:sz w:val="18"/>
              </w:rPr>
              <w:t>Input carcass weight, outturn cuts weight, cutting shrinkage (kg), cutting loss %, cost allocated</w:t>
            </w:r>
          </w:p>
        </w:tc>
        <w:tc>
          <w:tcPr>
            <w:tcW w:type="dxa" w:w="1872"/>
            <w:shd w:fill="FDF8F7"/>
            <w:tcMar>
              <w:top w:w="60" w:type="dxa"/>
              <w:bottom w:w="60" w:type="dxa"/>
              <w:left w:w="100" w:type="dxa"/>
              <w:right w:w="100" w:type="dxa"/>
            </w:tcMar>
          </w:tcPr>
          <w:p>
            <w:pPr>
              <w:spacing w:after="0"/>
            </w:pPr>
            <w:r>
              <w:rPr>
                <w:rFonts w:ascii="Arial" w:hAnsi="Arial"/>
                <w:color w:val="333333"/>
                <w:sz w:val="18"/>
              </w:rPr>
              <w:t>Bar chart of cutting loss % across runs</w:t>
            </w:r>
          </w:p>
        </w:tc>
      </w:tr>
      <w:tr>
        <w:tc>
          <w:tcPr>
            <w:tcW w:type="dxa" w:w="2880"/>
            <w:shd w:fill="FFFFFF"/>
            <w:tcMar>
              <w:top w:w="60" w:type="dxa"/>
              <w:bottom w:w="60" w:type="dxa"/>
              <w:left w:w="100" w:type="dxa"/>
              <w:right w:w="100" w:type="dxa"/>
            </w:tcMar>
          </w:tcPr>
          <w:p>
            <w:pPr>
              <w:spacing w:after="0"/>
            </w:pPr>
            <w:r>
              <w:rPr>
                <w:rFonts w:ascii="Arial" w:hAnsi="Arial"/>
                <w:color w:val="333333"/>
                <w:sz w:val="18"/>
              </w:rPr>
              <w:t>Customer Return &amp; Transit Variance Report</w:t>
            </w:r>
          </w:p>
        </w:tc>
        <w:tc>
          <w:tcPr>
            <w:tcW w:type="dxa" w:w="4608"/>
            <w:shd w:fill="FFFFFF"/>
            <w:tcMar>
              <w:top w:w="60" w:type="dxa"/>
              <w:bottom w:w="60" w:type="dxa"/>
              <w:left w:w="100" w:type="dxa"/>
              <w:right w:w="100" w:type="dxa"/>
            </w:tcMar>
          </w:tcPr>
          <w:p>
            <w:pPr>
              <w:spacing w:after="0"/>
            </w:pPr>
            <w:r>
              <w:rPr>
                <w:rFonts w:ascii="Arial" w:hAnsi="Arial"/>
                <w:color w:val="333333"/>
                <w:sz w:val="18"/>
              </w:rPr>
              <w:t>Dispatched vs rejected vs dock restocked, transit loss (kg), loss %, driver accountability</w:t>
            </w:r>
          </w:p>
        </w:tc>
        <w:tc>
          <w:tcPr>
            <w:tcW w:type="dxa" w:w="1872"/>
            <w:shd w:fill="FFFFFF"/>
            <w:tcMar>
              <w:top w:w="60" w:type="dxa"/>
              <w:bottom w:w="60" w:type="dxa"/>
              <w:left w:w="100" w:type="dxa"/>
              <w:right w:w="100" w:type="dxa"/>
            </w:tcMar>
          </w:tcPr>
          <w:p>
            <w:pPr>
              <w:spacing w:after="0"/>
            </w:pPr>
            <w:r>
              <w:rPr>
                <w:rFonts w:ascii="Arial" w:hAnsi="Arial"/>
                <w:color w:val="333333"/>
                <w:sz w:val="18"/>
              </w:rPr>
              <w:t>Bar chart of transit shortage by driver</w:t>
            </w:r>
          </w:p>
        </w:tc>
      </w:tr>
    </w:tbl>
    <w:p>
      <w:pPr>
        <w:spacing w:after="160"/>
      </w:pPr>
    </w:p>
    <w:p>
      <w:pPr>
        <w:keepNext/>
        <w:spacing w:before="360" w:after="120"/>
      </w:pPr>
      <w:r>
        <w:rPr>
          <w:rFonts w:ascii="Arial" w:hAnsi="Arial"/>
          <w:b/>
          <w:color w:val="7B1113"/>
          <w:sz w:val="30"/>
        </w:rPr>
        <w:t>9. Operational FAQ &amp; System Safeguards</w:t>
      </w:r>
    </w:p>
    <w:p>
      <w:pPr>
        <w:pStyle w:val="ListBullet"/>
        <w:spacing w:after="60" w:line="276" w:lineRule="auto"/>
      </w:pPr>
      <w:r>
        <w:rPr>
          <w:rFonts w:ascii="Arial" w:hAnsi="Arial"/>
          <w:b/>
          <w:color w:val="7B1113"/>
          <w:sz w:val="20"/>
        </w:rPr>
        <w:t xml:space="preserve">Automated Cancellation Rollback: </w:t>
      </w:r>
      <w:r>
        <w:rPr>
          <w:rFonts w:ascii="Arial" w:hAnsi="Arial"/>
          <w:color w:val="333333"/>
          <w:sz w:val="20"/>
        </w:rPr>
        <w:t>All Butchery vouchers feature an automated rollback hook (on_cancel). Cancelling any butchery voucher automatically cancels the underlying ERPNext Stock Entry, cleanly rolling back inventory and valuation entries.</w:t>
      </w:r>
    </w:p>
    <w:p>
      <w:pPr>
        <w:pStyle w:val="ListBullet"/>
        <w:spacing w:after="60" w:line="276" w:lineRule="auto"/>
      </w:pPr>
      <w:r>
        <w:rPr>
          <w:rFonts w:ascii="Arial" w:hAnsi="Arial"/>
          <w:b/>
          <w:color w:val="7B1113"/>
          <w:sz w:val="20"/>
        </w:rPr>
        <w:t xml:space="preserve">Resolving Mass Balance Errors: </w:t>
      </w:r>
      <w:r>
        <w:rPr>
          <w:rFonts w:ascii="Arial" w:hAnsi="Arial"/>
          <w:color w:val="333333"/>
          <w:sz w:val="20"/>
        </w:rPr>
        <w:t>If cuts exceed carcass weight by &gt;5%, the system blocks submission with a ValidationError. Re-check dock scales for zero-tare calibration or verify that cuts from separate animal lots have not been mixed.</w:t>
      </w:r>
    </w:p>
    <w:p>
      <w:pPr>
        <w:pStyle w:val="ListBullet"/>
        <w:spacing w:after="60" w:line="276" w:lineRule="auto"/>
      </w:pPr>
      <w:r>
        <w:rPr>
          <w:rFonts w:ascii="Arial" w:hAnsi="Arial"/>
          <w:b/>
          <w:color w:val="7B1113"/>
          <w:sz w:val="20"/>
        </w:rPr>
        <w:t xml:space="preserve">Pricing Bones and Trimmings: </w:t>
      </w:r>
      <w:r>
        <w:rPr>
          <w:rFonts w:ascii="Arial" w:hAnsi="Arial"/>
          <w:color w:val="333333"/>
          <w:sz w:val="20"/>
        </w:rPr>
        <w:t>Set low clearing selling rates (e.g. ₦600/kg) in the Meat Breakdown Template. The NRV engine automatically weights their allocated cost downward, protecting retail profitability on premium steak cuts.</w:t>
      </w:r>
    </w:p>
    <w:p>
      <w:pPr>
        <w:pStyle w:val="ListBullet"/>
        <w:spacing w:after="60" w:line="276" w:lineRule="auto"/>
      </w:pPr>
      <w:r>
        <w:rPr>
          <w:rFonts w:ascii="Arial" w:hAnsi="Arial"/>
          <w:b/>
          <w:color w:val="7B1113"/>
          <w:sz w:val="20"/>
        </w:rPr>
        <w:t xml:space="preserve">POS Label Printing: </w:t>
      </w:r>
      <w:r>
        <w:rPr>
          <w:rFonts w:ascii="Arial" w:hAnsi="Arial"/>
          <w:color w:val="333333"/>
          <w:sz w:val="20"/>
        </w:rPr>
        <w:t>Retail packs generated via Meat Portioning Entry contain standard EAN-style barcode formats that can be scanned directly in ERPNext POS or printed on thermal label scales.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99999"/>
        <w:sz w:val="17"/>
      </w:rPr>
      <w:t>ERPNext Butchery Management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99999"/>
        <w:sz w:val="17"/>
      </w:rPr>
      <w:t>Butchery Management System —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