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Három kísérleti alkalmazás a magyar joganyagon</w:t>
      </w:r>
    </w:p>
    <w:p>
      <w:pPr>
        <w:spacing w:after="160"/>
      </w:pPr>
      <w:r>
        <w:rPr>
          <w:i w:val="0"/>
        </w:rPr>
        <w:t>Kereshetővé tett fogalommeghatározások a Magyar Közlönyből, csoportosított bírói rezümék a Bírósági Határozatok Gyűjteményéből, és a kettő összekötve. Mindhárom szabadon használható, regisztráció nélkül; kutatási és kísérleti célú, nem jogi tanácsadás, és nem hatályos szöveget mutat.</w:t>
      </w:r>
    </w:p>
    <w:p>
      <w:r>
        <w:rPr>
          <w:b/>
        </w:rPr>
        <w:t xml:space="preserve">Közös belépő: </w:t>
      </w:r>
      <w:r>
        <w:t>https://goroggy.github.io/hjus/</w:t>
      </w:r>
    </w:p>
    <w:p>
      <w:pPr>
        <w:spacing w:after="160"/>
      </w:pPr>
      <w:r>
        <w:rPr>
          <w:i w:val="0"/>
        </w:rPr>
        <w:t>Az alábbi három eszköz külön-külön is használható, de egymásra épül: a harmadik az első kettő kimenetét kapcsolja össze.</w:t>
      </w:r>
    </w:p>
    <w:p>
      <w:pPr>
        <w:pStyle w:val="ListBullet"/>
      </w:pPr>
      <w:r>
        <w:t xml:space="preserve">Magyar Közlöny (2013–2026) → </w:t>
      </w:r>
      <w:r>
        <w:rPr>
          <w:b/>
        </w:rPr>
        <w:t>HJusDefs</w:t>
      </w:r>
      <w:r>
        <w:t xml:space="preserve"> — jogszabályi fogalommeghatározások</w:t>
      </w:r>
    </w:p>
    <w:p>
      <w:pPr>
        <w:pStyle w:val="ListBullet"/>
      </w:pPr>
      <w:r>
        <w:t xml:space="preserve">Bírósági Határozatok Gyűjteménye → </w:t>
      </w:r>
      <w:r>
        <w:rPr>
          <w:b/>
        </w:rPr>
        <w:t>HJusSent</w:t>
      </w:r>
      <w:r>
        <w:t xml:space="preserve"> — bírói rezümék hasonlóság szerint</w:t>
      </w:r>
    </w:p>
    <w:p>
      <w:pPr>
        <w:pStyle w:val="ListBullet"/>
      </w:pPr>
      <w:r>
        <w:t xml:space="preserve">az előző kettő → </w:t>
      </w:r>
      <w:r>
        <w:rPr>
          <w:b/>
        </w:rPr>
        <w:t>HJusRes</w:t>
      </w:r>
      <w:r>
        <w:t xml:space="preserve"> — fogalom felől a bírói gyakorlathoz</w:t>
      </w:r>
    </w:p>
    <w:p>
      <w:pPr>
        <w:pStyle w:val="Heading1"/>
      </w:pPr>
      <w:r>
        <w:t>1. HJusDefs</w:t>
      </w:r>
    </w:p>
    <w:p>
      <w:pPr>
        <w:spacing w:after="160"/>
      </w:pPr>
      <w:r>
        <w:rPr>
          <w:i/>
        </w:rPr>
        <w:t>Mit jelent ez a szó — és melyik törvény szerint?</w:t>
      </w:r>
    </w:p>
    <w:p>
      <w:r>
        <w:rPr>
          <w:b/>
        </w:rPr>
        <w:t>14 417 fogalommeghatározás · 9 399 meghatározott fogalom · 1 546 jogszabályból</w:t>
      </w:r>
    </w:p>
    <w:p>
      <w:pPr>
        <w:spacing w:after="160"/>
      </w:pPr>
      <w:r>
        <w:rPr>
          <w:i w:val="0"/>
        </w:rPr>
        <w:t>A jogszabályok „Értelmező rendelkezések” szakaszaiból és az „E törvény alkalmazásában…” fordulatokból gépileg kigyűjtött fogalom–definíció párok. A bal oldalon fogalomra keresel, a jobb oldalon a fogalmi környezete rajzolódik ki: mire épül a meghatározása, és mely fogalmak épülnek rá.</w:t>
      </w:r>
    </w:p>
    <w:p>
      <w:pPr>
        <w:spacing w:after="160"/>
      </w:pPr>
      <w:r>
        <w:rPr>
          <w:i w:val="0"/>
        </w:rPr>
        <w:t>A lényeg a nézőpont. A Nemzeti Jogszabálytár — helyesen — jogszabály szerint van rendezve: megnyitod a törvényt, és megtudod, mit jelent benne egy fogalom. Amit nem tudsz meg: hogy ugyanazt a szót hány másik jogszabály határozza meg, és miben másképp. 1 771 olyan fogalom van, amelyet legalább két jogszabály külön is meghatároz.</w:t>
      </w:r>
    </w:p>
    <w:p>
      <w:pPr>
        <w:spacing w:after="160"/>
      </w:pPr>
      <w:r>
        <w:rPr>
          <w:b/>
        </w:rPr>
        <w:t>Mire jó</w:t>
      </w:r>
    </w:p>
    <w:p>
      <w:pPr>
        <w:pStyle w:val="ListBullet"/>
      </w:pPr>
      <w:r>
        <w:rPr>
          <w:b/>
        </w:rPr>
        <w:t>Beadvány, szerződés, szakvélemény írásakor.</w:t>
      </w:r>
      <w:r>
        <w:t xml:space="preserve"> Mielőtt egy fogalmat a köznyelvi vagy a Ptk.-beli jelentésében használnál, egy keresés megmutatja, hogy az adott jogterület saját meghatározása eltér-e. A „közeli hozzátartozó” például harminchét helyen van meghatározva.</w:t>
      </w:r>
    </w:p>
    <w:p>
      <w:pPr>
        <w:pStyle w:val="ListBullet"/>
      </w:pPr>
      <w:r>
        <w:rPr>
          <w:b/>
        </w:rPr>
        <w:t>Jogszabály-előkészítésnél.</w:t>
      </w:r>
      <w:r>
        <w:t xml:space="preserve"> Van-e már bevett meghatározás, amire hivatkozni lehet ahelyett, hogy egy harmincnyolcadik születne.</w:t>
      </w:r>
    </w:p>
    <w:p>
      <w:pPr>
        <w:pStyle w:val="ListBullet"/>
      </w:pPr>
      <w:r>
        <w:rPr>
          <w:b/>
        </w:rPr>
        <w:t>Jogvitában.</w:t>
      </w:r>
      <w:r>
        <w:t xml:space="preserve"> Kimutatható, hogy a másik fél egy másik jogszabály fogalomkészletével érvel.</w:t>
      </w:r>
    </w:p>
    <w:p>
      <w:pPr>
        <w:pStyle w:val="ListBullet"/>
      </w:pPr>
      <w:r>
        <w:rPr>
          <w:b/>
        </w:rPr>
        <w:t>Oktatásban.</w:t>
      </w:r>
      <w:r>
        <w:t xml:space="preserve"> Egy fogalom nem magában áll: látszik, mely tágabb fogalom fajtája, és mely szűkebbek épülnek rá.</w:t>
      </w:r>
    </w:p>
    <w:p>
      <w:pPr>
        <w:spacing w:after="160"/>
      </w:pPr>
      <w:r>
        <w:rPr>
          <w:b/>
        </w:rPr>
        <w:t>Amit nem mond:</w:t>
      </w:r>
      <w:r>
        <w:t xml:space="preserve"> A szövegek a kihirdetéskori állapotot tükrözik, a későbbi módosításokat a gyűjtemény nem követi. Minden jogszabálycím az NJT-re mutat — amire hivatkozol, azt ott ellenőrizd.</w:t>
      </w:r>
    </w:p>
    <w:p>
      <w:pPr>
        <w:pStyle w:val="ListBullet"/>
      </w:pPr>
      <w:r>
        <w:t xml:space="preserve">Az alkalmazás: </w:t>
      </w:r>
      <w:r>
        <w:rPr>
          <w:color w:val="1D4ED8"/>
        </w:rPr>
        <w:t>https://goroggy.github.io/hjusdefs-web/hjusdefs.html</w:t>
      </w:r>
    </w:p>
    <w:p>
      <w:pPr>
        <w:pStyle w:val="ListBullet"/>
      </w:pPr>
      <w:r>
        <w:t xml:space="preserve">Dokumentáció: </w:t>
      </w:r>
      <w:r>
        <w:rPr>
          <w:color w:val="1D4ED8"/>
        </w:rPr>
        <w:t>https://goroggy.github.io/hjusdefs-web/Miez.html</w:t>
      </w:r>
    </w:p>
    <w:p>
      <w:pPr>
        <w:pStyle w:val="Heading1"/>
      </w:pPr>
      <w:r>
        <w:t>2. HJusSent</w:t>
      </w:r>
    </w:p>
    <w:p>
      <w:pPr>
        <w:spacing w:after="160"/>
      </w:pPr>
      <w:r>
        <w:rPr>
          <w:i/>
        </w:rPr>
        <w:t>Mit mondtak még ugyanerről — akkor is, ha nem találod el a kulcsszót?</w:t>
      </w:r>
    </w:p>
    <w:p>
      <w:r>
        <w:rPr>
          <w:b/>
        </w:rPr>
        <w:t>46 280 bírói rezümé · forrás: BHGY · két réteg: tartalom / eljárási sablon</w:t>
      </w:r>
    </w:p>
    <w:p>
      <w:pPr>
        <w:spacing w:after="160"/>
      </w:pPr>
      <w:r>
        <w:rPr>
          <w:i w:val="0"/>
        </w:rPr>
        <w:t>A Bírósági Határozatok Gyűjteményéből letöltött rezümék — a felsőbb bírósági határozatokhoz fűzött, elvileg egy-két mondatos összefoglalók. A bal oldalon keresel vagy szűrsz, a jobb oldalon a kiválasztott tétel szomszédsága jelenik meg: mely más rezümék állnak hozzá szövegben a legközelebb, fa alakban elrendezve.</w:t>
      </w:r>
    </w:p>
    <w:p>
      <w:pPr>
        <w:spacing w:after="160"/>
      </w:pPr>
      <w:r>
        <w:rPr>
          <w:i w:val="0"/>
        </w:rPr>
        <w:t>A rezümék minősége a valóságban vegyes: van, ami idézhető jogtétel, van, ami csak az ügy tárgyát nevezi meg, és van a Kúria felülvizsgálati befogadásáról szóló, tömegesen ismétlődő sablonszöveg. Ez utóbbi külön rétegként el van különítve — nem gépi becslés alapján, hanem szabály és klaszter-megerősítés együtt azonosítja.</w:t>
      </w:r>
    </w:p>
    <w:p>
      <w:pPr>
        <w:spacing w:after="160"/>
      </w:pPr>
      <w:r>
        <w:rPr>
          <w:b/>
        </w:rPr>
        <w:t>Mire jó</w:t>
      </w:r>
    </w:p>
    <w:p>
      <w:pPr>
        <w:pStyle w:val="ListBullet"/>
      </w:pPr>
      <w:r>
        <w:rPr>
          <w:b/>
        </w:rPr>
        <w:t>Ha egy jó találatod már van.</w:t>
      </w:r>
      <w:r>
        <w:t xml:space="preserve"> Rákattintva előjön, mi áll hozzá a legközelebb — anélkül, hogy ki kellene találnod, milyen szavakkal fogalmazott a bíróság.</w:t>
      </w:r>
    </w:p>
    <w:p>
      <w:pPr>
        <w:pStyle w:val="ListBullet"/>
      </w:pPr>
      <w:r>
        <w:rPr>
          <w:b/>
        </w:rPr>
        <w:t>Annak megítéléséhez, hogy egy jogtétel mennyire magányos.</w:t>
      </w:r>
      <w:r>
        <w:t xml:space="preserve"> Ha húsz hasonló rezümé áll körülötte, az más súlyú, mint ha egy sem.</w:t>
      </w:r>
    </w:p>
    <w:p>
      <w:pPr>
        <w:pStyle w:val="ListBullet"/>
      </w:pPr>
      <w:r>
        <w:rPr>
          <w:b/>
        </w:rPr>
        <w:t>Zajszűrésre.</w:t>
      </w:r>
      <w:r>
        <w:t xml:space="preserve"> Az eljárási sablonok kitakarhatók, így a keresés nem fullad a befogadási dogmatikába.</w:t>
      </w:r>
    </w:p>
    <w:p>
      <w:pPr>
        <w:spacing w:after="160"/>
      </w:pPr>
      <w:r>
        <w:rPr>
          <w:b/>
        </w:rPr>
        <w:t>Amit nem mond:</w:t>
      </w:r>
      <w:r>
        <w:t xml:space="preserve"> A hasonlóság szövegalapú becslés, nem jogi azonosság. Két rezümé lehet szövegében közeli és jogilag távoli — és fordítva. A fa navigációs segédeszköz: arra való, hogy elvezessen a következő olvasnivalóhoz, nem arra, hogy eldöntse, mi tartozik egy kérdés alá.</w:t>
      </w:r>
    </w:p>
    <w:p>
      <w:pPr>
        <w:pStyle w:val="ListBullet"/>
      </w:pPr>
      <w:r>
        <w:t xml:space="preserve">Az alkalmazás: </w:t>
      </w:r>
      <w:r>
        <w:rPr>
          <w:color w:val="1D4ED8"/>
        </w:rPr>
        <w:t>https://goroggy.github.io/hulex-sentencies-web/klaszter_fa.html</w:t>
      </w:r>
    </w:p>
    <w:p>
      <w:pPr>
        <w:pStyle w:val="ListBullet"/>
      </w:pPr>
      <w:r>
        <w:t xml:space="preserve">Kézikönyv: </w:t>
      </w:r>
      <w:r>
        <w:rPr>
          <w:color w:val="1D4ED8"/>
        </w:rPr>
        <w:t>https://goroggy.github.io/hulex-sentencies-web/kezikonyv.html</w:t>
      </w:r>
    </w:p>
    <w:p>
      <w:pPr>
        <w:pStyle w:val="Heading1"/>
      </w:pPr>
      <w:r>
        <w:t>3. HJusRes</w:t>
      </w:r>
    </w:p>
    <w:p>
      <w:pPr>
        <w:spacing w:after="160"/>
      </w:pPr>
      <w:r>
        <w:rPr>
          <w:i/>
        </w:rPr>
        <w:t>Egy jogszabályi fogalom — és a bírói gyakorlat, ahol előkerül.</w:t>
      </w:r>
    </w:p>
    <w:p>
      <w:r>
        <w:rPr>
          <w:b/>
        </w:rPr>
        <w:t>42 142 rezümé fogalmi címkével · 176 630 közvetlen kapcsolat · 1 850 fogalom fordul elő</w:t>
      </w:r>
    </w:p>
    <w:p>
      <w:pPr>
        <w:spacing w:after="160"/>
      </w:pPr>
      <w:r>
        <w:rPr>
          <w:i w:val="0"/>
        </w:rPr>
        <w:t>Az első kettő összekötve: a HJusDefs fogalmait rákeresi a HJusSent rezüméire, szótövezett illesztéssel — tehát a ragozott alakot is megtalálja, viszont csak pontos, teljes egyezést fogad el. A közvetlen találatok mellé a fogalmi hierarchiából egy-két lépéssel feljebb lévő tágabb fogalmakat is odateszi, külön, gyengébb jelöléssel.</w:t>
      </w:r>
    </w:p>
    <w:p>
      <w:pPr>
        <w:spacing w:after="160"/>
      </w:pPr>
      <w:r>
        <w:rPr>
          <w:i w:val="0"/>
        </w:rPr>
        <w:t>A 46 019 rezüméből 42 142 kapott legalább egy fogalmi címkét — nagyjából minden tizenkettedik egyet sem. A magas arány részben azt is jelenti, hogy a gyakori, általános fogalmak („kérelem”, „eljárás”) mindenütt megjelennek; a ritkább fogalmak a hasznosak. A nézet fogalomlistája 1 964 tételes: a 114 többlet olyan tágabb fogalom, amely csak öröklött kapcsolaton át kerül elő.</w:t>
      </w:r>
    </w:p>
    <w:p>
      <w:pPr>
        <w:spacing w:after="160"/>
      </w:pPr>
      <w:r>
        <w:rPr>
          <w:b/>
        </w:rPr>
        <w:t>Mire jó</w:t>
      </w:r>
    </w:p>
    <w:p>
      <w:pPr>
        <w:pStyle w:val="ListBullet"/>
      </w:pPr>
      <w:r>
        <w:rPr>
          <w:b/>
        </w:rPr>
        <w:t>A definíció és az alkalmazás közti ugráshoz.</w:t>
      </w:r>
      <w:r>
        <w:t xml:space="preserve"> Tudod, mit ír a törvény a „magánút”-ról; innen egy lépés megnézni, mely határozatok rezüméiben kerül elő.</w:t>
      </w:r>
    </w:p>
    <w:p>
      <w:pPr>
        <w:pStyle w:val="ListBullet"/>
      </w:pPr>
      <w:r>
        <w:rPr>
          <w:b/>
        </w:rPr>
        <w:t>Fogalom felőli belépéshez.</w:t>
      </w:r>
      <w:r>
        <w:t xml:space="preserve"> Nem ügyszámmal vagy jogszabályhellyel kezdesz, hanem azzal a szóval, ami a kérdésben szerepel.</w:t>
      </w:r>
    </w:p>
    <w:p>
      <w:pPr>
        <w:pStyle w:val="ListBullet"/>
      </w:pPr>
      <w:r>
        <w:rPr>
          <w:b/>
        </w:rPr>
        <w:t>Fogalmi környezet bejárásához.</w:t>
      </w:r>
      <w:r>
        <w:t xml:space="preserve"> A tágabb fogalom felől is elindulhatsz, ha a szűkebbre kevés a találat.</w:t>
      </w:r>
    </w:p>
    <w:p>
      <w:pPr>
        <w:spacing w:after="160"/>
      </w:pPr>
      <w:r>
        <w:rPr>
          <w:b/>
        </w:rPr>
        <w:t>Amit nem mond:</w:t>
      </w:r>
      <w:r>
        <w:t xml:space="preserve"> A kapcsolat szóegyezés, nem jelentésazonosság. Abból, hogy egy rezümében szerepel a szó, nem következik, hogy a bíróság épp azt a jogszabályi definíciót alkalmazta — sőt az sem, hogy ugyanabban az értelemben használta. A címke odavezet a szöveghez; az olvasás a te dolgod marad.</w:t>
      </w:r>
    </w:p>
    <w:p>
      <w:pPr>
        <w:pStyle w:val="ListBullet"/>
      </w:pPr>
      <w:r>
        <w:t xml:space="preserve">Az alkalmazás: </w:t>
      </w:r>
      <w:r>
        <w:rPr>
          <w:color w:val="1D4ED8"/>
        </w:rPr>
        <w:t>https://goroggy.github.io/hjusresumes-web/hjusresumes.html</w:t>
      </w:r>
    </w:p>
    <w:p>
      <w:pPr>
        <w:pStyle w:val="Heading1"/>
      </w:pPr>
      <w:r>
        <w:t>Ami mindháromra igaz</w:t>
      </w:r>
    </w:p>
    <w:p>
      <w:pPr>
        <w:spacing w:after="160"/>
      </w:pPr>
      <w:r>
        <w:rPr>
          <w:b/>
        </w:rPr>
        <w:t>Kísérleti, nem termék —</w:t>
      </w:r>
      <w:r>
        <w:t xml:space="preserve"> Mindhárom kutatási célú próba. Nincs mögöttük szerkesztőségi ellenőrzés, karbantartási vállalás vagy rendelkezésre állási ígéret.</w:t>
      </w:r>
    </w:p>
    <w:p>
      <w:pPr>
        <w:spacing w:after="160"/>
      </w:pPr>
      <w:r>
        <w:rPr>
          <w:b/>
        </w:rPr>
        <w:t>Gépi kinyerés —</w:t>
      </w:r>
      <w:r>
        <w:t xml:space="preserve"> Az adatot program gyűjtötte a nyilvános forrásokból, tehát hibázhat. Ezért mutat minden tétel a forrására: nem a gyűjteménynek kell hinni, hanem a Közlönynek, illetve a határozatnak.</w:t>
      </w:r>
    </w:p>
    <w:p>
      <w:pPr>
        <w:spacing w:after="160"/>
      </w:pPr>
      <w:r>
        <w:rPr>
          <w:b/>
        </w:rPr>
        <w:t>Nem hatályos jogot mutat —</w:t>
      </w:r>
      <w:r>
        <w:t xml:space="preserve"> A fogalommeghatározások a kihirdetéskori állapotot tükrözik, a rezümék a közzététel szerintit. Hatályos szövegért az NJT-re, illetve a BHGY-re kell menni — a linkek oda vezetnek.</w:t>
      </w:r>
    </w:p>
    <w:p>
      <w:pPr>
        <w:spacing w:after="160"/>
      </w:pPr>
      <w:r>
        <w:rPr>
          <w:b/>
        </w:rPr>
        <w:t>Nem jogi tanácsadás —</w:t>
      </w:r>
      <w:r>
        <w:t xml:space="preserve"> Kereső- és tájékozódási eszközök. Sem a találat megléte, sem a hiánya nem jogi állítás.</w:t>
      </w:r>
    </w:p>
    <w:p>
      <w:pPr>
        <w:spacing w:after="160"/>
      </w:pPr>
      <w:r>
        <w:rPr>
          <w:b/>
        </w:rPr>
        <w:t>Nem gyűjt rólad adatot —</w:t>
      </w:r>
      <w:r>
        <w:t xml:space="preserve"> Nincs bejelentkezés, nincs szerveroldali napló, nincs analitika, és egyik oldal sem tölt be semmit külső kiszolgálóról. A HJusDefs és a HJusSent megjegyzi, hol jártál legutóbb — de kizárólag a saját böngésződ tárolójában, ez az adat nem hagyja el a gépedet. A HJusRes semmit nem tárol.</w:t>
      </w:r>
    </w:p>
    <w:p>
      <w:pPr>
        <w:spacing w:after="160"/>
      </w:pPr>
      <w:r>
        <w:rPr>
          <w:b/>
        </w:rPr>
        <w:t>Asztali gépre való —</w:t>
      </w:r>
      <w:r>
        <w:t xml:space="preserve"> Az oldalak az egész adatállományt egyben töltik le (9, illetve 30 és 28 MB). Első betöltésre széles sávú kapcsolatot és nem telefont érdemes hozzá használni; utána viszont hálózat nélkül is működnek.</w:t>
      </w:r>
    </w:p>
    <w:p>
      <w:pPr>
        <w:pStyle w:val="Heading1"/>
      </w:pPr>
      <w:r>
        <w:t>Amit érdemes visszajelezni</w:t>
      </w:r>
    </w:p>
    <w:p>
      <w:pPr>
        <w:spacing w:after="160"/>
      </w:pPr>
      <w:r>
        <w:rPr>
          <w:i w:val="0"/>
        </w:rPr>
        <w:t>A legtöbbet érő visszajelzés nem az, hogy „szép” vagy „nem szép”, hanem egy konkrét eset: egy fogalom, amit rosszul nyert ki; egy hiányzó jogszabály; vagy egy munkafolyamat, amiben ez az eszköz elakad. A hibás találat különösen hasznos — abból derül ki, hol téved rendszeresen a kinyerés.</w:t>
      </w:r>
    </w:p>
    <w:p/>
    <w:p>
      <w:pPr>
        <w:spacing w:after="160"/>
      </w:pPr>
      <w:r>
        <w:rPr>
          <w:b/>
        </w:rPr>
        <w:t>Adat.</w:t>
      </w:r>
      <w:r>
        <w:t xml:space="preserve"> Magyar Közlöny (2013.05.01.–2026) és a Bírósági Határozatok Gyűjteménye, nyilvánosan közzétett szövegekből, gépi feldolgozással. A jogszabály- és határozatszöveg nem áll szerzői jogi védelem alatt; a kinyert, származtatott adat CC BY 4.0 alatt szabadon felhasználható, forrásmegjelöléssel.</w:t>
      </w:r>
    </w:p>
    <w:p>
      <w:pPr>
        <w:spacing w:after="160"/>
      </w:pPr>
      <w:r>
        <w:rPr>
          <w:b/>
        </w:rPr>
        <w:t>Kapcsolat.</w:t>
      </w:r>
      <w:r>
        <w:t xml:space="preserve"> Észrevétel, hiba, javaslat: goroggyorgy77@gmail.com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