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9C1" w:rsidRPr="000510F8" w:rsidRDefault="00EB09C1" w:rsidP="000510F8">
      <w:pPr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ER-диаграммы (диаграммы сущность-связь)</w:t>
      </w:r>
    </w:p>
    <w:p w:rsidR="00EB09C1" w:rsidRPr="000510F8" w:rsidRDefault="00EB09C1" w:rsidP="000510F8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В основе ER-диаграмм лежит принцип «рисунок нагляднее текста»</w:t>
      </w:r>
    </w:p>
    <w:p w:rsidR="00EB09C1" w:rsidRPr="000510F8" w:rsidRDefault="00EB09C1" w:rsidP="000510F8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ER-диаграмма графически представляет сущности (</w:t>
      </w:r>
      <w:proofErr w:type="spellStart"/>
      <w:r w:rsidRPr="000510F8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0510F8">
        <w:rPr>
          <w:rFonts w:ascii="Times New Roman" w:hAnsi="Times New Roman" w:cs="Times New Roman"/>
          <w:sz w:val="28"/>
          <w:szCs w:val="28"/>
        </w:rPr>
        <w:t>) предметной области, свойства (</w:t>
      </w:r>
      <w:proofErr w:type="spellStart"/>
      <w:r w:rsidRPr="000510F8">
        <w:rPr>
          <w:rFonts w:ascii="Times New Roman" w:hAnsi="Times New Roman" w:cs="Times New Roman"/>
          <w:sz w:val="28"/>
          <w:szCs w:val="28"/>
        </w:rPr>
        <w:t>attributes</w:t>
      </w:r>
      <w:proofErr w:type="spellEnd"/>
      <w:r w:rsidRPr="000510F8">
        <w:rPr>
          <w:rFonts w:ascii="Times New Roman" w:hAnsi="Times New Roman" w:cs="Times New Roman"/>
          <w:sz w:val="28"/>
          <w:szCs w:val="28"/>
        </w:rPr>
        <w:t>) сущностей и связи (</w:t>
      </w:r>
      <w:proofErr w:type="spellStart"/>
      <w:r w:rsidRPr="000510F8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0510F8">
        <w:rPr>
          <w:rFonts w:ascii="Times New Roman" w:hAnsi="Times New Roman" w:cs="Times New Roman"/>
          <w:sz w:val="28"/>
          <w:szCs w:val="28"/>
        </w:rPr>
        <w:t>) между ними</w:t>
      </w:r>
    </w:p>
    <w:p w:rsidR="000510F8" w:rsidRDefault="00EB09C1" w:rsidP="000510F8">
      <w:pPr>
        <w:pStyle w:val="a3"/>
        <w:numPr>
          <w:ilvl w:val="0"/>
          <w:numId w:val="1"/>
        </w:numPr>
        <w:ind w:left="0"/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ER-диаграммы делятся на концептуальные и физические. В отличие от физических, в концептуальных ER-диаграммах не учитываются особенности конкретной базы данных. Впоследствии сущности концептуальных ER-диаграмм становятся таблицами, атрибуты — колонками, а связи реализуются путем миграции ключевых атрибутов родительских сущностей и создания внешних ключей</w:t>
      </w:r>
    </w:p>
    <w:p w:rsidR="003633D4" w:rsidRPr="000510F8" w:rsidRDefault="000510F8" w:rsidP="00051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B09C1" w:rsidRPr="000510F8" w:rsidRDefault="00EB09C1" w:rsidP="000510F8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Cs/>
          <w:color w:val="1E296D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1E296D"/>
          <w:sz w:val="28"/>
          <w:szCs w:val="28"/>
          <w:lang w:eastAsia="ru-RU"/>
        </w:rPr>
        <w:lastRenderedPageBreak/>
        <w:t>Добавление сущностей</w:t>
      </w:r>
    </w:p>
    <w:p w:rsidR="00EB09C1" w:rsidRPr="000510F8" w:rsidRDefault="00EB09C1" w:rsidP="000510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1.</w:t>
      </w:r>
      <w:r w:rsidRPr="000510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Выделяем сущности в описании заказчика</w:t>
      </w:r>
    </w:p>
    <w:p w:rsidR="00EB09C1" w:rsidRPr="000510F8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0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13" name="Рисунок 13" descr="https://static.tildacdn.com/tild6565-3439-4736-b031-386430663662/WSR_91400_02_07_09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6565-3439-4736-b031-386430663662/WSR_91400_02_07_09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C1" w:rsidRPr="000510F8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Важно</w:t>
      </w:r>
    </w:p>
    <w:p w:rsidR="00EB09C1" w:rsidRPr="000510F8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Сущность (</w:t>
      </w:r>
      <w:proofErr w:type="spellStart"/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entity</w:t>
      </w:r>
      <w:proofErr w:type="spellEnd"/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 — класс реальных или виртуальных однотипных объектов, информацию о которых необходимо хранить в базе данных. Пример сущности — «тренер»</w:t>
      </w:r>
    </w:p>
    <w:p w:rsidR="00EB09C1" w:rsidRPr="000510F8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2.</w:t>
      </w:r>
      <w:r w:rsidRPr="000510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Добавляем сущности на ER-диаграмму</w:t>
      </w:r>
    </w:p>
    <w:p w:rsidR="00EB09C1" w:rsidRPr="00EB09C1" w:rsidRDefault="00EB09C1" w:rsidP="000510F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11" name="Рисунок 11" descr="https://static.tildacdn.com/tild3561-3362-4062-a161-326537323363/WSR_91400_03_18_23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tildacdn.com/tild3561-3362-4062-a161-326537323363/WSR_91400_03_18_23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C1" w:rsidRPr="00EB09C1" w:rsidRDefault="00EB09C1" w:rsidP="000510F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Важно</w:t>
      </w:r>
    </w:p>
    <w:p w:rsidR="00EB09C1" w:rsidRPr="00EB09C1" w:rsidRDefault="00EB09C1" w:rsidP="000510F8">
      <w:pPr>
        <w:spacing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ER-диаграмме сущность изображается в виде прямоугольника, внутри которого содержится имя сущности в форме существительного в единственном числе</w:t>
      </w:r>
    </w:p>
    <w:p w:rsidR="000510F8" w:rsidRDefault="000510F8" w:rsidP="000510F8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</w:pPr>
    </w:p>
    <w:p w:rsidR="00EB09C1" w:rsidRPr="00EB09C1" w:rsidRDefault="00EB09C1" w:rsidP="000510F8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  <w:lastRenderedPageBreak/>
        <w:t>Добавление связей и их настройка</w:t>
      </w:r>
    </w:p>
    <w:p w:rsidR="00EB09C1" w:rsidRPr="00EB09C1" w:rsidRDefault="00EB09C1" w:rsidP="000510F8">
      <w:pPr>
        <w:spacing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Изображаем связи на ER-диаграмме</w:t>
      </w:r>
    </w:p>
    <w:p w:rsidR="00EB09C1" w:rsidRPr="00EB09C1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9" name="Рисунок 9" descr="https://static.tildacdn.com/tild3363-6634-4437-b634-626665636638/WSR_91400_03_54_13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tildacdn.com/tild3363-6634-4437-b634-626665636638/WSR_91400_03_54_13S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Важно</w:t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Связь (</w:t>
      </w:r>
      <w:proofErr w:type="spellStart"/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relationship</w:t>
      </w:r>
      <w:proofErr w:type="spellEnd"/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 — ассоциация между сущностями. Для облегчения понимания диаграммы следует добавлять названия связей. Пример связи — «тренер получает заявку»</w:t>
      </w:r>
    </w:p>
    <w:p w:rsidR="00EB09C1" w:rsidRPr="00EB09C1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Указываем тип связи между сущностями</w:t>
      </w:r>
    </w:p>
    <w:p w:rsidR="00EB09C1" w:rsidRPr="00EB09C1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7" name="Рисунок 7" descr="https://static.tildacdn.com/tild6661-3633-4431-b330-613632653730/WSR_91400_05_06_09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tildacdn.com/tild6661-3633-4431-b330-613632653730/WSR_91400_05_06_09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C1" w:rsidRPr="00EB09C1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определении типа следует учитывать модальность связи: «может» или «должен». Модальность «может» означает, что экземпляр одной сущности может быть связан с одним или несколькими экземплярами другой сущности, а может 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быть и не связан ни с одним экземпляром другой сущности. Модальность «должен» подразумевает связь не менее чем с одним экземпляром другой сущности. Примеры возможных типов связей представлены в таблице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2"/>
        <w:gridCol w:w="4182"/>
        <w:gridCol w:w="4182"/>
      </w:tblGrid>
      <w:tr w:rsidR="00EB09C1" w:rsidRPr="00EB09C1" w:rsidTr="000510F8">
        <w:tc>
          <w:tcPr>
            <w:tcW w:w="1000" w:type="pct"/>
            <w:hideMark/>
          </w:tcPr>
          <w:p w:rsidR="00EB09C1" w:rsidRPr="000510F8" w:rsidRDefault="00EB09C1" w:rsidP="00051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Название типа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Пример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8"/>
                <w:lang w:eastAsia="ru-RU"/>
              </w:rPr>
              <w:t>Комментарий</w:t>
            </w:r>
          </w:p>
        </w:tc>
      </w:tr>
      <w:tr w:rsidR="00EB09C1" w:rsidRPr="00EB09C1" w:rsidTr="000510F8">
        <w:tc>
          <w:tcPr>
            <w:tcW w:w="1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Один-к-одному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План тренировки должен быть составлен по одной заявке / По заявке может быть составлен один план тренировки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Данный тип следует использовать исключительно для связывания различных сущностей (разные сущности должны иметь разные атрибуты)</w:t>
            </w:r>
          </w:p>
        </w:tc>
      </w:tr>
      <w:tr w:rsidR="00EB09C1" w:rsidRPr="00EB09C1" w:rsidTr="000510F8">
        <w:tc>
          <w:tcPr>
            <w:tcW w:w="1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Один-ко-многим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План тренировки может включать много индивидуальных занятий / Индивидуальное занятие должно относиться к одному плану тренировки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Наиболее часто используемый тип связи</w:t>
            </w:r>
          </w:p>
        </w:tc>
      </w:tr>
      <w:tr w:rsidR="00EB09C1" w:rsidRPr="00EB09C1" w:rsidTr="000510F8">
        <w:tc>
          <w:tcPr>
            <w:tcW w:w="1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Многие-ко-многим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Тренер может пройти несколько курсов обучения / Курс обучения может быть пройден многими тренерами</w:t>
            </w:r>
          </w:p>
        </w:tc>
        <w:tc>
          <w:tcPr>
            <w:tcW w:w="2000" w:type="pct"/>
            <w:hideMark/>
          </w:tcPr>
          <w:p w:rsidR="00EB09C1" w:rsidRPr="000510F8" w:rsidRDefault="00EB09C1" w:rsidP="000510F8">
            <w:pPr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</w:pPr>
            <w:r w:rsidRPr="000510F8">
              <w:rPr>
                <w:rFonts w:ascii="Times New Roman" w:eastAsia="Times New Roman" w:hAnsi="Times New Roman" w:cs="Times New Roman"/>
                <w:color w:val="4D4C4C"/>
                <w:sz w:val="24"/>
                <w:szCs w:val="28"/>
                <w:lang w:eastAsia="ru-RU"/>
              </w:rPr>
              <w:t>Используется исключительно в качестве временного типа. При дальнейшей разработке данная связь заменяется на две связи типа «один-ко-многим» путем добавления промежуточной сущности</w:t>
            </w:r>
          </w:p>
        </w:tc>
      </w:tr>
    </w:tbl>
    <w:p w:rsidR="000510F8" w:rsidRDefault="000510F8" w:rsidP="000510F8">
      <w:pPr>
        <w:jc w:val="center"/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</w:pPr>
    </w:p>
    <w:p w:rsidR="000510F8" w:rsidRDefault="000510F8" w:rsidP="000510F8">
      <w:pPr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  <w:br w:type="page"/>
      </w:r>
    </w:p>
    <w:p w:rsidR="00EB09C1" w:rsidRPr="00EB09C1" w:rsidRDefault="00EB09C1" w:rsidP="000510F8">
      <w:pPr>
        <w:jc w:val="center"/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1E296D"/>
          <w:sz w:val="28"/>
          <w:szCs w:val="28"/>
          <w:lang w:eastAsia="ru-RU"/>
        </w:rPr>
        <w:lastRenderedPageBreak/>
        <w:t>Добавление атрибутов</w:t>
      </w:r>
    </w:p>
    <w:p w:rsidR="00EB09C1" w:rsidRPr="00EB09C1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Выделяем атрибуты в описании заказчика</w:t>
      </w:r>
    </w:p>
    <w:p w:rsidR="00EB09C1" w:rsidRPr="00EB09C1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6" name="Рисунок 6" descr="https://static.tildacdn.com/tild6636-6166-4332-a363-363063353666/WSR_91400_07_18_22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tildacdn.com/tild6636-6166-4332-a363-363063353666/WSR_91400_07_18_22S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Важно</w:t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Атрибуты предназначены для описания сущности. В приведенном примере они выделены красным цветом шрифта</w:t>
      </w:r>
    </w:p>
    <w:p w:rsidR="00EB09C1" w:rsidRPr="00EB09C1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Добавляем атрибуты к сущностям</w:t>
      </w:r>
    </w:p>
    <w:p w:rsidR="00EB09C1" w:rsidRPr="00EB09C1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00000" cy="3600000"/>
            <wp:effectExtent l="0" t="0" r="1270" b="635"/>
            <wp:docPr id="4" name="Рисунок 4" descr="https://static.tildacdn.com/tild3061-6463-4339-b731-373634333562/WSR_91400_08_12_10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tildacdn.com/tild3061-6463-4339-b731-373634333562/WSR_91400_08_12_10S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C1" w:rsidRPr="00EB09C1" w:rsidRDefault="00EB09C1" w:rsidP="000510F8">
      <w:pPr>
        <w:shd w:val="clear" w:color="auto" w:fill="F2F4F7"/>
        <w:spacing w:after="0" w:line="240" w:lineRule="auto"/>
        <w:ind w:right="300"/>
        <w:textAlignment w:val="top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A5F76C" id="Прямоугольник 3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3BBEA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kWdwQRADAAAb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Важно</w:t>
      </w:r>
    </w:p>
    <w:p w:rsidR="000510F8" w:rsidRPr="000510F8" w:rsidRDefault="000510F8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510F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Следует учитывать, что не все атрибуты могут быть указаны явно в техническом задании. Например, для определения стажа тренера удобно хранить в базе данных дату его трудоустройства</w:t>
      </w:r>
    </w:p>
    <w:p w:rsidR="00EB09C1" w:rsidRPr="00EB09C1" w:rsidRDefault="00EB09C1" w:rsidP="000510F8">
      <w:pPr>
        <w:spacing w:after="0" w:line="240" w:lineRule="auto"/>
        <w:ind w:right="30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3.</w:t>
      </w:r>
      <w:r w:rsidRPr="00EB09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Добавляем ключ к сущностям</w:t>
      </w:r>
    </w:p>
    <w:p w:rsidR="00EB09C1" w:rsidRPr="00EB09C1" w:rsidRDefault="00EB09C1" w:rsidP="000510F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09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94316" cy="3600000"/>
            <wp:effectExtent l="0" t="0" r="6985" b="635"/>
            <wp:docPr id="2" name="Рисунок 2" descr="https://static.tildacdn.com/tild6462-6232-4463-b161-316335373763/WSR_91400_09_19_19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6462-6232-4463-b161-316335373763/WSR_91400_09_19_19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3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0F8" w:rsidRPr="000510F8" w:rsidRDefault="000510F8" w:rsidP="000510F8">
      <w:pPr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Важно</w:t>
      </w:r>
    </w:p>
    <w:p w:rsidR="00EB09C1" w:rsidRPr="00EB09C1" w:rsidRDefault="000510F8" w:rsidP="000510F8">
      <w:pPr>
        <w:rPr>
          <w:rFonts w:ascii="Times New Roman" w:hAnsi="Times New Roman" w:cs="Times New Roman"/>
          <w:sz w:val="28"/>
          <w:szCs w:val="28"/>
        </w:rPr>
      </w:pPr>
      <w:r w:rsidRPr="000510F8">
        <w:rPr>
          <w:rFonts w:ascii="Times New Roman" w:hAnsi="Times New Roman" w:cs="Times New Roman"/>
          <w:sz w:val="28"/>
          <w:szCs w:val="28"/>
        </w:rPr>
        <w:t>Ключ — это один или несколько атрибутов, уникально определяющих сущность. В данном пример</w:t>
      </w:r>
      <w:bookmarkStart w:id="0" w:name="_GoBack"/>
      <w:bookmarkEnd w:id="0"/>
      <w:r w:rsidRPr="000510F8">
        <w:rPr>
          <w:rFonts w:ascii="Times New Roman" w:hAnsi="Times New Roman" w:cs="Times New Roman"/>
          <w:sz w:val="28"/>
          <w:szCs w:val="28"/>
        </w:rPr>
        <w:t>е в качестве ключа используется атрибут «код»</w:t>
      </w:r>
    </w:p>
    <w:sectPr w:rsidR="00EB09C1" w:rsidRPr="00EB09C1" w:rsidSect="00EB09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7260A9"/>
    <w:multiLevelType w:val="hybridMultilevel"/>
    <w:tmpl w:val="118A4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6A5"/>
    <w:rsid w:val="000510F8"/>
    <w:rsid w:val="003633D4"/>
    <w:rsid w:val="00B466A5"/>
    <w:rsid w:val="00EB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D7F466-BA95-4CFA-B977-B2A9E8D42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9C1"/>
    <w:pPr>
      <w:ind w:left="720"/>
      <w:contextualSpacing/>
    </w:pPr>
  </w:style>
  <w:style w:type="character" w:styleId="a4">
    <w:name w:val="Strong"/>
    <w:basedOn w:val="a0"/>
    <w:uiPriority w:val="22"/>
    <w:qFormat/>
    <w:rsid w:val="00EB09C1"/>
    <w:rPr>
      <w:b/>
      <w:bCs/>
    </w:rPr>
  </w:style>
  <w:style w:type="table" w:styleId="a5">
    <w:name w:val="Table Grid"/>
    <w:basedOn w:val="a1"/>
    <w:uiPriority w:val="39"/>
    <w:rsid w:val="00051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451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8607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4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160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9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54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7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70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94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343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178392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65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2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3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66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31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85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2529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2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34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5737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205059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893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08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527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0792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0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4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2082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27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7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7052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36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527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11296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41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2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27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97110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4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77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184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15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27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523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01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40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61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3019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52651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42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249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5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6507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8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6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55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861466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8914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5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56309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07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6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5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621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42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35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7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32004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296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48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269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8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61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07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42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5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08517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027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3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748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18406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51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8513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5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2025-01-30T02:11:00Z</dcterms:created>
  <dcterms:modified xsi:type="dcterms:W3CDTF">2025-01-30T02:21:00Z</dcterms:modified>
</cp:coreProperties>
</file>