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7" w:type="dxa"/>
        <w:tblInd w:w="-142" w:type="dxa"/>
        <w:tblLayout w:type="fixed"/>
        <w:tblCellMar>
          <w:left w:w="10" w:type="dxa"/>
          <w:right w:w="10" w:type="dxa"/>
        </w:tblCellMar>
        <w:tblLook w:val="0000" w:firstRow="0" w:lastRow="0" w:firstColumn="0" w:lastColumn="0" w:noHBand="0" w:noVBand="0"/>
      </w:tblPr>
      <w:tblGrid>
        <w:gridCol w:w="9787"/>
      </w:tblGrid>
      <w:tr w:rsidR="00400AF2" w:rsidRPr="009C3E96" w14:paraId="79188724" w14:textId="77777777" w:rsidTr="00045001">
        <w:tc>
          <w:tcPr>
            <w:tcW w:w="3261" w:type="dxa"/>
            <w:tcMar>
              <w:top w:w="28" w:type="dxa"/>
              <w:left w:w="28" w:type="dxa"/>
              <w:bottom w:w="28" w:type="dxa"/>
              <w:right w:w="28" w:type="dxa"/>
            </w:tcMar>
            <w:vAlign w:val="center"/>
          </w:tcPr>
          <w:p w14:paraId="58EF8D9C"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EUROPEAN COMMISSION</w:t>
            </w:r>
          </w:p>
        </w:tc>
      </w:tr>
      <w:tr w:rsidR="00400AF2" w:rsidRPr="009C3E96" w14:paraId="111C5516" w14:textId="77777777" w:rsidTr="00045001">
        <w:tc>
          <w:tcPr>
            <w:tcW w:w="3261" w:type="dxa"/>
            <w:tcMar>
              <w:top w:w="28" w:type="dxa"/>
              <w:left w:w="28" w:type="dxa"/>
              <w:bottom w:w="28" w:type="dxa"/>
              <w:right w:w="28" w:type="dxa"/>
            </w:tcMar>
            <w:vAlign w:val="center"/>
          </w:tcPr>
          <w:p w14:paraId="3D055861"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Brussels, 25.11.2020</w:t>
            </w:r>
          </w:p>
        </w:tc>
      </w:tr>
      <w:tr w:rsidR="00400AF2" w:rsidRPr="009C3E96" w14:paraId="1640BC54" w14:textId="77777777" w:rsidTr="00045001">
        <w:tc>
          <w:tcPr>
            <w:tcW w:w="3261" w:type="dxa"/>
            <w:tcMar>
              <w:top w:w="28" w:type="dxa"/>
              <w:left w:w="28" w:type="dxa"/>
              <w:bottom w:w="28" w:type="dxa"/>
              <w:right w:w="28" w:type="dxa"/>
            </w:tcMar>
            <w:vAlign w:val="center"/>
          </w:tcPr>
          <w:p w14:paraId="06F8EA4A"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COM(2020) 767 final</w:t>
            </w:r>
          </w:p>
        </w:tc>
      </w:tr>
      <w:tr w:rsidR="00400AF2" w:rsidRPr="009C3E96" w14:paraId="3B5C6882" w14:textId="77777777" w:rsidTr="00045001">
        <w:tc>
          <w:tcPr>
            <w:tcW w:w="3261" w:type="dxa"/>
            <w:tcMar>
              <w:top w:w="28" w:type="dxa"/>
              <w:left w:w="28" w:type="dxa"/>
              <w:bottom w:w="28" w:type="dxa"/>
              <w:right w:w="28" w:type="dxa"/>
            </w:tcMar>
            <w:vAlign w:val="center"/>
          </w:tcPr>
          <w:p w14:paraId="4C8592C5"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2020/0340(COD)</w:t>
            </w:r>
          </w:p>
        </w:tc>
      </w:tr>
      <w:tr w:rsidR="00400AF2" w:rsidRPr="009C3E96" w14:paraId="2C8020D8" w14:textId="77777777" w:rsidTr="00045001">
        <w:tc>
          <w:tcPr>
            <w:tcW w:w="3261" w:type="dxa"/>
            <w:tcMar>
              <w:top w:w="28" w:type="dxa"/>
              <w:left w:w="28" w:type="dxa"/>
              <w:bottom w:w="28" w:type="dxa"/>
              <w:right w:w="28" w:type="dxa"/>
            </w:tcMar>
            <w:vAlign w:val="center"/>
          </w:tcPr>
          <w:p w14:paraId="63220E01"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Proposal for a</w:t>
            </w:r>
          </w:p>
        </w:tc>
      </w:tr>
      <w:tr w:rsidR="00400AF2" w:rsidRPr="009C3E96" w14:paraId="16A51C2E" w14:textId="77777777" w:rsidTr="00045001">
        <w:tc>
          <w:tcPr>
            <w:tcW w:w="3261" w:type="dxa"/>
            <w:tcMar>
              <w:top w:w="28" w:type="dxa"/>
              <w:left w:w="28" w:type="dxa"/>
              <w:bottom w:w="28" w:type="dxa"/>
              <w:right w:w="28" w:type="dxa"/>
            </w:tcMar>
            <w:vAlign w:val="center"/>
          </w:tcPr>
          <w:p w14:paraId="4A78C833"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REGULATION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w:t>
            </w:r>
          </w:p>
        </w:tc>
      </w:tr>
      <w:tr w:rsidR="00400AF2" w:rsidRPr="009C3E96" w14:paraId="6B8CD18C" w14:textId="77777777" w:rsidTr="00045001">
        <w:tc>
          <w:tcPr>
            <w:tcW w:w="3261" w:type="dxa"/>
            <w:tcMar>
              <w:top w:w="28" w:type="dxa"/>
              <w:left w:w="28" w:type="dxa"/>
              <w:bottom w:w="28" w:type="dxa"/>
              <w:right w:w="28" w:type="dxa"/>
            </w:tcMar>
            <w:vAlign w:val="center"/>
          </w:tcPr>
          <w:p w14:paraId="5736C76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on European data governance</w:t>
            </w:r>
            <w:r>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lang w:val="en-US" w:eastAsia="zh-CN" w:bidi="hi-IN"/>
              </w:rPr>
              <w:t>(Data Governance Act)</w:t>
            </w:r>
          </w:p>
        </w:tc>
      </w:tr>
      <w:tr w:rsidR="00400AF2" w:rsidRPr="009C3E96" w14:paraId="54E60941" w14:textId="77777777" w:rsidTr="00045001">
        <w:tc>
          <w:tcPr>
            <w:tcW w:w="3261" w:type="dxa"/>
            <w:tcMar>
              <w:top w:w="28" w:type="dxa"/>
              <w:left w:w="28" w:type="dxa"/>
              <w:bottom w:w="28" w:type="dxa"/>
              <w:right w:w="28" w:type="dxa"/>
            </w:tcMar>
            <w:vAlign w:val="center"/>
          </w:tcPr>
          <w:p w14:paraId="144FCFDD"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(Text with EEA relevance)</w:t>
            </w:r>
          </w:p>
        </w:tc>
      </w:tr>
      <w:tr w:rsidR="00400AF2" w:rsidRPr="009C3E96" w14:paraId="04F0126C" w14:textId="77777777" w:rsidTr="00045001">
        <w:tc>
          <w:tcPr>
            <w:tcW w:w="3261" w:type="dxa"/>
            <w:tcMar>
              <w:top w:w="28" w:type="dxa"/>
              <w:left w:w="28" w:type="dxa"/>
              <w:bottom w:w="28" w:type="dxa"/>
              <w:right w:w="28" w:type="dxa"/>
            </w:tcMar>
            <w:vAlign w:val="center"/>
          </w:tcPr>
          <w:p w14:paraId="17FDF6C1"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{SEC(2020) 405 final} - {SWD(2020) 295 final} - {SWD(2020) 296 final}</w:t>
            </w:r>
          </w:p>
        </w:tc>
      </w:tr>
      <w:tr w:rsidR="00400AF2" w:rsidRPr="009C3E96" w14:paraId="4B9B2109" w14:textId="77777777" w:rsidTr="00045001">
        <w:tc>
          <w:tcPr>
            <w:tcW w:w="3261" w:type="dxa"/>
            <w:tcMar>
              <w:top w:w="28" w:type="dxa"/>
              <w:left w:w="28" w:type="dxa"/>
              <w:bottom w:w="28" w:type="dxa"/>
              <w:right w:w="28" w:type="dxa"/>
            </w:tcMar>
            <w:vAlign w:val="center"/>
          </w:tcPr>
          <w:p w14:paraId="08FF7794"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EXPLANATORY MEMORANDUM</w:t>
            </w:r>
          </w:p>
        </w:tc>
      </w:tr>
      <w:tr w:rsidR="00400AF2" w:rsidRPr="009C3E96" w14:paraId="1053F88F" w14:textId="77777777" w:rsidTr="00045001">
        <w:tc>
          <w:tcPr>
            <w:tcW w:w="3261" w:type="dxa"/>
            <w:tcMar>
              <w:top w:w="28" w:type="dxa"/>
              <w:left w:w="28" w:type="dxa"/>
              <w:bottom w:w="28" w:type="dxa"/>
              <w:right w:w="28" w:type="dxa"/>
            </w:tcMar>
            <w:vAlign w:val="center"/>
          </w:tcPr>
          <w:p w14:paraId="194F3FEC"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1.CONTEXT OF THE PROPOSAL</w:t>
            </w:r>
          </w:p>
        </w:tc>
      </w:tr>
      <w:tr w:rsidR="00400AF2" w:rsidRPr="009C3E96" w14:paraId="614926EE" w14:textId="77777777" w:rsidTr="00045001">
        <w:tc>
          <w:tcPr>
            <w:tcW w:w="3261" w:type="dxa"/>
            <w:tcMar>
              <w:top w:w="28" w:type="dxa"/>
              <w:left w:w="28" w:type="dxa"/>
              <w:bottom w:w="28" w:type="dxa"/>
              <w:right w:w="28" w:type="dxa"/>
            </w:tcMar>
            <w:vAlign w:val="center"/>
          </w:tcPr>
          <w:p w14:paraId="007345CB"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•Reasons for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objectives of the proposal</w:t>
            </w:r>
          </w:p>
        </w:tc>
      </w:tr>
      <w:tr w:rsidR="00400AF2" w:rsidRPr="009C3E96" w14:paraId="6E513FA6" w14:textId="77777777" w:rsidTr="00045001">
        <w:tc>
          <w:tcPr>
            <w:tcW w:w="3261" w:type="dxa"/>
            <w:tcMar>
              <w:top w:w="28" w:type="dxa"/>
              <w:left w:w="28" w:type="dxa"/>
              <w:bottom w:w="28" w:type="dxa"/>
              <w:right w:w="28" w:type="dxa"/>
            </w:tcMar>
            <w:vAlign w:val="center"/>
          </w:tcPr>
          <w:p w14:paraId="4E675C6A"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explanatory memorandum accompanies the proposal for a Regulation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1 on data governance. It is the first of a set of measures announced in the 2020 European strategy for data 2 . The instrument aims to </w:t>
            </w:r>
            <w:r w:rsidRPr="009C3E96">
              <w:rPr>
                <w:rFonts w:ascii="Times New Roman" w:eastAsia="NSimSun" w:hAnsi="Times New Roman" w:cs="Lucida Sans"/>
                <w:kern w:val="3"/>
                <w:sz w:val="20"/>
                <w:szCs w:val="20"/>
                <w:u w:val="single"/>
                <w:lang w:val="en-US" w:eastAsia="zh-CN" w:bidi="hi-IN"/>
              </w:rPr>
              <w:t>foster</w:t>
            </w:r>
            <w:r w:rsidRPr="009C3E96">
              <w:rPr>
                <w:rFonts w:ascii="Times New Roman" w:eastAsia="NSimSun" w:hAnsi="Times New Roman" w:cs="Lucida Sans"/>
                <w:kern w:val="3"/>
                <w:sz w:val="20"/>
                <w:szCs w:val="20"/>
                <w:lang w:val="en-US" w:eastAsia="zh-CN" w:bidi="hi-IN"/>
              </w:rPr>
              <w:t xml:space="preserve"> the availability of data for use by increasing trust in data intermediaries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by strengthening data-sharing mechanisms across the EU. The instrument </w:t>
            </w:r>
            <w:r w:rsidRPr="009C3E96">
              <w:rPr>
                <w:rFonts w:ascii="Times New Roman" w:eastAsia="NSimSun" w:hAnsi="Times New Roman" w:cs="Lucida Sans"/>
                <w:color w:val="00FFFF"/>
                <w:kern w:val="3"/>
                <w:sz w:val="20"/>
                <w:szCs w:val="20"/>
                <w:shd w:val="clear" w:color="auto" w:fill="FFFF00"/>
                <w:lang w:val="en-US" w:eastAsia="zh-CN" w:bidi="hi-IN"/>
              </w:rPr>
              <w:t>would</w:t>
            </w:r>
            <w:r w:rsidRPr="009C3E96">
              <w:rPr>
                <w:rFonts w:ascii="Times New Roman" w:eastAsia="NSimSun" w:hAnsi="Times New Roman" w:cs="Lucida Sans"/>
                <w:kern w:val="3"/>
                <w:sz w:val="20"/>
                <w:szCs w:val="20"/>
                <w:lang w:val="en-US" w:eastAsia="zh-CN" w:bidi="hi-IN"/>
              </w:rPr>
              <w:t xml:space="preserve"> address the following situations:</w:t>
            </w:r>
          </w:p>
        </w:tc>
      </w:tr>
      <w:tr w:rsidR="00400AF2" w:rsidRPr="009C3E96" w14:paraId="2D4893D3" w14:textId="77777777" w:rsidTr="00045001">
        <w:tc>
          <w:tcPr>
            <w:tcW w:w="3261" w:type="dxa"/>
            <w:tcMar>
              <w:top w:w="28" w:type="dxa"/>
              <w:left w:w="28" w:type="dxa"/>
              <w:bottom w:w="28" w:type="dxa"/>
              <w:right w:w="28" w:type="dxa"/>
            </w:tcMar>
            <w:vAlign w:val="center"/>
          </w:tcPr>
          <w:p w14:paraId="3E03A7C9"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-Making public sector data available for re-use, in situations where such data is subject to rights of others 3 .</w:t>
            </w:r>
          </w:p>
        </w:tc>
      </w:tr>
      <w:tr w:rsidR="00400AF2" w:rsidRPr="009C3E96" w14:paraId="631E1C01" w14:textId="77777777" w:rsidTr="00045001">
        <w:tc>
          <w:tcPr>
            <w:tcW w:w="3261" w:type="dxa"/>
            <w:tcMar>
              <w:top w:w="28" w:type="dxa"/>
              <w:left w:w="28" w:type="dxa"/>
              <w:bottom w:w="28" w:type="dxa"/>
              <w:right w:w="28" w:type="dxa"/>
            </w:tcMar>
            <w:vAlign w:val="center"/>
          </w:tcPr>
          <w:p w14:paraId="545BDC45"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-Sharing of data among businesses, against </w:t>
            </w:r>
            <w:r w:rsidRPr="009C3E96">
              <w:rPr>
                <w:rFonts w:ascii="Times New Roman" w:eastAsia="NSimSun" w:hAnsi="Times New Roman" w:cs="Lucida Sans"/>
                <w:kern w:val="3"/>
                <w:sz w:val="20"/>
                <w:szCs w:val="20"/>
                <w:u w:val="single"/>
                <w:lang w:val="en-US" w:eastAsia="zh-CN" w:bidi="hi-IN"/>
              </w:rPr>
              <w:t>remuneration</w:t>
            </w:r>
            <w:r w:rsidRPr="009C3E96">
              <w:rPr>
                <w:rFonts w:ascii="Times New Roman" w:eastAsia="NSimSun" w:hAnsi="Times New Roman" w:cs="Lucida Sans"/>
                <w:kern w:val="3"/>
                <w:sz w:val="20"/>
                <w:szCs w:val="20"/>
                <w:lang w:val="en-US" w:eastAsia="zh-CN" w:bidi="hi-IN"/>
              </w:rPr>
              <w:t xml:space="preserve"> in any form.</w:t>
            </w:r>
          </w:p>
        </w:tc>
      </w:tr>
      <w:tr w:rsidR="00400AF2" w:rsidRPr="009C3E96" w14:paraId="519B9057" w14:textId="77777777" w:rsidTr="00045001">
        <w:tc>
          <w:tcPr>
            <w:tcW w:w="3261" w:type="dxa"/>
            <w:tcMar>
              <w:top w:w="28" w:type="dxa"/>
              <w:left w:w="28" w:type="dxa"/>
              <w:bottom w:w="28" w:type="dxa"/>
              <w:right w:w="28" w:type="dxa"/>
            </w:tcMar>
            <w:vAlign w:val="center"/>
          </w:tcPr>
          <w:p w14:paraId="1525438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-Allowing personal data to be used with the help of a ‘personal data-sharing intermediary’, designed to help individuals exercise their rights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General Data Protection Regulation (GDPR).</w:t>
            </w:r>
          </w:p>
        </w:tc>
      </w:tr>
      <w:tr w:rsidR="00400AF2" w:rsidRPr="009C3E96" w14:paraId="2B0127AD" w14:textId="77777777" w:rsidTr="00045001">
        <w:tc>
          <w:tcPr>
            <w:tcW w:w="3261" w:type="dxa"/>
            <w:tcMar>
              <w:top w:w="28" w:type="dxa"/>
              <w:left w:w="28" w:type="dxa"/>
              <w:bottom w:w="28" w:type="dxa"/>
              <w:right w:w="28" w:type="dxa"/>
            </w:tcMar>
            <w:vAlign w:val="center"/>
          </w:tcPr>
          <w:p w14:paraId="57FD49B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-Allowing </w:t>
            </w:r>
            <w:r w:rsidRPr="009C3E96">
              <w:rPr>
                <w:rFonts w:ascii="Times New Roman" w:eastAsia="NSimSun" w:hAnsi="Times New Roman" w:cs="Lucida Sans"/>
                <w:kern w:val="3"/>
                <w:sz w:val="20"/>
                <w:szCs w:val="20"/>
                <w:u w:val="single"/>
                <w:lang w:val="en-US" w:eastAsia="zh-CN" w:bidi="hi-IN"/>
              </w:rPr>
              <w:t>data use on altruistic grounds</w:t>
            </w:r>
            <w:r w:rsidRPr="009C3E96">
              <w:rPr>
                <w:rFonts w:ascii="Times New Roman" w:eastAsia="NSimSun" w:hAnsi="Times New Roman" w:cs="Lucida Sans"/>
                <w:kern w:val="3"/>
                <w:sz w:val="20"/>
                <w:szCs w:val="20"/>
                <w:lang w:val="en-US" w:eastAsia="zh-CN" w:bidi="hi-IN"/>
              </w:rPr>
              <w:t>.</w:t>
            </w:r>
          </w:p>
        </w:tc>
      </w:tr>
      <w:tr w:rsidR="00400AF2" w:rsidRPr="009C3E96" w14:paraId="70CF590C" w14:textId="77777777" w:rsidTr="00045001">
        <w:tc>
          <w:tcPr>
            <w:tcW w:w="3261" w:type="dxa"/>
            <w:tcMar>
              <w:top w:w="28" w:type="dxa"/>
              <w:left w:w="28" w:type="dxa"/>
              <w:bottom w:w="28" w:type="dxa"/>
              <w:right w:w="28" w:type="dxa"/>
            </w:tcMar>
            <w:vAlign w:val="center"/>
          </w:tcPr>
          <w:p w14:paraId="665BF4E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•Consistency with existing policy provisions in the policy area</w:t>
            </w:r>
          </w:p>
        </w:tc>
      </w:tr>
      <w:tr w:rsidR="00400AF2" w:rsidRPr="009C3E96" w14:paraId="2CABECC2" w14:textId="77777777" w:rsidTr="00045001">
        <w:tc>
          <w:tcPr>
            <w:tcW w:w="3261" w:type="dxa"/>
            <w:tcMar>
              <w:top w:w="28" w:type="dxa"/>
              <w:left w:w="28" w:type="dxa"/>
              <w:bottom w:w="28" w:type="dxa"/>
              <w:right w:w="28" w:type="dxa"/>
            </w:tcMar>
            <w:vAlign w:val="center"/>
          </w:tcPr>
          <w:p w14:paraId="5D98095C"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current initiative covers different types of data intermediaries, handling </w:t>
            </w:r>
            <w:r w:rsidRPr="009C3E96">
              <w:rPr>
                <w:rFonts w:ascii="Times New Roman" w:eastAsia="NSimSun" w:hAnsi="Times New Roman" w:cs="Lucida Sans"/>
                <w:b/>
                <w:bCs/>
                <w:i/>
                <w:iCs/>
                <w:color w:val="C9211E"/>
                <w:kern w:val="3"/>
                <w:sz w:val="20"/>
                <w:szCs w:val="20"/>
                <w:shd w:val="clear" w:color="auto" w:fill="FFFF00"/>
                <w:lang w:val="en-US" w:eastAsia="zh-CN" w:bidi="hi-IN"/>
              </w:rPr>
              <w:t>both</w:t>
            </w:r>
            <w:r w:rsidRPr="009C3E96">
              <w:rPr>
                <w:rFonts w:ascii="Times New Roman" w:eastAsia="NSimSun" w:hAnsi="Times New Roman" w:cs="Lucida Sans"/>
                <w:kern w:val="3"/>
                <w:sz w:val="20"/>
                <w:szCs w:val="20"/>
                <w:lang w:val="en-US" w:eastAsia="zh-CN" w:bidi="hi-IN"/>
              </w:rPr>
              <w:t xml:space="preserve"> personal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lang w:val="en-US" w:eastAsia="zh-CN" w:bidi="hi-IN"/>
              </w:rPr>
              <w:t xml:space="preserve"> non-personal data. Therefore, the interplay with the legislation on personal data is particularly important. With the General Data Protection Regulation (GDPR) 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ePrivacy Directive 5 , the EU has put in place a solid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trusted legal framework for the protection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 standard for the world.</w:t>
            </w:r>
          </w:p>
        </w:tc>
      </w:tr>
      <w:tr w:rsidR="00400AF2" w:rsidRPr="009C3E96" w14:paraId="44C531EB" w14:textId="77777777" w:rsidTr="00045001">
        <w:tc>
          <w:tcPr>
            <w:tcW w:w="3261" w:type="dxa"/>
            <w:tcMar>
              <w:top w:w="28" w:type="dxa"/>
              <w:left w:w="28" w:type="dxa"/>
              <w:bottom w:w="28" w:type="dxa"/>
              <w:right w:w="28" w:type="dxa"/>
            </w:tcMar>
            <w:vAlign w:val="center"/>
          </w:tcPr>
          <w:p w14:paraId="5AA69C40"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current proposal complements the Directive (EU) 2019/1024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20 June 2019 on open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re-use of public sector information (Open Data Directive) 6 . This proposal addresses data held by public sector bodies that is subject to rights of others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therefore falls outside the scope of this Directive. The proposal has logical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coherent links with the other initiatives announced in the European strategy for data. It aims at facilitating data sharing including by reinforcing trust in data sharing intermediaries that are </w:t>
            </w:r>
            <w:r w:rsidRPr="009C3E96">
              <w:rPr>
                <w:rFonts w:ascii="Times New Roman" w:eastAsia="NSimSun" w:hAnsi="Times New Roman" w:cs="Lucida Sans"/>
                <w:kern w:val="3"/>
                <w:sz w:val="20"/>
                <w:szCs w:val="20"/>
                <w:u w:val="single"/>
                <w:lang w:val="en-US" w:eastAsia="zh-CN" w:bidi="hi-IN"/>
              </w:rPr>
              <w:t>expected</w:t>
            </w:r>
            <w:r w:rsidRPr="009C3E96">
              <w:rPr>
                <w:rFonts w:ascii="Times New Roman" w:eastAsia="NSimSun" w:hAnsi="Times New Roman" w:cs="Lucida Sans"/>
                <w:kern w:val="3"/>
                <w:sz w:val="20"/>
                <w:szCs w:val="20"/>
                <w:lang w:val="en-US" w:eastAsia="zh-CN" w:bidi="hi-IN"/>
              </w:rPr>
              <w:t xml:space="preserve"> to be used in the different data spaces. It does not aim to grant, amend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remove the substantial rights on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data. This type of measures is envisaged for a potential Data Act (2021) 7 .</w:t>
            </w:r>
          </w:p>
        </w:tc>
      </w:tr>
      <w:tr w:rsidR="00400AF2" w:rsidRPr="009C3E96" w14:paraId="42B25C89" w14:textId="77777777" w:rsidTr="00045001">
        <w:tc>
          <w:tcPr>
            <w:tcW w:w="3261" w:type="dxa"/>
            <w:tcMar>
              <w:top w:w="28" w:type="dxa"/>
              <w:left w:w="28" w:type="dxa"/>
              <w:bottom w:w="28" w:type="dxa"/>
              <w:right w:w="28" w:type="dxa"/>
            </w:tcMar>
            <w:vAlign w:val="center"/>
          </w:tcPr>
          <w:p w14:paraId="5C18E913"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instrument draws inspiration from the principles for data management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developed for research data. The FAIR data principles 8 stipulate that such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in principle, be findable, accessible, interoperable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re-usable. </w:t>
            </w:r>
          </w:p>
        </w:tc>
      </w:tr>
      <w:tr w:rsidR="00400AF2" w:rsidRPr="009C3E96" w14:paraId="1CFF300F" w14:textId="77777777" w:rsidTr="00045001">
        <w:tc>
          <w:tcPr>
            <w:tcW w:w="3261" w:type="dxa"/>
            <w:tcMar>
              <w:top w:w="28" w:type="dxa"/>
              <w:left w:w="28" w:type="dxa"/>
              <w:bottom w:w="28" w:type="dxa"/>
              <w:right w:w="28" w:type="dxa"/>
            </w:tcMar>
            <w:vAlign w:val="center"/>
          </w:tcPr>
          <w:p w14:paraId="4F94DD6B"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•Consistency with other Union policies</w:t>
            </w:r>
          </w:p>
        </w:tc>
      </w:tr>
      <w:tr w:rsidR="00400AF2" w:rsidRPr="009C3E96" w14:paraId="24313A6F" w14:textId="77777777" w:rsidTr="00045001">
        <w:tc>
          <w:tcPr>
            <w:tcW w:w="3261" w:type="dxa"/>
            <w:tcMar>
              <w:top w:w="28" w:type="dxa"/>
              <w:left w:w="28" w:type="dxa"/>
              <w:bottom w:w="28" w:type="dxa"/>
              <w:right w:w="28" w:type="dxa"/>
            </w:tcMar>
            <w:vAlign w:val="center"/>
          </w:tcPr>
          <w:p w14:paraId="04E36F4B"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Sector-specific legislation on data access is in place</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b/>
                <w:i/>
                <w:color w:val="00CC33"/>
                <w:kern w:val="3"/>
                <w:sz w:val="20"/>
                <w:szCs w:val="20"/>
                <w:shd w:val="clear" w:color="auto" w:fill="FFFF00"/>
                <w:lang w:val="en-US" w:eastAsia="zh-CN" w:bidi="hi-IN"/>
              </w:rPr>
              <w:t>/or</w:t>
            </w:r>
            <w:r w:rsidRPr="009C3E96">
              <w:rPr>
                <w:rFonts w:ascii="Times New Roman" w:eastAsia="NSimSun" w:hAnsi="Times New Roman" w:cs="Lucida Sans"/>
                <w:b/>
                <w:i/>
                <w:color w:val="FF0000"/>
                <w:kern w:val="3"/>
                <w:sz w:val="20"/>
                <w:szCs w:val="20"/>
                <w:shd w:val="clear" w:color="auto" w:fill="FFFF00"/>
                <w:lang w:val="en-US" w:eastAsia="zh-CN" w:bidi="hi-IN"/>
              </w:rPr>
              <w:t xml:space="preserve"> </w:t>
            </w:r>
            <w:r w:rsidRPr="009C3E96">
              <w:rPr>
                <w:rFonts w:ascii="Times New Roman" w:eastAsia="NSimSun" w:hAnsi="Times New Roman" w:cs="Lucida Sans"/>
                <w:color w:val="000000"/>
                <w:kern w:val="3"/>
                <w:sz w:val="20"/>
                <w:szCs w:val="20"/>
                <w:shd w:val="clear" w:color="auto" w:fill="FFFF00"/>
                <w:lang w:val="en-US" w:eastAsia="zh-CN" w:bidi="hi-IN"/>
              </w:rPr>
              <w:t>under</w:t>
            </w:r>
            <w:r w:rsidRPr="009C3E96">
              <w:rPr>
                <w:rFonts w:ascii="Times New Roman" w:eastAsia="NSimSun" w:hAnsi="Times New Roman" w:cs="Lucida Sans"/>
                <w:kern w:val="3"/>
                <w:sz w:val="20"/>
                <w:szCs w:val="20"/>
                <w:shd w:val="clear" w:color="auto" w:fill="FFFF00"/>
                <w:lang w:val="en-US" w:eastAsia="zh-CN" w:bidi="hi-IN"/>
              </w:rPr>
              <w:t xml:space="preserve"> </w:t>
            </w:r>
            <w:r w:rsidRPr="009C3E96">
              <w:rPr>
                <w:rFonts w:ascii="Times New Roman" w:eastAsia="NSimSun" w:hAnsi="Times New Roman" w:cs="Lucida Sans"/>
                <w:kern w:val="3"/>
                <w:sz w:val="20"/>
                <w:szCs w:val="20"/>
                <w:lang w:val="en-US" w:eastAsia="zh-CN" w:bidi="hi-IN"/>
              </w:rPr>
              <w:t>preparation to address identified market failures in fields such as the automotive industry 9 , payment service providers 10 , smart metering information 11 , electricity network data 12 , intelligent transport systems 13 , environmental information 14 , spatial information 15 ,</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health sector 16 . The current proposal supports the use of data made available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existing rules without altering these rules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creating new sectoral obligations.</w:t>
            </w:r>
          </w:p>
        </w:tc>
      </w:tr>
      <w:tr w:rsidR="00400AF2" w:rsidRPr="009C3E96" w14:paraId="596E03AF" w14:textId="77777777" w:rsidTr="00045001">
        <w:tc>
          <w:tcPr>
            <w:tcW w:w="3261" w:type="dxa"/>
            <w:tcMar>
              <w:top w:w="28" w:type="dxa"/>
              <w:left w:w="28" w:type="dxa"/>
              <w:bottom w:w="28" w:type="dxa"/>
              <w:right w:w="28" w:type="dxa"/>
            </w:tcMar>
            <w:vAlign w:val="center"/>
          </w:tcPr>
          <w:p w14:paraId="0F9B71EB"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Similarly, the proposal is without prejudice to competition law,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is designed in compliance with Articles 101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102 TFEU,</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lang w:val="en-US" w:eastAsia="zh-CN" w:bidi="hi-IN"/>
              </w:rPr>
              <w:t xml:space="preserve"> it is also without prejudice to the provisions of Directive 2000/31/EC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8 June 2000 on certain legal aspects of information society services, </w:t>
            </w:r>
            <w:r w:rsidRPr="009C3E96">
              <w:rPr>
                <w:rFonts w:ascii="Times New Roman" w:eastAsia="NSimSun" w:hAnsi="Times New Roman" w:cs="Lucida Sans"/>
                <w:kern w:val="3"/>
                <w:sz w:val="20"/>
                <w:szCs w:val="20"/>
                <w:shd w:val="clear" w:color="auto" w:fill="FFFF00"/>
                <w:lang w:val="en-US" w:eastAsia="zh-CN" w:bidi="hi-IN"/>
              </w:rPr>
              <w:t xml:space="preserve">in particular </w:t>
            </w:r>
            <w:r w:rsidRPr="009C3E96">
              <w:rPr>
                <w:rFonts w:ascii="Times New Roman" w:eastAsia="NSimSun" w:hAnsi="Times New Roman" w:cs="Lucida Sans"/>
                <w:kern w:val="3"/>
                <w:sz w:val="20"/>
                <w:szCs w:val="20"/>
                <w:lang w:val="en-US" w:eastAsia="zh-CN" w:bidi="hi-IN"/>
              </w:rPr>
              <w:t>electronic commerce, in the internal market 17 .</w:t>
            </w:r>
          </w:p>
        </w:tc>
      </w:tr>
      <w:tr w:rsidR="00400AF2" w:rsidRPr="009C3E96" w14:paraId="7483B5FA" w14:textId="77777777" w:rsidTr="00045001">
        <w:tc>
          <w:tcPr>
            <w:tcW w:w="3261" w:type="dxa"/>
            <w:tcMar>
              <w:top w:w="28" w:type="dxa"/>
              <w:left w:w="28" w:type="dxa"/>
              <w:bottom w:w="28" w:type="dxa"/>
              <w:right w:w="28" w:type="dxa"/>
            </w:tcMar>
            <w:vAlign w:val="center"/>
          </w:tcPr>
          <w:p w14:paraId="6C903D11"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2.LEGAL BASIS, SUBSIDIARITY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PROPORTIONALITY</w:t>
            </w:r>
          </w:p>
        </w:tc>
      </w:tr>
      <w:tr w:rsidR="00400AF2" w:rsidRPr="009C3E96" w14:paraId="38BBC21B" w14:textId="77777777" w:rsidTr="00045001">
        <w:tc>
          <w:tcPr>
            <w:tcW w:w="3261" w:type="dxa"/>
            <w:tcMar>
              <w:top w:w="28" w:type="dxa"/>
              <w:left w:w="28" w:type="dxa"/>
              <w:bottom w:w="28" w:type="dxa"/>
              <w:right w:w="28" w:type="dxa"/>
            </w:tcMar>
            <w:vAlign w:val="center"/>
          </w:tcPr>
          <w:p w14:paraId="7BE91AF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Legal basis</w:t>
            </w:r>
          </w:p>
        </w:tc>
      </w:tr>
      <w:tr w:rsidR="00400AF2" w:rsidRPr="009C3E96" w14:paraId="5911BECE" w14:textId="77777777" w:rsidTr="00045001">
        <w:tc>
          <w:tcPr>
            <w:tcW w:w="3261" w:type="dxa"/>
            <w:tcMar>
              <w:top w:w="28" w:type="dxa"/>
              <w:left w:w="28" w:type="dxa"/>
              <w:bottom w:w="28" w:type="dxa"/>
              <w:right w:w="28" w:type="dxa"/>
            </w:tcMar>
            <w:vAlign w:val="center"/>
          </w:tcPr>
          <w:p w14:paraId="161259F5"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Article 114 of the Treaty on the Functioning of the European Union (TFEU) is identified as the relevant legal basis for this Regulation. Pursuant to this Article, the EU has to adopt measures for the approximation of the provisions laid down by </w:t>
            </w:r>
            <w:r w:rsidRPr="009C3E96">
              <w:rPr>
                <w:rFonts w:ascii="Times New Roman" w:eastAsia="NSimSun" w:hAnsi="Times New Roman" w:cs="Lucida Sans"/>
                <w:kern w:val="3"/>
                <w:sz w:val="20"/>
                <w:szCs w:val="20"/>
                <w:shd w:val="clear" w:color="auto" w:fill="FFFF00"/>
                <w:lang w:val="en-US" w:eastAsia="zh-CN" w:bidi="hi-IN"/>
              </w:rPr>
              <w:t>law, regulation</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administrative action</w:t>
            </w:r>
            <w:r w:rsidRPr="009C3E96">
              <w:rPr>
                <w:rFonts w:ascii="Times New Roman" w:eastAsia="NSimSun" w:hAnsi="Times New Roman" w:cs="Lucida Sans"/>
                <w:kern w:val="3"/>
                <w:sz w:val="20"/>
                <w:szCs w:val="20"/>
                <w:lang w:val="en-US" w:eastAsia="zh-CN" w:bidi="hi-IN"/>
              </w:rPr>
              <w:t xml:space="preserve"> in Member States which have as their object the establishment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functioning of the internal market in the EU. This initiative is part of the 2020 European strategy for data that aims to strengthen the single market for data. With a growing digitalisation of the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society, there is a risk that Member States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increasingly legislate data-related issues in an uncoordinated way, which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intensify fragmentation in the single market. Setting up the governance structures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mechanisms that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create a coordinated approach to using data across sectors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Member States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help stakeholders in the data economy to capitalise on </w:t>
            </w:r>
            <w:r w:rsidRPr="009C3E96">
              <w:rPr>
                <w:rFonts w:ascii="Times New Roman" w:eastAsia="NSimSun" w:hAnsi="Times New Roman" w:cs="Lucida Sans"/>
                <w:kern w:val="3"/>
                <w:sz w:val="20"/>
                <w:szCs w:val="20"/>
                <w:lang w:val="en-US" w:eastAsia="zh-CN" w:bidi="hi-IN"/>
              </w:rPr>
              <w:lastRenderedPageBreak/>
              <w:t xml:space="preserve">the scale of the single market. It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contribute towards the establishment of the single market for data, by ensuring the emergence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cross-border functioning of novel services through a set of harmonised provisions.</w:t>
            </w:r>
          </w:p>
        </w:tc>
      </w:tr>
      <w:tr w:rsidR="00400AF2" w:rsidRPr="009C3E96" w14:paraId="426CFA6F" w14:textId="77777777" w:rsidTr="00045001">
        <w:tc>
          <w:tcPr>
            <w:tcW w:w="3261" w:type="dxa"/>
            <w:tcMar>
              <w:top w:w="28" w:type="dxa"/>
              <w:left w:w="28" w:type="dxa"/>
              <w:bottom w:w="28" w:type="dxa"/>
              <w:right w:w="28" w:type="dxa"/>
            </w:tcMar>
            <w:vAlign w:val="center"/>
          </w:tcPr>
          <w:p w14:paraId="18D1C486"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Digital policies are a shared competence between the EU</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its Member States. Article 4(2)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(3) of the TFEU specifies that, in the area of the single market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technological development, the EU</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carry out specific activities, without prejudice to the Member States’ freedom to act in the same areas.</w:t>
            </w:r>
          </w:p>
        </w:tc>
      </w:tr>
      <w:tr w:rsidR="00400AF2" w:rsidRPr="009C3E96" w14:paraId="75148CCB" w14:textId="77777777" w:rsidTr="00045001">
        <w:tc>
          <w:tcPr>
            <w:tcW w:w="3261" w:type="dxa"/>
            <w:tcMar>
              <w:top w:w="28" w:type="dxa"/>
              <w:left w:w="28" w:type="dxa"/>
              <w:bottom w:w="28" w:type="dxa"/>
              <w:right w:w="28" w:type="dxa"/>
            </w:tcMar>
            <w:vAlign w:val="center"/>
          </w:tcPr>
          <w:p w14:paraId="69D03F2D"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•Subsidiarity (for non-exclusive competence)</w:t>
            </w:r>
          </w:p>
        </w:tc>
      </w:tr>
      <w:tr w:rsidR="00400AF2" w:rsidRPr="009C3E96" w14:paraId="754EE9F0" w14:textId="77777777" w:rsidTr="00045001">
        <w:tc>
          <w:tcPr>
            <w:tcW w:w="3261" w:type="dxa"/>
            <w:tcMar>
              <w:top w:w="28" w:type="dxa"/>
              <w:left w:w="28" w:type="dxa"/>
              <w:bottom w:w="28" w:type="dxa"/>
              <w:right w:w="28" w:type="dxa"/>
            </w:tcMar>
            <w:vAlign w:val="center"/>
          </w:tcPr>
          <w:p w14:paraId="306A33B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Businesses often need data from several Member States so they</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develop EU-wide products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services, as data samples available in individual Member States often do not have the richness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diversity allowing ‘Big Data’ pattern detection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machine learning. In addition, data-based products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services developed in one Member State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need to be customised to suit the preferences of customers in another Member State,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this </w:t>
            </w:r>
            <w:r w:rsidRPr="009C3E96">
              <w:rPr>
                <w:rFonts w:ascii="Times New Roman" w:eastAsia="NSimSun" w:hAnsi="Times New Roman" w:cs="Lucida Sans"/>
                <w:kern w:val="3"/>
                <w:sz w:val="20"/>
                <w:szCs w:val="20"/>
                <w:lang w:val="en-US" w:eastAsia="zh-CN" w:bidi="hi-IN"/>
              </w:rPr>
              <w:t xml:space="preserve">requires local data on the Member States’ level. As such, data </w:t>
            </w:r>
            <w:r w:rsidRPr="009C3E96">
              <w:rPr>
                <w:rFonts w:ascii="Times New Roman" w:eastAsia="NSimSun" w:hAnsi="Times New Roman" w:cs="Lucida Sans"/>
                <w:color w:val="00FFFF"/>
                <w:kern w:val="3"/>
                <w:sz w:val="20"/>
                <w:szCs w:val="20"/>
                <w:lang w:val="en-US" w:eastAsia="zh-CN" w:bidi="hi-IN"/>
              </w:rPr>
              <w:t>needs</w:t>
            </w:r>
            <w:r w:rsidRPr="009C3E96">
              <w:rPr>
                <w:rFonts w:ascii="Times New Roman" w:eastAsia="NSimSun" w:hAnsi="Times New Roman" w:cs="Lucida Sans"/>
                <w:kern w:val="3"/>
                <w:sz w:val="20"/>
                <w:szCs w:val="20"/>
                <w:lang w:val="en-US" w:eastAsia="zh-CN" w:bidi="hi-IN"/>
              </w:rPr>
              <w:t xml:space="preserve"> to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flow easily through EU-wide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u w:val="single"/>
                <w:lang w:val="en-US" w:eastAsia="zh-CN" w:bidi="hi-IN"/>
              </w:rPr>
              <w:t>cross-sector value chains</w:t>
            </w:r>
            <w:r w:rsidRPr="009C3E96">
              <w:rPr>
                <w:rFonts w:ascii="Times New Roman" w:eastAsia="NSimSun" w:hAnsi="Times New Roman" w:cs="Lucida Sans"/>
                <w:kern w:val="3"/>
                <w:sz w:val="20"/>
                <w:szCs w:val="20"/>
                <w:lang w:val="en-US" w:eastAsia="zh-CN" w:bidi="hi-IN"/>
              </w:rPr>
              <w:t>, for which a highly harmonised legislative environment is essential. Furthermore, only action at Union level</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ensure that a European model of data sharing, with trusted data intermediaries for </w:t>
            </w:r>
            <w:r w:rsidRPr="009C3E96">
              <w:rPr>
                <w:rFonts w:ascii="Times New Roman" w:eastAsia="NSimSun" w:hAnsi="Times New Roman" w:cs="Lucida Sans"/>
                <w:kern w:val="3"/>
                <w:sz w:val="20"/>
                <w:szCs w:val="20"/>
                <w:u w:val="single"/>
                <w:lang w:val="en-US" w:eastAsia="zh-CN" w:bidi="hi-IN"/>
              </w:rPr>
              <w:t>B2B</w:t>
            </w:r>
            <w:r w:rsidRPr="009C3E96">
              <w:rPr>
                <w:rFonts w:ascii="Times New Roman" w:eastAsia="NSimSun" w:hAnsi="Times New Roman" w:cs="Lucida Sans"/>
                <w:kern w:val="3"/>
                <w:sz w:val="20"/>
                <w:szCs w:val="20"/>
                <w:lang w:val="en-US" w:eastAsia="zh-CN" w:bidi="hi-IN"/>
              </w:rPr>
              <w:t xml:space="preserve">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personal data spaces, takes off, given the cross-border nature of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importance of such data sharing.</w:t>
            </w:r>
          </w:p>
        </w:tc>
      </w:tr>
      <w:tr w:rsidR="00400AF2" w:rsidRPr="009C3E96" w14:paraId="75894E7D" w14:textId="77777777" w:rsidTr="00045001">
        <w:tc>
          <w:tcPr>
            <w:tcW w:w="3261" w:type="dxa"/>
            <w:tcMar>
              <w:top w:w="28" w:type="dxa"/>
              <w:left w:w="28" w:type="dxa"/>
              <w:bottom w:w="28" w:type="dxa"/>
              <w:right w:w="28" w:type="dxa"/>
            </w:tcMar>
            <w:vAlign w:val="center"/>
          </w:tcPr>
          <w:p w14:paraId="6F71A30E"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 </w:t>
            </w:r>
            <w:r w:rsidRPr="009C3E96">
              <w:rPr>
                <w:rFonts w:ascii="Times New Roman" w:eastAsia="NSimSun" w:hAnsi="Times New Roman" w:cs="Lucida Sans"/>
                <w:kern w:val="3"/>
                <w:sz w:val="20"/>
                <w:szCs w:val="20"/>
                <w:u w:val="single"/>
                <w:lang w:val="en-US" w:eastAsia="zh-CN" w:bidi="hi-IN"/>
              </w:rPr>
              <w:t xml:space="preserve">single market </w:t>
            </w:r>
            <w:r w:rsidRPr="009C3E96">
              <w:rPr>
                <w:rFonts w:ascii="Times New Roman" w:eastAsia="NSimSun" w:hAnsi="Times New Roman" w:cs="Lucida Sans"/>
                <w:kern w:val="3"/>
                <w:sz w:val="20"/>
                <w:szCs w:val="20"/>
                <w:lang w:val="en-US" w:eastAsia="zh-CN" w:bidi="hi-IN"/>
              </w:rPr>
              <w:t xml:space="preserve">for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ensure that data from the public sector, businesses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citizens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accessed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used in the most effective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responsible manner possible, while businesses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citizens keep control of the data they generate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investments made into their collection are safeguarded. Increased access to data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have as a result that companies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research organisations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advance representative scientific developments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market innovation in the EU as a whole, which is particularly important in situations where EU coordinated action is necessary, such as the COVID-19 crisis.</w:t>
            </w:r>
          </w:p>
        </w:tc>
      </w:tr>
      <w:tr w:rsidR="00400AF2" w:rsidRPr="009C3E96" w14:paraId="018A2B8D" w14:textId="77777777" w:rsidTr="00045001">
        <w:tc>
          <w:tcPr>
            <w:tcW w:w="3261" w:type="dxa"/>
            <w:tcMar>
              <w:top w:w="28" w:type="dxa"/>
              <w:left w:w="28" w:type="dxa"/>
              <w:bottom w:w="28" w:type="dxa"/>
              <w:right w:w="28" w:type="dxa"/>
            </w:tcMar>
            <w:vAlign w:val="center"/>
          </w:tcPr>
          <w:p w14:paraId="2F94FBBC"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Proportionality</w:t>
            </w:r>
          </w:p>
        </w:tc>
      </w:tr>
      <w:tr w:rsidR="00400AF2" w:rsidRPr="009C3E96" w14:paraId="457B2A5A" w14:textId="77777777" w:rsidTr="00045001">
        <w:tc>
          <w:tcPr>
            <w:tcW w:w="3261" w:type="dxa"/>
            <w:tcMar>
              <w:top w:w="28" w:type="dxa"/>
              <w:left w:w="28" w:type="dxa"/>
              <w:bottom w:w="28" w:type="dxa"/>
              <w:right w:w="28" w:type="dxa"/>
            </w:tcMar>
            <w:vAlign w:val="center"/>
          </w:tcPr>
          <w:p w14:paraId="2CB561F1"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initiative is proportionate to the objectives sought. The proposed legislation creates an </w:t>
            </w:r>
            <w:r w:rsidRPr="009C3E96">
              <w:rPr>
                <w:rFonts w:ascii="Times New Roman" w:eastAsia="NSimSun" w:hAnsi="Times New Roman" w:cs="Lucida Sans"/>
                <w:kern w:val="3"/>
                <w:sz w:val="20"/>
                <w:szCs w:val="20"/>
                <w:u w:val="single"/>
                <w:lang w:val="en-US" w:eastAsia="zh-CN" w:bidi="hi-IN"/>
              </w:rPr>
              <w:t>enabling framework</w:t>
            </w:r>
            <w:r w:rsidRPr="009C3E96">
              <w:rPr>
                <w:rFonts w:ascii="Times New Roman" w:eastAsia="NSimSun" w:hAnsi="Times New Roman" w:cs="Lucida Sans"/>
                <w:kern w:val="3"/>
                <w:sz w:val="20"/>
                <w:szCs w:val="20"/>
                <w:lang w:val="en-US" w:eastAsia="zh-CN" w:bidi="hi-IN"/>
              </w:rPr>
              <w:t xml:space="preserve"> that does not go beyond what is necessary to achieve the objectives. It harmonises a series of data-sharing practices, while respecting the Member States’ prerogative to organise their administration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legislate on access to public sector information. The notification framework for data intermediaries,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mechanisms for data altruism</w:t>
            </w:r>
            <w:r w:rsidRPr="009C3E96">
              <w:rPr>
                <w:rFonts w:ascii="Times New Roman" w:eastAsia="NSimSun" w:hAnsi="Times New Roman" w:cs="Lucida Sans"/>
                <w:kern w:val="3"/>
                <w:sz w:val="20"/>
                <w:szCs w:val="20"/>
                <w:lang w:val="en-US" w:eastAsia="zh-CN" w:bidi="hi-IN"/>
              </w:rPr>
              <w:t xml:space="preserve"> serve to attain a higher level of trust in these services, without unnecessarily restricting these activities,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help develop an internal market for the exchange of such data. The initiative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also leave a significant amount of flexibility for application at sector-specific level, including for the future development of European data spaces.</w:t>
            </w:r>
          </w:p>
        </w:tc>
      </w:tr>
      <w:tr w:rsidR="00400AF2" w:rsidRPr="009C3E96" w14:paraId="2CB85227" w14:textId="77777777" w:rsidTr="00045001">
        <w:tc>
          <w:tcPr>
            <w:tcW w:w="3261" w:type="dxa"/>
            <w:tcMar>
              <w:top w:w="28" w:type="dxa"/>
              <w:left w:w="28" w:type="dxa"/>
              <w:bottom w:w="28" w:type="dxa"/>
              <w:right w:w="28" w:type="dxa"/>
            </w:tcMar>
            <w:vAlign w:val="center"/>
          </w:tcPr>
          <w:p w14:paraId="21148ED5"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proposed Regulation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give rise to financial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administrative costs, which are to be borne mainly by national authorities, while some costs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also burden data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sharing providers in order to ensure compliance with the obligations set in this Regulation. However, the exploration of different options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expected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benefits led to a balanced design of the instrument. It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leave national authorities enough </w:t>
            </w:r>
            <w:r w:rsidRPr="009C3E96">
              <w:rPr>
                <w:rFonts w:ascii="Times New Roman" w:eastAsia="NSimSun" w:hAnsi="Times New Roman" w:cs="Lucida Sans"/>
                <w:kern w:val="3"/>
                <w:sz w:val="20"/>
                <w:szCs w:val="20"/>
                <w:u w:val="single"/>
                <w:lang w:val="en-US" w:eastAsia="zh-CN" w:bidi="hi-IN"/>
              </w:rPr>
              <w:t>flexibility</w:t>
            </w:r>
            <w:r w:rsidRPr="009C3E96">
              <w:rPr>
                <w:rFonts w:ascii="Times New Roman" w:eastAsia="NSimSun" w:hAnsi="Times New Roman" w:cs="Lucida Sans"/>
                <w:kern w:val="3"/>
                <w:sz w:val="20"/>
                <w:szCs w:val="20"/>
                <w:lang w:val="en-US" w:eastAsia="zh-CN" w:bidi="hi-IN"/>
              </w:rPr>
              <w:t xml:space="preserve"> to decide on the level of financial investment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consider possibilities to recover such costs through administrative charges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fees, while offering overall coordination at EU level. Similarly, the costs to data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sharing providers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counterbalanced by the value emanating from broader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market uptake of novel services.</w:t>
            </w:r>
          </w:p>
        </w:tc>
      </w:tr>
      <w:tr w:rsidR="00400AF2" w:rsidRPr="009C3E96" w14:paraId="156C7713" w14:textId="77777777" w:rsidTr="00045001">
        <w:tc>
          <w:tcPr>
            <w:tcW w:w="3261" w:type="dxa"/>
            <w:tcMar>
              <w:top w:w="28" w:type="dxa"/>
              <w:left w:w="28" w:type="dxa"/>
              <w:bottom w:w="28" w:type="dxa"/>
              <w:right w:w="28" w:type="dxa"/>
            </w:tcMar>
            <w:vAlign w:val="center"/>
          </w:tcPr>
          <w:p w14:paraId="363474AA"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Choice of the instrument</w:t>
            </w:r>
          </w:p>
        </w:tc>
      </w:tr>
      <w:tr w:rsidR="00400AF2" w:rsidRPr="009C3E96" w14:paraId="708483C4" w14:textId="77777777" w:rsidTr="00045001">
        <w:tc>
          <w:tcPr>
            <w:tcW w:w="3261" w:type="dxa"/>
            <w:tcMar>
              <w:top w:w="28" w:type="dxa"/>
              <w:left w:w="28" w:type="dxa"/>
              <w:bottom w:w="28" w:type="dxa"/>
              <w:right w:w="28" w:type="dxa"/>
            </w:tcMar>
            <w:vAlign w:val="center"/>
          </w:tcPr>
          <w:p w14:paraId="7D20DB2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choice of a regulation as the legal instrument is justified by the predominance of elements that require a uniform application that does not leave margins of implementation to the Member States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that creates a fully horizontal framework. These elements include the notification for data sharing service providers, the mechanisms for data altruism, the basic principles that apply to the re-use of public sector data that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available as open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are not subject to sector-specific EU legislation,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set-up of coordination structures at European level. The direct applicability of the Regulation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avoid an implementation period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process for the Member States, enabling at the same time the establishment of the common European data spaces in the near future, in line with the EU recovery plan. 18</w:t>
            </w:r>
          </w:p>
        </w:tc>
      </w:tr>
      <w:tr w:rsidR="00400AF2" w:rsidRPr="009C3E96" w14:paraId="2B405DD8" w14:textId="77777777" w:rsidTr="00045001">
        <w:tc>
          <w:tcPr>
            <w:tcW w:w="3261" w:type="dxa"/>
            <w:tcMar>
              <w:top w:w="28" w:type="dxa"/>
              <w:left w:w="28" w:type="dxa"/>
              <w:bottom w:w="28" w:type="dxa"/>
              <w:right w:w="28" w:type="dxa"/>
            </w:tcMar>
            <w:vAlign w:val="center"/>
          </w:tcPr>
          <w:p w14:paraId="26BFE85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 the same time, the provisions of the Regulation are not overly prescriptive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leave room for different levels of Member State action for elements that do not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mine the objectives of the initiative, in particular the organisation of the competent </w:t>
            </w:r>
            <w:r w:rsidRPr="009C3E96">
              <w:rPr>
                <w:rFonts w:ascii="Times New Roman" w:eastAsia="NSimSun" w:hAnsi="Times New Roman" w:cs="Lucida Sans"/>
                <w:kern w:val="3"/>
                <w:sz w:val="20"/>
                <w:szCs w:val="20"/>
                <w:shd w:val="clear" w:color="auto" w:fill="FFFF00"/>
                <w:lang w:val="en-US" w:eastAsia="zh-CN" w:bidi="hi-IN"/>
              </w:rPr>
              <w:t>bodies</w:t>
            </w:r>
            <w:r w:rsidRPr="009C3E96">
              <w:rPr>
                <w:rFonts w:ascii="Times New Roman" w:eastAsia="NSimSun" w:hAnsi="Times New Roman" w:cs="Lucida Sans"/>
                <w:kern w:val="3"/>
                <w:sz w:val="20"/>
                <w:szCs w:val="20"/>
                <w:lang w:val="en-US" w:eastAsia="zh-CN" w:bidi="hi-IN"/>
              </w:rPr>
              <w:t xml:space="preserve"> supporting public sector </w:t>
            </w:r>
            <w:r w:rsidRPr="009C3E96">
              <w:rPr>
                <w:rFonts w:ascii="Times New Roman" w:eastAsia="NSimSun" w:hAnsi="Times New Roman" w:cs="Lucida Sans"/>
                <w:kern w:val="3"/>
                <w:sz w:val="20"/>
                <w:szCs w:val="20"/>
                <w:shd w:val="clear" w:color="auto" w:fill="FFFF00"/>
                <w:lang w:val="en-US" w:eastAsia="zh-CN" w:bidi="hi-IN"/>
              </w:rPr>
              <w:t>bodies</w:t>
            </w:r>
            <w:r w:rsidRPr="009C3E96">
              <w:rPr>
                <w:rFonts w:ascii="Times New Roman" w:eastAsia="NSimSun" w:hAnsi="Times New Roman" w:cs="Lucida Sans"/>
                <w:kern w:val="3"/>
                <w:sz w:val="20"/>
                <w:szCs w:val="20"/>
                <w:lang w:val="en-US" w:eastAsia="zh-CN" w:bidi="hi-IN"/>
              </w:rPr>
              <w:t xml:space="preserve"> with their tasks relating to the re-use of certain categories of public sector data.</w:t>
            </w:r>
          </w:p>
        </w:tc>
      </w:tr>
      <w:tr w:rsidR="00400AF2" w:rsidRPr="009C3E96" w14:paraId="0A61CF68" w14:textId="77777777" w:rsidTr="00045001">
        <w:tc>
          <w:tcPr>
            <w:tcW w:w="3261" w:type="dxa"/>
            <w:tcMar>
              <w:top w:w="28" w:type="dxa"/>
              <w:left w:w="28" w:type="dxa"/>
              <w:bottom w:w="28" w:type="dxa"/>
              <w:right w:w="28" w:type="dxa"/>
            </w:tcMar>
            <w:vAlign w:val="center"/>
          </w:tcPr>
          <w:p w14:paraId="5F5CE8F4"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3.RESULTS OF </w:t>
            </w:r>
            <w:r w:rsidRPr="009C3E96">
              <w:rPr>
                <w:rFonts w:ascii="Times New Roman" w:eastAsia="NSimSun" w:hAnsi="Times New Roman" w:cs="Lucida Sans"/>
                <w:kern w:val="3"/>
                <w:sz w:val="20"/>
                <w:szCs w:val="20"/>
                <w:shd w:val="clear" w:color="auto" w:fill="FFFF00"/>
                <w:lang w:val="en-US" w:eastAsia="zh-CN" w:bidi="hi-IN"/>
              </w:rPr>
              <w:t>EX-POST</w:t>
            </w:r>
            <w:r w:rsidRPr="009C3E96">
              <w:rPr>
                <w:rFonts w:ascii="Times New Roman" w:eastAsia="NSimSun" w:hAnsi="Times New Roman" w:cs="Lucida Sans"/>
                <w:kern w:val="3"/>
                <w:sz w:val="20"/>
                <w:szCs w:val="20"/>
                <w:lang w:val="en-US" w:eastAsia="zh-CN" w:bidi="hi-IN"/>
              </w:rPr>
              <w:t xml:space="preserve"> EVALUATIONS, STAKEHOLDER CONSULTATIONS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IMPACT ASSESSMENTS</w:t>
            </w:r>
          </w:p>
        </w:tc>
      </w:tr>
      <w:tr w:rsidR="00400AF2" w:rsidRPr="009C3E96" w14:paraId="743F283E" w14:textId="77777777" w:rsidTr="00045001">
        <w:tc>
          <w:tcPr>
            <w:tcW w:w="3261" w:type="dxa"/>
            <w:tcMar>
              <w:top w:w="28" w:type="dxa"/>
              <w:left w:w="28" w:type="dxa"/>
              <w:bottom w:w="28" w:type="dxa"/>
              <w:right w:w="28" w:type="dxa"/>
            </w:tcMar>
            <w:vAlign w:val="center"/>
          </w:tcPr>
          <w:p w14:paraId="655E786F"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Stakeholder consultations</w:t>
            </w:r>
          </w:p>
        </w:tc>
      </w:tr>
      <w:tr w:rsidR="00400AF2" w:rsidRPr="009C3E96" w14:paraId="7C4B3EB2" w14:textId="77777777" w:rsidTr="00045001">
        <w:tc>
          <w:tcPr>
            <w:tcW w:w="3261" w:type="dxa"/>
            <w:tcMar>
              <w:top w:w="28" w:type="dxa"/>
              <w:left w:w="28" w:type="dxa"/>
              <w:bottom w:w="28" w:type="dxa"/>
              <w:right w:w="28" w:type="dxa"/>
            </w:tcMar>
            <w:vAlign w:val="center"/>
          </w:tcPr>
          <w:p w14:paraId="35F7BE45"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An online public consultation was launched on 19 February 2020 on the day the European strategy for data 19 was adopted,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was closed on 31 May 2020. The consultation explicitly indicated it was launched </w:t>
            </w:r>
            <w:r w:rsidRPr="009C3E96">
              <w:rPr>
                <w:rFonts w:ascii="Times New Roman" w:eastAsia="NSimSun" w:hAnsi="Times New Roman" w:cs="Lucida Sans"/>
                <w:kern w:val="3"/>
                <w:sz w:val="20"/>
                <w:szCs w:val="20"/>
                <w:u w:val="single"/>
                <w:lang w:val="en-US" w:eastAsia="zh-CN" w:bidi="hi-IN"/>
              </w:rPr>
              <w:t>in order to</w:t>
            </w:r>
            <w:r w:rsidRPr="009C3E96">
              <w:rPr>
                <w:rFonts w:ascii="Times New Roman" w:eastAsia="NSimSun" w:hAnsi="Times New Roman" w:cs="Lucida Sans"/>
                <w:kern w:val="3"/>
                <w:sz w:val="20"/>
                <w:szCs w:val="20"/>
                <w:lang w:val="en-US" w:eastAsia="zh-CN" w:bidi="hi-IN"/>
              </w:rPr>
              <w:t xml:space="preserve"> prepare the current initiative,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addressed the items covered in the initiative with relevant sections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questions. It targeted all types of stakeholders.</w:t>
            </w:r>
          </w:p>
        </w:tc>
      </w:tr>
      <w:tr w:rsidR="00400AF2" w:rsidRPr="009C3E96" w14:paraId="401EF5CF" w14:textId="77777777" w:rsidTr="00045001">
        <w:tc>
          <w:tcPr>
            <w:tcW w:w="3261" w:type="dxa"/>
            <w:tcMar>
              <w:top w:w="28" w:type="dxa"/>
              <w:left w:w="28" w:type="dxa"/>
              <w:bottom w:w="28" w:type="dxa"/>
              <w:right w:w="28" w:type="dxa"/>
            </w:tcMar>
            <w:vAlign w:val="center"/>
          </w:tcPr>
          <w:p w14:paraId="6DB12680"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In total, the Commission received 806 contributions, of which 219 were from a company, 119 from a business association, 201 from EU citizens, 98 from academic / research institutions,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57 from public authorities. Consumers’ voices were represented by 7 respondents,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54 respondents were non-governmental organisations (including 2 environmental organisations). Among the 219 companies / business organisations, 43.4% were SMEs. Overall, 92.2% of the replies came from the EU-27. Very few respondents indicated whether their organisation had a local, regional, </w:t>
            </w:r>
            <w:r w:rsidRPr="009C3E96">
              <w:rPr>
                <w:rFonts w:ascii="Times New Roman" w:eastAsia="NSimSun" w:hAnsi="Times New Roman" w:cs="Lucida Sans"/>
                <w:kern w:val="3"/>
                <w:sz w:val="20"/>
                <w:szCs w:val="20"/>
                <w:lang w:val="en-US" w:eastAsia="zh-CN" w:bidi="hi-IN"/>
              </w:rPr>
              <w:lastRenderedPageBreak/>
              <w:t>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international scope.</w:t>
            </w:r>
          </w:p>
        </w:tc>
      </w:tr>
      <w:tr w:rsidR="00400AF2" w:rsidRPr="009C3E96" w14:paraId="7BBAAC21" w14:textId="77777777" w:rsidTr="00045001">
        <w:tc>
          <w:tcPr>
            <w:tcW w:w="3261" w:type="dxa"/>
            <w:tcMar>
              <w:top w:w="28" w:type="dxa"/>
              <w:left w:w="28" w:type="dxa"/>
              <w:bottom w:w="28" w:type="dxa"/>
              <w:right w:w="28" w:type="dxa"/>
            </w:tcMar>
            <w:vAlign w:val="center"/>
          </w:tcPr>
          <w:p w14:paraId="7EC8E30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230 position papers were submitted, </w:t>
            </w:r>
            <w:r w:rsidRPr="009C3E96">
              <w:rPr>
                <w:rFonts w:ascii="Times New Roman" w:eastAsia="NSimSun" w:hAnsi="Times New Roman" w:cs="Lucida Sans"/>
                <w:b/>
                <w:bCs/>
                <w:i/>
                <w:iCs/>
                <w:color w:val="009900"/>
                <w:kern w:val="3"/>
                <w:sz w:val="20"/>
                <w:szCs w:val="20"/>
                <w:lang w:val="en-US" w:eastAsia="zh-CN" w:bidi="hi-IN"/>
              </w:rPr>
              <w:t>either</w:t>
            </w:r>
            <w:r w:rsidRPr="009C3E96">
              <w:rPr>
                <w:rFonts w:ascii="Times New Roman" w:eastAsia="NSimSun" w:hAnsi="Times New Roman" w:cs="Lucida Sans"/>
                <w:kern w:val="3"/>
                <w:sz w:val="20"/>
                <w:szCs w:val="20"/>
                <w:lang w:val="en-US" w:eastAsia="zh-CN" w:bidi="hi-IN"/>
              </w:rPr>
              <w:t xml:space="preserve"> attached to questionnaire answers (210)</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as </w:t>
            </w:r>
            <w:r w:rsidRPr="009C3E96">
              <w:rPr>
                <w:rFonts w:ascii="Times New Roman" w:eastAsia="NSimSun" w:hAnsi="Times New Roman" w:cs="Lucida Sans"/>
                <w:kern w:val="3"/>
                <w:sz w:val="20"/>
                <w:szCs w:val="20"/>
                <w:u w:val="single"/>
                <w:lang w:val="en-US" w:eastAsia="zh-CN" w:bidi="hi-IN"/>
              </w:rPr>
              <w:t>stand-alone</w:t>
            </w:r>
            <w:r w:rsidRPr="009C3E96">
              <w:rPr>
                <w:rFonts w:ascii="Times New Roman" w:eastAsia="NSimSun" w:hAnsi="Times New Roman" w:cs="Lucida Sans"/>
                <w:kern w:val="3"/>
                <w:sz w:val="20"/>
                <w:szCs w:val="20"/>
                <w:lang w:val="en-US" w:eastAsia="zh-CN" w:bidi="hi-IN"/>
              </w:rPr>
              <w:t xml:space="preserve"> contributions (20). The papers provided different views on the topics covered by the online questionnaire, in particular in relation to the </w:t>
            </w:r>
            <w:r w:rsidRPr="009C3E96">
              <w:rPr>
                <w:rFonts w:ascii="Times New Roman" w:eastAsia="NSimSun" w:hAnsi="Times New Roman" w:cs="Lucida Sans"/>
                <w:kern w:val="3"/>
                <w:sz w:val="20"/>
                <w:szCs w:val="20"/>
                <w:u w:val="single"/>
                <w:lang w:val="en-US" w:eastAsia="zh-CN" w:bidi="hi-IN"/>
              </w:rPr>
              <w:t>governance</w:t>
            </w:r>
            <w:r w:rsidRPr="009C3E96">
              <w:rPr>
                <w:rFonts w:ascii="Times New Roman" w:eastAsia="NSimSun" w:hAnsi="Times New Roman" w:cs="Lucida Sans"/>
                <w:kern w:val="3"/>
                <w:sz w:val="20"/>
                <w:szCs w:val="20"/>
                <w:lang w:val="en-US" w:eastAsia="zh-CN" w:bidi="hi-IN"/>
              </w:rPr>
              <w:t xml:space="preserve"> of common data spaces. They provided opinions on the key principles for those spaces,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expressed a high level of support for the </w:t>
            </w:r>
            <w:r w:rsidRPr="009C3E96">
              <w:rPr>
                <w:rFonts w:ascii="Times New Roman" w:eastAsia="NSimSun" w:hAnsi="Times New Roman" w:cs="Lucida Sans"/>
                <w:kern w:val="3"/>
                <w:sz w:val="20"/>
                <w:szCs w:val="20"/>
                <w:u w:val="single"/>
                <w:lang w:val="en-US" w:eastAsia="zh-CN" w:bidi="hi-IN"/>
              </w:rPr>
              <w:t>prioritisation of standards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data altruism concept. They also indicated the need for safeguards in developing measures related to data intermediaries.</w:t>
            </w:r>
          </w:p>
        </w:tc>
      </w:tr>
      <w:tr w:rsidR="00400AF2" w:rsidRPr="009C3E96" w14:paraId="6351B3B8" w14:textId="77777777" w:rsidTr="00045001">
        <w:tc>
          <w:tcPr>
            <w:tcW w:w="3261" w:type="dxa"/>
            <w:tcMar>
              <w:top w:w="28" w:type="dxa"/>
              <w:left w:w="28" w:type="dxa"/>
              <w:bottom w:w="28" w:type="dxa"/>
              <w:right w:w="28" w:type="dxa"/>
            </w:tcMar>
            <w:vAlign w:val="center"/>
          </w:tcPr>
          <w:p w14:paraId="436A6280"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•Collection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expertise</w:t>
            </w:r>
          </w:p>
        </w:tc>
      </w:tr>
      <w:tr w:rsidR="00400AF2" w:rsidRPr="009C3E96" w14:paraId="578034D1" w14:textId="77777777" w:rsidTr="00045001">
        <w:tc>
          <w:tcPr>
            <w:tcW w:w="3261" w:type="dxa"/>
            <w:tcMar>
              <w:top w:w="28" w:type="dxa"/>
              <w:left w:w="28" w:type="dxa"/>
              <w:bottom w:w="28" w:type="dxa"/>
              <w:right w:w="28" w:type="dxa"/>
            </w:tcMar>
            <w:vAlign w:val="center"/>
          </w:tcPr>
          <w:p w14:paraId="50689746"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In order to explore with the relevant experts the framework conditions for creating common European data spaces in the identified sectors, a series of 10 workshops on common European data spaces took place in 2019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 additional </w:t>
            </w:r>
            <w:r w:rsidRPr="009C3E96">
              <w:rPr>
                <w:rFonts w:ascii="Times New Roman" w:eastAsia="NSimSun" w:hAnsi="Times New Roman" w:cs="Lucida Sans"/>
                <w:kern w:val="3"/>
                <w:sz w:val="20"/>
                <w:szCs w:val="20"/>
                <w:u w:val="single"/>
                <w:lang w:val="en-US" w:eastAsia="zh-CN" w:bidi="hi-IN"/>
              </w:rPr>
              <w:t>workshop</w:t>
            </w:r>
            <w:r w:rsidRPr="009C3E96">
              <w:rPr>
                <w:rFonts w:ascii="Times New Roman" w:eastAsia="NSimSun" w:hAnsi="Times New Roman" w:cs="Lucida Sans"/>
                <w:kern w:val="3"/>
                <w:sz w:val="20"/>
                <w:szCs w:val="20"/>
                <w:lang w:val="en-US" w:eastAsia="zh-CN" w:bidi="hi-IN"/>
              </w:rPr>
              <w:t xml:space="preserve"> was organised in May 2020. Gathering a total of more than 300 </w:t>
            </w:r>
            <w:r w:rsidRPr="009C3E96">
              <w:rPr>
                <w:rFonts w:ascii="Times New Roman" w:eastAsia="NSimSun" w:hAnsi="Times New Roman" w:cs="Lucida Sans"/>
                <w:kern w:val="3"/>
                <w:sz w:val="20"/>
                <w:szCs w:val="20"/>
                <w:shd w:val="clear" w:color="auto" w:fill="FFFF00"/>
                <w:lang w:val="en-US" w:eastAsia="zh-CN" w:bidi="hi-IN"/>
              </w:rPr>
              <w:t>stakeholders</w:t>
            </w:r>
            <w:r w:rsidRPr="009C3E96">
              <w:rPr>
                <w:rFonts w:ascii="Times New Roman" w:eastAsia="NSimSun" w:hAnsi="Times New Roman" w:cs="Lucida Sans"/>
                <w:kern w:val="3"/>
                <w:sz w:val="20"/>
                <w:szCs w:val="20"/>
                <w:lang w:val="en-US" w:eastAsia="zh-CN" w:bidi="hi-IN"/>
              </w:rPr>
              <w:t>, mainly from the private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public sectors, the workshops covered different sectors (agriculture, health, finance/banking, energy, transport, sustainability/environment, public services, smart manufacturing)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more cross-cutting aspects (data ethics, data market places). The Commission departments dealing with these areas participated in the workshops. The sectoral workshops helped to identify the common elements across the sectors, which</w:t>
            </w:r>
            <w:r w:rsidRPr="009C3E96">
              <w:rPr>
                <w:rFonts w:ascii="Times New Roman" w:eastAsia="NSimSun" w:hAnsi="Times New Roman" w:cs="Lucida Sans"/>
                <w:color w:val="00FFFF"/>
                <w:kern w:val="3"/>
                <w:sz w:val="20"/>
                <w:szCs w:val="20"/>
                <w:lang w:val="en-US" w:eastAsia="zh-CN" w:bidi="hi-IN"/>
              </w:rPr>
              <w:t xml:space="preserve"> need</w:t>
            </w:r>
            <w:r w:rsidRPr="009C3E96">
              <w:rPr>
                <w:rFonts w:ascii="Times New Roman" w:eastAsia="NSimSun" w:hAnsi="Times New Roman" w:cs="Lucida Sans"/>
                <w:kern w:val="3"/>
                <w:sz w:val="20"/>
                <w:szCs w:val="20"/>
                <w:lang w:val="en-US" w:eastAsia="zh-CN" w:bidi="hi-IN"/>
              </w:rPr>
              <w:t xml:space="preserve"> to be addressed by way of laying down a </w:t>
            </w:r>
            <w:r w:rsidRPr="009C3E96">
              <w:rPr>
                <w:rFonts w:ascii="Times New Roman" w:eastAsia="NSimSun" w:hAnsi="Times New Roman" w:cs="Lucida Sans"/>
                <w:kern w:val="3"/>
                <w:sz w:val="20"/>
                <w:szCs w:val="20"/>
                <w:u w:val="single"/>
                <w:lang w:val="en-US" w:eastAsia="zh-CN" w:bidi="hi-IN"/>
              </w:rPr>
              <w:t>horizontal governance framework</w:t>
            </w:r>
            <w:r w:rsidRPr="009C3E96">
              <w:rPr>
                <w:rFonts w:ascii="Times New Roman" w:eastAsia="NSimSun" w:hAnsi="Times New Roman" w:cs="Lucida Sans"/>
                <w:kern w:val="3"/>
                <w:sz w:val="20"/>
                <w:szCs w:val="20"/>
                <w:lang w:val="en-US" w:eastAsia="zh-CN" w:bidi="hi-IN"/>
              </w:rPr>
              <w:t>.</w:t>
            </w:r>
          </w:p>
        </w:tc>
      </w:tr>
      <w:tr w:rsidR="00400AF2" w:rsidRPr="009C3E96" w14:paraId="2E6E0655" w14:textId="77777777" w:rsidTr="00045001">
        <w:tc>
          <w:tcPr>
            <w:tcW w:w="3261" w:type="dxa"/>
            <w:tcMar>
              <w:top w:w="28" w:type="dxa"/>
              <w:left w:w="28" w:type="dxa"/>
              <w:bottom w:w="28" w:type="dxa"/>
              <w:right w:w="28" w:type="dxa"/>
            </w:tcMar>
            <w:vAlign w:val="center"/>
          </w:tcPr>
          <w:p w14:paraId="6C770E57"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Impact assessment</w:t>
            </w:r>
          </w:p>
        </w:tc>
      </w:tr>
      <w:tr w:rsidR="00400AF2" w:rsidRPr="009C3E96" w14:paraId="68B69672" w14:textId="77777777" w:rsidTr="00045001">
        <w:tc>
          <w:tcPr>
            <w:tcW w:w="3261" w:type="dxa"/>
            <w:tcMar>
              <w:top w:w="28" w:type="dxa"/>
              <w:left w:w="28" w:type="dxa"/>
              <w:bottom w:w="28" w:type="dxa"/>
              <w:right w:w="28" w:type="dxa"/>
            </w:tcMar>
            <w:vAlign w:val="center"/>
          </w:tcPr>
          <w:p w14:paraId="4DF5C5EB"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An impact assessment was carried out for this proposal. On 9 September 2020, the Regulatory Scrutiny Board issued a negative opinion. On 5 October 2020 the Board delivered a positive opinion subject to reservations.</w:t>
            </w:r>
          </w:p>
        </w:tc>
      </w:tr>
      <w:tr w:rsidR="00400AF2" w:rsidRPr="009C3E96" w14:paraId="5616D670" w14:textId="77777777" w:rsidTr="00045001">
        <w:tc>
          <w:tcPr>
            <w:tcW w:w="3261" w:type="dxa"/>
            <w:tcMar>
              <w:top w:w="28" w:type="dxa"/>
              <w:left w:w="28" w:type="dxa"/>
              <w:bottom w:w="28" w:type="dxa"/>
              <w:right w:w="28" w:type="dxa"/>
            </w:tcMar>
            <w:vAlign w:val="center"/>
          </w:tcPr>
          <w:p w14:paraId="3FB6779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impact assessment examines the baseline scenarios, policy options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impacts for four intervention areas, namely (a) mechanisms for the enhanced use of public sector data that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available as open data, (b) a certification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labelling framework for data intermediaries, (c) measures </w:t>
            </w:r>
            <w:r w:rsidRPr="009C3E96">
              <w:rPr>
                <w:rFonts w:ascii="Times New Roman" w:eastAsia="NSimSun" w:hAnsi="Times New Roman" w:cs="Lucida Sans"/>
                <w:kern w:val="3"/>
                <w:sz w:val="20"/>
                <w:szCs w:val="20"/>
                <w:shd w:val="clear" w:color="auto" w:fill="FFFF00"/>
                <w:lang w:val="en-US" w:eastAsia="zh-CN" w:bidi="hi-IN"/>
              </w:rPr>
              <w:t>facilitating</w:t>
            </w:r>
            <w:r w:rsidRPr="009C3E96">
              <w:rPr>
                <w:rFonts w:ascii="Times New Roman" w:eastAsia="NSimSun" w:hAnsi="Times New Roman" w:cs="Lucida Sans"/>
                <w:kern w:val="3"/>
                <w:sz w:val="20"/>
                <w:szCs w:val="20"/>
                <w:lang w:val="en-US" w:eastAsia="zh-CN" w:bidi="hi-IN"/>
              </w:rPr>
              <w:t xml:space="preserve"> data altruism,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 mechanisms to coordinate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steer horizontal aspects of governance in the form of an EU-level structure.</w:t>
            </w:r>
          </w:p>
        </w:tc>
      </w:tr>
      <w:tr w:rsidR="00400AF2" w:rsidRPr="009C3E96" w14:paraId="79CE61D9" w14:textId="77777777" w:rsidTr="00045001">
        <w:tc>
          <w:tcPr>
            <w:tcW w:w="3261" w:type="dxa"/>
            <w:tcMar>
              <w:top w:w="28" w:type="dxa"/>
              <w:left w:w="28" w:type="dxa"/>
              <w:bottom w:w="28" w:type="dxa"/>
              <w:right w:w="28" w:type="dxa"/>
            </w:tcMar>
            <w:vAlign w:val="center"/>
          </w:tcPr>
          <w:p w14:paraId="452D66D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For all intervention areas, policy option 1 of having coordination at EU level with soft regulatory measures was found to be insufficient, since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not significantly change the situation compared to the </w:t>
            </w:r>
            <w:r w:rsidRPr="009C3E96">
              <w:rPr>
                <w:rFonts w:ascii="Times New Roman" w:eastAsia="NSimSun" w:hAnsi="Times New Roman" w:cs="Lucida Sans"/>
                <w:kern w:val="3"/>
                <w:sz w:val="20"/>
                <w:szCs w:val="20"/>
                <w:u w:val="single"/>
                <w:shd w:val="clear" w:color="auto" w:fill="FFFF00"/>
                <w:lang w:val="en-US" w:eastAsia="zh-CN" w:bidi="hi-IN"/>
              </w:rPr>
              <w:t>baseline scenario</w:t>
            </w:r>
            <w:r w:rsidRPr="009C3E96">
              <w:rPr>
                <w:rFonts w:ascii="Times New Roman" w:eastAsia="NSimSun" w:hAnsi="Times New Roman" w:cs="Lucida Sans"/>
                <w:kern w:val="3"/>
                <w:sz w:val="20"/>
                <w:szCs w:val="20"/>
                <w:lang w:val="en-US" w:eastAsia="zh-CN" w:bidi="hi-IN"/>
              </w:rPr>
              <w:t>. Thus, the main analysis concentrated on policy options 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3, which involved a low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high intensity regulatory intervention respectively. The preferred option turned out to be a combination of regulatory interventions of lower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higher intensity, in the following manner:</w:t>
            </w:r>
          </w:p>
        </w:tc>
      </w:tr>
      <w:tr w:rsidR="00400AF2" w:rsidRPr="009C3E96" w14:paraId="1BC8E759" w14:textId="77777777" w:rsidTr="00045001">
        <w:tc>
          <w:tcPr>
            <w:tcW w:w="3261" w:type="dxa"/>
            <w:tcMar>
              <w:top w:w="28" w:type="dxa"/>
              <w:left w:w="28" w:type="dxa"/>
              <w:bottom w:w="28" w:type="dxa"/>
              <w:right w:w="28" w:type="dxa"/>
            </w:tcMar>
            <w:vAlign w:val="center"/>
          </w:tcPr>
          <w:p w14:paraId="7D8CC0AF"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Regarding mechanisms to enhance the use of certain public sector data, the use of which is subject to the rights of others,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the low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high intensity options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introduce EU-wide rules for re-using such information (in particular non-exclusivity). The low intensity regulatory intervention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require that individual public sector bodies allowing this type of re-use to be technically equipped to ensure that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confidentiality are fully preserved.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also contain an obligation for Member States to provide for at least a </w:t>
            </w:r>
            <w:r w:rsidRPr="009C3E96">
              <w:rPr>
                <w:rFonts w:ascii="Times New Roman" w:eastAsia="NSimSun" w:hAnsi="Times New Roman" w:cs="Lucida Sans"/>
                <w:kern w:val="3"/>
                <w:sz w:val="20"/>
                <w:szCs w:val="20"/>
                <w:u w:val="single"/>
                <w:lang w:val="en-US" w:eastAsia="zh-CN" w:bidi="hi-IN"/>
              </w:rPr>
              <w:t>one-stop shop mechanism</w:t>
            </w:r>
            <w:r w:rsidRPr="009C3E96">
              <w:rPr>
                <w:rFonts w:ascii="Times New Roman" w:eastAsia="NSimSun" w:hAnsi="Times New Roman" w:cs="Lucida Sans"/>
                <w:kern w:val="3"/>
                <w:sz w:val="20"/>
                <w:szCs w:val="20"/>
                <w:lang w:val="en-US" w:eastAsia="zh-CN" w:bidi="hi-IN"/>
              </w:rPr>
              <w:t xml:space="preserve"> for the requests to access such data, without determining its exact institutional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administrative form. The high intensity option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have prescribed the establishment of one single data authorisation body per Member State. Given the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issues of feasibility related to the latter, the preferred option is the lower intensity regulatory intervention.</w:t>
            </w:r>
          </w:p>
        </w:tc>
      </w:tr>
      <w:tr w:rsidR="00400AF2" w:rsidRPr="009C3E96" w14:paraId="4DDAB3E3" w14:textId="77777777" w:rsidTr="00045001">
        <w:tc>
          <w:tcPr>
            <w:tcW w:w="3261" w:type="dxa"/>
            <w:tcMar>
              <w:top w:w="28" w:type="dxa"/>
              <w:left w:w="28" w:type="dxa"/>
              <w:bottom w:w="28" w:type="dxa"/>
              <w:right w:w="28" w:type="dxa"/>
            </w:tcMar>
            <w:vAlign w:val="center"/>
          </w:tcPr>
          <w:p w14:paraId="055FF8DC"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For the certification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labelling of trusted data intermediaries, a lower intensity regulatory intervention was envisaged to consist in a softer, voluntary labelling mechanism, where a fitness check of the compliance with the requirements for acquiring the label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awarding the label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be carried out by competent authorities designated by Member States (which</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also be the one-stop shop mechanisms also</w:t>
            </w:r>
            <w:r w:rsidRPr="009C3E96">
              <w:rPr>
                <w:rFonts w:ascii="Times New Roman" w:eastAsia="NSimSun" w:hAnsi="Times New Roman" w:cs="Lucida Sans"/>
                <w:kern w:val="3"/>
                <w:sz w:val="20"/>
                <w:szCs w:val="20"/>
                <w:shd w:val="clear" w:color="auto" w:fill="FFFF00"/>
                <w:lang w:val="en-US" w:eastAsia="zh-CN" w:bidi="hi-IN"/>
              </w:rPr>
              <w:t xml:space="preserve"> e</w:t>
            </w:r>
            <w:r w:rsidRPr="009C3E96">
              <w:rPr>
                <w:rFonts w:ascii="Times New Roman" w:eastAsia="NSimSun" w:hAnsi="Times New Roman" w:cs="Lucida Sans"/>
                <w:kern w:val="3"/>
                <w:sz w:val="20"/>
                <w:szCs w:val="20"/>
                <w:lang w:val="en-US" w:eastAsia="zh-CN" w:bidi="hi-IN"/>
              </w:rPr>
              <w:t xml:space="preserve">stablished for the enhanced re-use of public sector data). The high intensity regulatory intervention consisted of a compulsory certification scheme managed by private conformity assessment bodies. As a compulsory scheme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generate higher costs, this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potentially have a prohibitive impact on </w:t>
            </w:r>
            <w:r w:rsidRPr="009C3E96">
              <w:rPr>
                <w:rFonts w:ascii="Times New Roman" w:eastAsia="NSimSun" w:hAnsi="Times New Roman" w:cs="Lucida Sans"/>
                <w:kern w:val="3"/>
                <w:sz w:val="20"/>
                <w:szCs w:val="20"/>
                <w:u w:val="single"/>
                <w:lang w:val="en-US" w:eastAsia="zh-CN" w:bidi="hi-IN"/>
              </w:rPr>
              <w:t>SMEs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startups</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market is not mature enough for a compulsory certification scheme; therefore the lower intensity regulatory intervention was identified as the preferred policy option. However, the higher intensity regulatory intervention in the form of a compulsory scheme was also identified as a feasible alternative, as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bring significantly higher trust to the functioning of data intermediaries,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establish clear rules for how these intermediaries are supposed to act in the European data market. After further discussions in the Commission, an intermediate solution was retained. It consists of a notification obligation with ex post monitoring of compliance with the requirements to exercise the activities by the competent authorities of the Member States. The solution has the advantages of a compulsory regime, while limiting the regulatory burden on the </w:t>
            </w:r>
            <w:r w:rsidRPr="009C3E96">
              <w:rPr>
                <w:rFonts w:ascii="Times New Roman" w:eastAsia="NSimSun" w:hAnsi="Times New Roman" w:cs="Lucida Sans"/>
                <w:kern w:val="3"/>
                <w:sz w:val="20"/>
                <w:szCs w:val="20"/>
                <w:u w:val="single"/>
                <w:lang w:val="en-US" w:eastAsia="zh-CN" w:bidi="hi-IN"/>
              </w:rPr>
              <w:t>market players.</w:t>
            </w:r>
          </w:p>
        </w:tc>
      </w:tr>
      <w:tr w:rsidR="00400AF2" w:rsidRPr="009C3E96" w14:paraId="1504A698" w14:textId="77777777" w:rsidTr="00045001">
        <w:tc>
          <w:tcPr>
            <w:tcW w:w="3261" w:type="dxa"/>
            <w:tcMar>
              <w:top w:w="28" w:type="dxa"/>
              <w:left w:w="28" w:type="dxa"/>
              <w:bottom w:w="28" w:type="dxa"/>
              <w:right w:w="28" w:type="dxa"/>
            </w:tcMar>
            <w:vAlign w:val="center"/>
          </w:tcPr>
          <w:p w14:paraId="5A33EC7F"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In the case of data altruism, the low intensity regulatory intervention consisted in a voluntary certification framework for organisations seeking to offer such services, while the high intensity regulatory intervention envisaged a compulsory authorisation framework. As the latter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ensure a higher level of trust in making data available, which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contribute to more data being made available by data subjects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companies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result in a higher level of development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research, while generating a similar amount of costs, it was flagged in the Impact Assessment as the preferred option for this intervention area. However, the further discussions within the Commission revealed additional concerns around the potential administrative burden on organisations engaging in data altruism,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relation of the obligations with future sectoral initiatives on data altruism. For this reason an alternative solution was retained, giving organisations engaging in data altruism the possibility to register as a ‘Data Altruism Organisation recognised in the EU’. This </w:t>
            </w:r>
            <w:r w:rsidRPr="009C3E96">
              <w:rPr>
                <w:rFonts w:ascii="Times New Roman" w:eastAsia="NSimSun" w:hAnsi="Times New Roman" w:cs="Lucida Sans"/>
                <w:kern w:val="3"/>
                <w:sz w:val="20"/>
                <w:szCs w:val="20"/>
                <w:u w:val="single"/>
                <w:lang w:val="en-US" w:eastAsia="zh-CN" w:bidi="hi-IN"/>
              </w:rPr>
              <w:t xml:space="preserve">voluntary mechanism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contribute to increase trust, while presenting a lower administrative burden than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a </w:t>
            </w:r>
            <w:r w:rsidRPr="009C3E96">
              <w:rPr>
                <w:rFonts w:ascii="Times New Roman" w:eastAsia="NSimSun" w:hAnsi="Times New Roman" w:cs="Lucida Sans"/>
                <w:kern w:val="3"/>
                <w:sz w:val="20"/>
                <w:szCs w:val="20"/>
                <w:lang w:val="en-US" w:eastAsia="zh-CN" w:bidi="hi-IN"/>
              </w:rPr>
              <w:lastRenderedPageBreak/>
              <w:t>compulsory authorisation framework</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 voluntary certification framework.</w:t>
            </w:r>
          </w:p>
        </w:tc>
      </w:tr>
      <w:tr w:rsidR="00400AF2" w:rsidRPr="009C3E96" w14:paraId="083DB998" w14:textId="77777777" w:rsidTr="00045001">
        <w:tc>
          <w:tcPr>
            <w:tcW w:w="3261" w:type="dxa"/>
            <w:tcMar>
              <w:top w:w="28" w:type="dxa"/>
              <w:left w:w="28" w:type="dxa"/>
              <w:bottom w:w="28" w:type="dxa"/>
              <w:right w:w="28" w:type="dxa"/>
            </w:tcMar>
            <w:vAlign w:val="center"/>
          </w:tcPr>
          <w:p w14:paraId="6E77E29E"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Finally, for the European horizontal </w:t>
            </w:r>
            <w:r w:rsidRPr="009C3E96">
              <w:rPr>
                <w:rFonts w:ascii="Times New Roman" w:eastAsia="NSimSun" w:hAnsi="Times New Roman" w:cs="Lucida Sans"/>
                <w:kern w:val="3"/>
                <w:sz w:val="20"/>
                <w:szCs w:val="20"/>
                <w:u w:val="single"/>
                <w:lang w:val="en-US" w:eastAsia="zh-CN" w:bidi="hi-IN"/>
              </w:rPr>
              <w:t>governance mechanism</w:t>
            </w:r>
            <w:r w:rsidRPr="009C3E96">
              <w:rPr>
                <w:rFonts w:ascii="Times New Roman" w:eastAsia="NSimSun" w:hAnsi="Times New Roman" w:cs="Lucida Sans"/>
                <w:kern w:val="3"/>
                <w:sz w:val="20"/>
                <w:szCs w:val="20"/>
                <w:lang w:val="en-US" w:eastAsia="zh-CN" w:bidi="hi-IN"/>
              </w:rPr>
              <w:t xml:space="preserve">, the low intensity regulatory intervention referred to the creation of an expert group, while the high intensity regulatory intervention consisted in the creation of an independent structure with legal personality (similar to the European </w:t>
            </w:r>
            <w:r w:rsidRPr="009C3E96">
              <w:rPr>
                <w:rFonts w:ascii="Times New Roman" w:eastAsia="NSimSun" w:hAnsi="Times New Roman" w:cs="Lucida Sans"/>
                <w:kern w:val="3"/>
                <w:sz w:val="20"/>
                <w:szCs w:val="20"/>
                <w:u w:val="single"/>
                <w:lang w:val="en-US" w:eastAsia="zh-CN" w:bidi="hi-IN"/>
              </w:rPr>
              <w:t>Data Protection Board</w:t>
            </w:r>
            <w:r w:rsidRPr="009C3E96">
              <w:rPr>
                <w:rFonts w:ascii="Times New Roman" w:eastAsia="NSimSun" w:hAnsi="Times New Roman" w:cs="Lucida Sans"/>
                <w:kern w:val="3"/>
                <w:sz w:val="20"/>
                <w:szCs w:val="20"/>
                <w:lang w:val="en-US" w:eastAsia="zh-CN" w:bidi="hi-IN"/>
              </w:rPr>
              <w:t>). Given the high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low level of political feasibility surrounding the inception of the higher intensity option, the low intensity policy option was chosen.</w:t>
            </w:r>
          </w:p>
        </w:tc>
      </w:tr>
      <w:tr w:rsidR="00400AF2" w:rsidRPr="009C3E96" w14:paraId="4B299D3C" w14:textId="77777777" w:rsidTr="00045001">
        <w:tc>
          <w:tcPr>
            <w:tcW w:w="3261" w:type="dxa"/>
            <w:tcMar>
              <w:top w:w="28" w:type="dxa"/>
              <w:left w:w="28" w:type="dxa"/>
              <w:bottom w:w="28" w:type="dxa"/>
              <w:right w:w="28" w:type="dxa"/>
            </w:tcMar>
            <w:vAlign w:val="center"/>
          </w:tcPr>
          <w:p w14:paraId="4305A8CD"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impact assessment support study 20 indicated that, while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baseline scenario the data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economic value of data sharing are </w:t>
            </w:r>
            <w:r w:rsidRPr="009C3E96">
              <w:rPr>
                <w:rFonts w:ascii="Times New Roman" w:eastAsia="NSimSun" w:hAnsi="Times New Roman" w:cs="Lucida Sans"/>
                <w:kern w:val="3"/>
                <w:sz w:val="20"/>
                <w:szCs w:val="20"/>
                <w:u w:val="single"/>
                <w:lang w:val="en-US" w:eastAsia="zh-CN" w:bidi="hi-IN"/>
              </w:rPr>
              <w:t>expected</w:t>
            </w:r>
            <w:r w:rsidRPr="009C3E96">
              <w:rPr>
                <w:rFonts w:ascii="Times New Roman" w:eastAsia="NSimSun" w:hAnsi="Times New Roman" w:cs="Lucida Sans"/>
                <w:kern w:val="3"/>
                <w:sz w:val="20"/>
                <w:szCs w:val="20"/>
                <w:lang w:val="en-US" w:eastAsia="zh-CN" w:bidi="hi-IN"/>
              </w:rPr>
              <w:t xml:space="preserve"> to grow to an estimated EUR 533 to 510 billion (3.87% of the GDP), this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increase to between EUR 540.7</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EUR 544.4 billion (3.92% to 3.95% of the GDP)</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preferred, </w:t>
            </w:r>
            <w:r w:rsidRPr="009C3E96">
              <w:rPr>
                <w:rFonts w:ascii="Times New Roman" w:eastAsia="NSimSun" w:hAnsi="Times New Roman" w:cs="Lucida Sans"/>
                <w:kern w:val="3"/>
                <w:sz w:val="20"/>
                <w:szCs w:val="20"/>
                <w:u w:val="single"/>
                <w:lang w:val="en-US" w:eastAsia="zh-CN" w:bidi="hi-IN"/>
              </w:rPr>
              <w:t>packaged option</w:t>
            </w:r>
            <w:r w:rsidRPr="009C3E96">
              <w:rPr>
                <w:rFonts w:ascii="Times New Roman" w:eastAsia="NSimSun" w:hAnsi="Times New Roman" w:cs="Lucida Sans"/>
                <w:kern w:val="3"/>
                <w:sz w:val="20"/>
                <w:szCs w:val="20"/>
                <w:lang w:val="en-US" w:eastAsia="zh-CN" w:bidi="hi-IN"/>
              </w:rPr>
              <w:t xml:space="preserve">. These amounts take into account only in a limited way the </w:t>
            </w:r>
            <w:r w:rsidRPr="009C3E96">
              <w:rPr>
                <w:rFonts w:ascii="Times New Roman" w:eastAsia="NSimSun" w:hAnsi="Times New Roman" w:cs="Lucida Sans"/>
                <w:kern w:val="3"/>
                <w:sz w:val="20"/>
                <w:szCs w:val="20"/>
                <w:u w:val="single"/>
                <w:lang w:val="en-US" w:eastAsia="zh-CN" w:bidi="hi-IN"/>
              </w:rPr>
              <w:t>downstream</w:t>
            </w:r>
            <w:r w:rsidRPr="009C3E96">
              <w:rPr>
                <w:rFonts w:ascii="Times New Roman" w:eastAsia="NSimSun" w:hAnsi="Times New Roman" w:cs="Lucida Sans"/>
                <w:kern w:val="3"/>
                <w:sz w:val="20"/>
                <w:szCs w:val="20"/>
                <w:lang w:val="en-US" w:eastAsia="zh-CN" w:bidi="hi-IN"/>
              </w:rPr>
              <w:t xml:space="preserve"> benefits, in terms of better products, higher productivity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new ways for tackling societal challenges (e.g. climate change). Indeed, these benefits are </w:t>
            </w:r>
            <w:r w:rsidRPr="009C3E96">
              <w:rPr>
                <w:rFonts w:ascii="Times New Roman" w:eastAsia="NSimSun" w:hAnsi="Times New Roman" w:cs="Lucida Sans"/>
                <w:kern w:val="3"/>
                <w:sz w:val="20"/>
                <w:szCs w:val="20"/>
                <w:u w:val="single"/>
                <w:lang w:val="en-US" w:eastAsia="zh-CN" w:bidi="hi-IN"/>
              </w:rPr>
              <w:t>likely</w:t>
            </w:r>
            <w:r w:rsidRPr="009C3E96">
              <w:rPr>
                <w:rFonts w:ascii="Times New Roman" w:eastAsia="NSimSun" w:hAnsi="Times New Roman" w:cs="Lucida Sans"/>
                <w:kern w:val="3"/>
                <w:sz w:val="20"/>
                <w:szCs w:val="20"/>
                <w:lang w:val="en-US" w:eastAsia="zh-CN" w:bidi="hi-IN"/>
              </w:rPr>
              <w:t xml:space="preserve"> to be considerably higher than the direct benefits.</w:t>
            </w:r>
          </w:p>
        </w:tc>
      </w:tr>
      <w:tr w:rsidR="00400AF2" w:rsidRPr="009C3E96" w14:paraId="0ED5E76D" w14:textId="77777777" w:rsidTr="00045001">
        <w:tc>
          <w:tcPr>
            <w:tcW w:w="3261" w:type="dxa"/>
            <w:tcMar>
              <w:top w:w="28" w:type="dxa"/>
              <w:left w:w="28" w:type="dxa"/>
              <w:bottom w:w="28" w:type="dxa"/>
              <w:right w:w="28" w:type="dxa"/>
            </w:tcMar>
            <w:vAlign w:val="center"/>
          </w:tcPr>
          <w:p w14:paraId="1681DBB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At the same time, this packaged policy option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make it possible to create a European model for data sharing that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offer an approach that is alternative to the current business model for integrated tech platforms through the emergence of neutral data intermediaries. This initiative</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make the difference for the data economy by creating trust in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incentivising the development of common European data spaces, where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are in control of the data they generate.</w:t>
            </w:r>
          </w:p>
        </w:tc>
      </w:tr>
      <w:tr w:rsidR="00400AF2" w:rsidRPr="009C3E96" w14:paraId="2EE24967" w14:textId="77777777" w:rsidTr="00045001">
        <w:tc>
          <w:tcPr>
            <w:tcW w:w="3261" w:type="dxa"/>
            <w:tcMar>
              <w:top w:w="28" w:type="dxa"/>
              <w:left w:w="28" w:type="dxa"/>
              <w:bottom w:w="28" w:type="dxa"/>
              <w:right w:w="28" w:type="dxa"/>
            </w:tcMar>
            <w:vAlign w:val="center"/>
          </w:tcPr>
          <w:p w14:paraId="3F1BF71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Fundamental rights</w:t>
            </w:r>
          </w:p>
        </w:tc>
      </w:tr>
      <w:tr w:rsidR="00400AF2" w:rsidRPr="009C3E96" w14:paraId="7BFD6014" w14:textId="77777777" w:rsidTr="00045001">
        <w:tc>
          <w:tcPr>
            <w:tcW w:w="3261" w:type="dxa"/>
            <w:tcMar>
              <w:top w:w="28" w:type="dxa"/>
              <w:left w:w="28" w:type="dxa"/>
              <w:bottom w:w="28" w:type="dxa"/>
              <w:right w:w="28" w:type="dxa"/>
            </w:tcMar>
            <w:vAlign w:val="center"/>
          </w:tcPr>
          <w:p w14:paraId="3A26C26B"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Since personal data falls within the scope of some elements of the Regulation, the measures are designed in a way that fully complies with the data protection legislation,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actually increases in practice the control that natural persons have over the data they generate.</w:t>
            </w:r>
          </w:p>
        </w:tc>
      </w:tr>
      <w:tr w:rsidR="00400AF2" w:rsidRPr="009C3E96" w14:paraId="595F52ED" w14:textId="77777777" w:rsidTr="00045001">
        <w:tc>
          <w:tcPr>
            <w:tcW w:w="3261" w:type="dxa"/>
            <w:tcMar>
              <w:top w:w="28" w:type="dxa"/>
              <w:left w:w="28" w:type="dxa"/>
              <w:bottom w:w="28" w:type="dxa"/>
              <w:right w:w="28" w:type="dxa"/>
            </w:tcMar>
            <w:vAlign w:val="center"/>
          </w:tcPr>
          <w:p w14:paraId="425BDDF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Regarding the enhanced re-use of public sector data,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the fundamental rights of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property (concerning proprietary rights in certain data, which is e.g. commercially confidential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protected by intellectual property rights)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be respected. Similarly, data sharing service providers offering services to data subjects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comply with the applicable data protection rules.</w:t>
            </w:r>
          </w:p>
        </w:tc>
      </w:tr>
      <w:tr w:rsidR="00400AF2" w:rsidRPr="009C3E96" w14:paraId="64C67EC7" w14:textId="77777777" w:rsidTr="00045001">
        <w:tc>
          <w:tcPr>
            <w:tcW w:w="3261" w:type="dxa"/>
            <w:tcMar>
              <w:top w:w="28" w:type="dxa"/>
              <w:left w:w="28" w:type="dxa"/>
              <w:bottom w:w="28" w:type="dxa"/>
              <w:right w:w="28" w:type="dxa"/>
            </w:tcMar>
            <w:vAlign w:val="center"/>
          </w:tcPr>
          <w:p w14:paraId="38FD3427"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notification framework for data intermediaries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touch on the freedom to conduct a business, as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place certain restrictions in the form of different requirements as a pre-requisite for the functioning of such entities.</w:t>
            </w:r>
          </w:p>
        </w:tc>
      </w:tr>
      <w:tr w:rsidR="00400AF2" w:rsidRPr="009C3E96" w14:paraId="7EB99456" w14:textId="77777777" w:rsidTr="00045001">
        <w:tc>
          <w:tcPr>
            <w:tcW w:w="3261" w:type="dxa"/>
            <w:tcMar>
              <w:top w:w="28" w:type="dxa"/>
              <w:left w:w="28" w:type="dxa"/>
              <w:bottom w:w="28" w:type="dxa"/>
              <w:right w:w="28" w:type="dxa"/>
            </w:tcMar>
            <w:vAlign w:val="center"/>
          </w:tcPr>
          <w:p w14:paraId="2DFA847E"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4.BUDGETARY IMPLICATIONS</w:t>
            </w:r>
          </w:p>
        </w:tc>
      </w:tr>
      <w:tr w:rsidR="00400AF2" w:rsidRPr="009C3E96" w14:paraId="374AC818" w14:textId="77777777" w:rsidTr="00045001">
        <w:tc>
          <w:tcPr>
            <w:tcW w:w="3261" w:type="dxa"/>
            <w:tcMar>
              <w:top w:w="28" w:type="dxa"/>
              <w:left w:w="28" w:type="dxa"/>
              <w:bottom w:w="28" w:type="dxa"/>
              <w:right w:w="28" w:type="dxa"/>
            </w:tcMar>
            <w:vAlign w:val="center"/>
          </w:tcPr>
          <w:p w14:paraId="307C9AC8"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This proposal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not have any budgetary implications.</w:t>
            </w:r>
          </w:p>
        </w:tc>
      </w:tr>
      <w:tr w:rsidR="00400AF2" w:rsidRPr="009C3E96" w14:paraId="358F7257" w14:textId="77777777" w:rsidTr="00045001">
        <w:tc>
          <w:tcPr>
            <w:tcW w:w="3261" w:type="dxa"/>
            <w:tcMar>
              <w:top w:w="28" w:type="dxa"/>
              <w:left w:w="28" w:type="dxa"/>
              <w:bottom w:w="28" w:type="dxa"/>
              <w:right w:w="28" w:type="dxa"/>
            </w:tcMar>
            <w:vAlign w:val="center"/>
          </w:tcPr>
          <w:p w14:paraId="4AEB079A"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5.OTHER ELEMENTS</w:t>
            </w:r>
          </w:p>
        </w:tc>
      </w:tr>
      <w:tr w:rsidR="00400AF2" w:rsidRPr="009C3E96" w14:paraId="4EF63518" w14:textId="77777777" w:rsidTr="00045001">
        <w:tc>
          <w:tcPr>
            <w:tcW w:w="3261" w:type="dxa"/>
            <w:tcMar>
              <w:top w:w="28" w:type="dxa"/>
              <w:left w:w="28" w:type="dxa"/>
              <w:bottom w:w="28" w:type="dxa"/>
              <w:right w:w="28" w:type="dxa"/>
            </w:tcMar>
            <w:vAlign w:val="center"/>
          </w:tcPr>
          <w:p w14:paraId="5B2253D0"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•Implementation plans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monitoring, evaluation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reporting arrangements</w:t>
            </w:r>
          </w:p>
        </w:tc>
      </w:tr>
      <w:tr w:rsidR="00400AF2" w:rsidRPr="009C3E96" w14:paraId="2FA67010" w14:textId="77777777" w:rsidTr="00045001">
        <w:tc>
          <w:tcPr>
            <w:tcW w:w="3261" w:type="dxa"/>
            <w:tcMar>
              <w:top w:w="28" w:type="dxa"/>
              <w:left w:w="28" w:type="dxa"/>
              <w:bottom w:w="28" w:type="dxa"/>
              <w:right w:w="28" w:type="dxa"/>
            </w:tcMar>
            <w:vAlign w:val="center"/>
          </w:tcPr>
          <w:p w14:paraId="565FAE16"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Due to the dynamic nature of the data economy, monitoring of the evolution of impacts constitutes a key part of the intervention in this domain. To ensure that the selected policy measures actually deliver the intended results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inform possible future revisions, it is necessary to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evaluate the implementation of this Regulation.</w:t>
            </w:r>
          </w:p>
        </w:tc>
      </w:tr>
      <w:tr w:rsidR="00400AF2" w:rsidRPr="009C3E96" w14:paraId="0C6D9698" w14:textId="77777777" w:rsidTr="00045001">
        <w:tc>
          <w:tcPr>
            <w:tcW w:w="3261" w:type="dxa"/>
            <w:tcMar>
              <w:top w:w="28" w:type="dxa"/>
              <w:left w:w="28" w:type="dxa"/>
              <w:bottom w:w="28" w:type="dxa"/>
              <w:right w:w="28" w:type="dxa"/>
            </w:tcMar>
            <w:vAlign w:val="center"/>
          </w:tcPr>
          <w:p w14:paraId="1F25E923"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Monitoring the specific objectives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regulatory obligations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achieved through representative surveys of stakeholders, through the work of the Support Centre for Data Sharing, via records of the European Data Innovation Board on the different intervention areas reported by the dedicated national authorities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through an evaluation study to support the instrument’s review.</w:t>
            </w:r>
          </w:p>
        </w:tc>
      </w:tr>
      <w:tr w:rsidR="00400AF2" w:rsidRPr="009C3E96" w14:paraId="50DB2038" w14:textId="77777777" w:rsidTr="00045001">
        <w:tc>
          <w:tcPr>
            <w:tcW w:w="3261" w:type="dxa"/>
            <w:tcMar>
              <w:top w:w="28" w:type="dxa"/>
              <w:left w:w="28" w:type="dxa"/>
              <w:bottom w:w="28" w:type="dxa"/>
              <w:right w:w="28" w:type="dxa"/>
            </w:tcMar>
            <w:vAlign w:val="center"/>
          </w:tcPr>
          <w:p w14:paraId="63370581"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•Detailed explanation of the specific provisions of the proposal</w:t>
            </w:r>
          </w:p>
        </w:tc>
      </w:tr>
      <w:tr w:rsidR="00400AF2" w:rsidRPr="009C3E96" w14:paraId="3F3AB9C0" w14:textId="77777777" w:rsidTr="00045001">
        <w:tc>
          <w:tcPr>
            <w:tcW w:w="3261" w:type="dxa"/>
            <w:tcMar>
              <w:top w:w="28" w:type="dxa"/>
              <w:left w:w="28" w:type="dxa"/>
              <w:bottom w:w="28" w:type="dxa"/>
              <w:right w:w="28" w:type="dxa"/>
            </w:tcMar>
            <w:vAlign w:val="center"/>
          </w:tcPr>
          <w:p w14:paraId="016FF5F0"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 defines the subject matter of the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sets out the definitions used throughout the instrument.</w:t>
            </w:r>
          </w:p>
        </w:tc>
      </w:tr>
      <w:tr w:rsidR="00400AF2" w:rsidRPr="009C3E96" w14:paraId="2D2DA643" w14:textId="77777777" w:rsidTr="00045001">
        <w:tc>
          <w:tcPr>
            <w:tcW w:w="3261" w:type="dxa"/>
            <w:tcMar>
              <w:top w:w="28" w:type="dxa"/>
              <w:left w:w="28" w:type="dxa"/>
              <w:bottom w:w="28" w:type="dxa"/>
              <w:right w:w="28" w:type="dxa"/>
            </w:tcMar>
            <w:vAlign w:val="center"/>
          </w:tcPr>
          <w:p w14:paraId="4AF4D21E"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 creates a mechanism for re-using certain categories of protected public sector data which is conditional on the respect of the rights of others (notably on grounds of protection of personal data, but also protection of intellectual property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commercial confidentiality).This mechanism is without prejudice to sector-specific EU legislation on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re-use of this data. The re-use of such data falls outside the scope of Directive (EU) 2019/1024 (Open Data Directive). Provisions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Chapter do not create the right to re-use such data, but provide for a set of harmonized basic conditions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which the re-use of such data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allowed (e.g. the requirement of non-exclusivity). Public sector bodies allowing this type of re-use </w:t>
            </w:r>
            <w:r w:rsidRPr="009C3E96">
              <w:rPr>
                <w:rFonts w:ascii="Times New Roman" w:eastAsia="NSimSun" w:hAnsi="Times New Roman" w:cs="Lucida Sans"/>
                <w:color w:val="00FFFF"/>
                <w:kern w:val="3"/>
                <w:sz w:val="20"/>
                <w:szCs w:val="20"/>
                <w:lang w:val="en-US" w:eastAsia="zh-CN" w:bidi="hi-IN"/>
              </w:rPr>
              <w:t>would need</w:t>
            </w:r>
            <w:r w:rsidRPr="009C3E96">
              <w:rPr>
                <w:rFonts w:ascii="Times New Roman" w:eastAsia="NSimSun" w:hAnsi="Times New Roman" w:cs="Lucida Sans"/>
                <w:kern w:val="3"/>
                <w:sz w:val="20"/>
                <w:szCs w:val="20"/>
                <w:lang w:val="en-US" w:eastAsia="zh-CN" w:bidi="hi-IN"/>
              </w:rPr>
              <w:t xml:space="preserve"> to be technically equipped to ensure that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confidentiality are fully preserved. Member States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set up a single contact point supporting researchers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innovative business in identifying suitable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are </w:t>
            </w:r>
            <w:r w:rsidRPr="009C3E96">
              <w:rPr>
                <w:rFonts w:ascii="Times New Roman" w:eastAsia="NSimSun" w:hAnsi="Times New Roman" w:cs="Lucida Sans"/>
                <w:color w:val="00FFFF"/>
                <w:kern w:val="3"/>
                <w:sz w:val="20"/>
                <w:szCs w:val="20"/>
                <w:lang w:val="en-US" w:eastAsia="zh-CN" w:bidi="hi-IN"/>
              </w:rPr>
              <w:t>required</w:t>
            </w:r>
            <w:r w:rsidRPr="009C3E96">
              <w:rPr>
                <w:rFonts w:ascii="Times New Roman" w:eastAsia="NSimSun" w:hAnsi="Times New Roman" w:cs="Lucida Sans"/>
                <w:kern w:val="3"/>
                <w:sz w:val="20"/>
                <w:szCs w:val="20"/>
                <w:lang w:val="en-US" w:eastAsia="zh-CN" w:bidi="hi-IN"/>
              </w:rPr>
              <w:t xml:space="preserve"> to put structures in place to support public sector bodies with technical means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assistance.</w:t>
            </w:r>
          </w:p>
        </w:tc>
      </w:tr>
      <w:tr w:rsidR="00400AF2" w:rsidRPr="009C3E96" w14:paraId="5ABF4D21" w14:textId="77777777" w:rsidTr="00045001">
        <w:tc>
          <w:tcPr>
            <w:tcW w:w="3261" w:type="dxa"/>
            <w:tcMar>
              <w:top w:w="28" w:type="dxa"/>
              <w:left w:w="28" w:type="dxa"/>
              <w:bottom w:w="28" w:type="dxa"/>
              <w:right w:w="28" w:type="dxa"/>
            </w:tcMar>
            <w:vAlign w:val="center"/>
          </w:tcPr>
          <w:p w14:paraId="4B501841"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III aims to increase trust in sharing personal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lower transaction costs linked to </w:t>
            </w:r>
            <w:r w:rsidRPr="009C3E96">
              <w:rPr>
                <w:rFonts w:ascii="Times New Roman" w:eastAsia="NSimSun" w:hAnsi="Times New Roman" w:cs="Lucida Sans"/>
                <w:kern w:val="3"/>
                <w:sz w:val="20"/>
                <w:szCs w:val="20"/>
                <w:u w:val="single"/>
                <w:lang w:val="en-US" w:eastAsia="zh-CN" w:bidi="hi-IN"/>
              </w:rPr>
              <w:t>B2B</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u w:val="single"/>
                <w:lang w:val="en-US" w:eastAsia="zh-CN" w:bidi="hi-IN"/>
              </w:rPr>
              <w:t>C2B data sharing</w:t>
            </w:r>
            <w:r w:rsidRPr="009C3E96">
              <w:rPr>
                <w:rFonts w:ascii="Times New Roman" w:eastAsia="NSimSun" w:hAnsi="Times New Roman" w:cs="Lucida Sans"/>
                <w:kern w:val="3"/>
                <w:sz w:val="20"/>
                <w:szCs w:val="20"/>
                <w:lang w:val="en-US" w:eastAsia="zh-CN" w:bidi="hi-IN"/>
              </w:rPr>
              <w:t xml:space="preserve"> by creating a notification regime for data sharing providers. These providers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comply with a number of requirements, in particular the requirement to remain neutral as regards the data exchanged. They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use such data for other purposes. In the case of providers of data sharing services offering services for natural persons, the additional criterion of assuming fiduciary duties towards the individuals using them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also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be met.</w:t>
            </w:r>
          </w:p>
        </w:tc>
      </w:tr>
      <w:tr w:rsidR="00400AF2" w:rsidRPr="009C3E96" w14:paraId="04B7C058" w14:textId="77777777" w:rsidTr="00045001">
        <w:tc>
          <w:tcPr>
            <w:tcW w:w="3261" w:type="dxa"/>
            <w:tcMar>
              <w:top w:w="28" w:type="dxa"/>
              <w:left w:w="28" w:type="dxa"/>
              <w:bottom w:w="28" w:type="dxa"/>
              <w:right w:w="28" w:type="dxa"/>
            </w:tcMar>
            <w:vAlign w:val="center"/>
          </w:tcPr>
          <w:p w14:paraId="77FECAD2"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approach is designed to ensure that data sharing services function in an open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collaborative manner, while</w:t>
            </w:r>
            <w:r w:rsidRPr="009C3E96">
              <w:rPr>
                <w:rFonts w:ascii="Times New Roman" w:eastAsia="NSimSun" w:hAnsi="Times New Roman" w:cs="Lucida Sans"/>
                <w:kern w:val="3"/>
                <w:sz w:val="20"/>
                <w:szCs w:val="20"/>
                <w:shd w:val="clear" w:color="auto" w:fill="FFFF00"/>
                <w:lang w:val="en-US" w:eastAsia="zh-CN" w:bidi="hi-IN"/>
              </w:rPr>
              <w:t xml:space="preserve"> empowering</w:t>
            </w:r>
            <w:r w:rsidRPr="009C3E96">
              <w:rPr>
                <w:rFonts w:ascii="Times New Roman" w:eastAsia="NSimSun" w:hAnsi="Times New Roman" w:cs="Lucida Sans"/>
                <w:kern w:val="3"/>
                <w:sz w:val="20"/>
                <w:szCs w:val="20"/>
                <w:lang w:val="en-US" w:eastAsia="zh-CN" w:bidi="hi-IN"/>
              </w:rPr>
              <w:t xml:space="preserve">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by giving them a better overview of</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control over their data. A competent </w:t>
            </w:r>
            <w:r w:rsidRPr="009C3E96">
              <w:rPr>
                <w:rFonts w:ascii="Times New Roman" w:eastAsia="NSimSun" w:hAnsi="Times New Roman" w:cs="Lucida Sans"/>
                <w:kern w:val="3"/>
                <w:sz w:val="20"/>
                <w:szCs w:val="20"/>
                <w:lang w:val="en-US" w:eastAsia="zh-CN" w:bidi="hi-IN"/>
              </w:rPr>
              <w:lastRenderedPageBreak/>
              <w:t xml:space="preserve">authority designated by the Member States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responsible for monitoring compliance with the requirements attached to the provision of such services.</w:t>
            </w:r>
          </w:p>
        </w:tc>
      </w:tr>
      <w:tr w:rsidR="00400AF2" w:rsidRPr="009C3E96" w14:paraId="6A8783B3" w14:textId="77777777" w:rsidTr="00045001">
        <w:tc>
          <w:tcPr>
            <w:tcW w:w="3261" w:type="dxa"/>
            <w:tcMar>
              <w:top w:w="28" w:type="dxa"/>
              <w:left w:w="28" w:type="dxa"/>
              <w:bottom w:w="28" w:type="dxa"/>
              <w:right w:w="28" w:type="dxa"/>
            </w:tcMar>
            <w:vAlign w:val="center"/>
          </w:tcPr>
          <w:p w14:paraId="185AB2BC"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Chapter IV facilitates data altruism (data voluntarily made available by individuals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companies for the common good). It establishes the possibility for organisations engaging in data altruism to register as a ‘Data Altruism Organisation recognised in the EU’ in order to increase trust in their operations. In addition, a common European data altruism consent form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developed to lower the costs of collecting consent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facilitate portability of the data (where the data to be made available is not held by the individual).</w:t>
            </w:r>
          </w:p>
        </w:tc>
      </w:tr>
      <w:tr w:rsidR="00400AF2" w:rsidRPr="009C3E96" w14:paraId="4F696631" w14:textId="77777777" w:rsidTr="00045001">
        <w:tc>
          <w:tcPr>
            <w:tcW w:w="3261" w:type="dxa"/>
            <w:tcMar>
              <w:top w:w="28" w:type="dxa"/>
              <w:left w:w="28" w:type="dxa"/>
              <w:bottom w:w="28" w:type="dxa"/>
              <w:right w:w="28" w:type="dxa"/>
            </w:tcMar>
            <w:vAlign w:val="center"/>
          </w:tcPr>
          <w:p w14:paraId="6BD46D13"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 sets out the requirements for the functioning of the competent authorities designated to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implement the notification framework for data-sharing service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entities engaged in data altruism. It also contains provisions on the right to lodge complaints against the decisions of such bodies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means of judicial redress.</w:t>
            </w:r>
          </w:p>
        </w:tc>
      </w:tr>
      <w:tr w:rsidR="00400AF2" w:rsidRPr="009C3E96" w14:paraId="34464E75" w14:textId="77777777" w:rsidTr="00045001">
        <w:tc>
          <w:tcPr>
            <w:tcW w:w="3261" w:type="dxa"/>
            <w:tcMar>
              <w:top w:w="28" w:type="dxa"/>
              <w:left w:w="28" w:type="dxa"/>
              <w:bottom w:w="28" w:type="dxa"/>
              <w:right w:w="28" w:type="dxa"/>
            </w:tcMar>
            <w:vAlign w:val="center"/>
          </w:tcPr>
          <w:p w14:paraId="19823C0C"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Chapter VI creates a formal expert group (the ‘European Data Innovation Board’) which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facilitate the emergence of best practices by Member States’ authorities in particular on processing requests for the re-use of data which is subject to the rights of others (under Chapter II), on ensuring a consistent practice regarding the notification framework for data sharing service providers (under Chapter III),</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data altruism (Chapter IV). In addition, the formal expert group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support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advise the Commission on the </w:t>
            </w:r>
            <w:r w:rsidRPr="009C3E96">
              <w:rPr>
                <w:rFonts w:ascii="Times New Roman" w:eastAsia="NSimSun" w:hAnsi="Times New Roman" w:cs="Lucida Sans"/>
                <w:kern w:val="3"/>
                <w:sz w:val="20"/>
                <w:szCs w:val="20"/>
                <w:u w:val="single"/>
                <w:lang w:val="en-US" w:eastAsia="zh-CN" w:bidi="hi-IN"/>
              </w:rPr>
              <w:t>governance</w:t>
            </w:r>
            <w:r w:rsidRPr="009C3E96">
              <w:rPr>
                <w:rFonts w:ascii="Times New Roman" w:eastAsia="NSimSun" w:hAnsi="Times New Roman" w:cs="Lucida Sans"/>
                <w:kern w:val="3"/>
                <w:sz w:val="20"/>
                <w:szCs w:val="20"/>
                <w:lang w:val="en-US" w:eastAsia="zh-CN" w:bidi="hi-IN"/>
              </w:rPr>
              <w:t xml:space="preserve"> of cross-sectoral standardisation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preparation of strategic cross-sector standardisation requests. This chapter establishes also the composition of the Board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organises its functioning.</w:t>
            </w:r>
          </w:p>
        </w:tc>
      </w:tr>
      <w:tr w:rsidR="00400AF2" w:rsidRPr="009C3E96" w14:paraId="1D4D9013" w14:textId="77777777" w:rsidTr="00045001">
        <w:tc>
          <w:tcPr>
            <w:tcW w:w="3261" w:type="dxa"/>
            <w:tcMar>
              <w:top w:w="28" w:type="dxa"/>
              <w:left w:w="28" w:type="dxa"/>
              <w:bottom w:w="28" w:type="dxa"/>
              <w:right w:w="28" w:type="dxa"/>
            </w:tcMar>
            <w:vAlign w:val="center"/>
          </w:tcPr>
          <w:p w14:paraId="083CBDE4"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VII allows the Commission to adopt implementing acts concerning the European data altruism consent form.</w:t>
            </w:r>
          </w:p>
        </w:tc>
      </w:tr>
      <w:tr w:rsidR="00400AF2" w:rsidRPr="009C3E96" w14:paraId="73F8C452" w14:textId="77777777" w:rsidTr="00045001">
        <w:tc>
          <w:tcPr>
            <w:tcW w:w="3261" w:type="dxa"/>
            <w:tcMar>
              <w:top w:w="28" w:type="dxa"/>
              <w:left w:w="28" w:type="dxa"/>
              <w:bottom w:w="28" w:type="dxa"/>
              <w:right w:w="28" w:type="dxa"/>
            </w:tcMar>
            <w:vAlign w:val="center"/>
          </w:tcPr>
          <w:p w14:paraId="439CDDE0" w14:textId="77777777" w:rsidR="00400AF2" w:rsidRPr="009C3E96" w:rsidRDefault="00400AF2"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VIII contains transitional provisions for the functioning of general authorisation scheme for data sharing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provides for final provisions.</w:t>
            </w:r>
          </w:p>
        </w:tc>
      </w:tr>
    </w:tbl>
    <w:p w14:paraId="41DE785C" w14:textId="77777777" w:rsidR="00023782" w:rsidRPr="00400AF2" w:rsidRDefault="00023782">
      <w:pPr>
        <w:rPr>
          <w:lang w:val="en-US"/>
        </w:rPr>
      </w:pPr>
    </w:p>
    <w:sectPr w:rsidR="00023782" w:rsidRPr="00400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F2"/>
    <w:rsid w:val="00023782"/>
    <w:rsid w:val="00400A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0191"/>
  <w15:chartTrackingRefBased/>
  <w15:docId w15:val="{9FAD5730-A374-4A1D-8EA8-1B2359BA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0A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3431</Words>
  <Characters>21619</Characters>
  <Application>Microsoft Office Word</Application>
  <DocSecurity>0</DocSecurity>
  <Lines>180</Lines>
  <Paragraphs>49</Paragraphs>
  <ScaleCrop>false</ScaleCrop>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Meha</dc:creator>
  <cp:keywords/>
  <dc:description/>
  <cp:lastModifiedBy>Hana Meha</cp:lastModifiedBy>
  <cp:revision>1</cp:revision>
  <dcterms:created xsi:type="dcterms:W3CDTF">2023-03-28T16:15:00Z</dcterms:created>
  <dcterms:modified xsi:type="dcterms:W3CDTF">2023-03-28T16:15:00Z</dcterms:modified>
</cp:coreProperties>
</file>