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28" w:rsidRDefault="001C62B5" w:rsidP="001C62B5">
      <w:pPr>
        <w:pStyle w:val="Heading1"/>
      </w:pPr>
      <w:r>
        <w:t>Data-intensive multiple-cause-of-death approach to identifying underlying cause</w:t>
      </w:r>
    </w:p>
    <w:p w:rsidR="001C62B5" w:rsidRDefault="001C62B5" w:rsidP="001C62B5">
      <w:pPr>
        <w:pStyle w:val="Heading2"/>
      </w:pPr>
      <w:r>
        <w:t>Introduction</w:t>
      </w:r>
    </w:p>
    <w:p w:rsidR="001C62B5" w:rsidRDefault="00F155FE" w:rsidP="001C62B5">
      <w:r>
        <w:t xml:space="preserve">Health decision makers need timely and </w:t>
      </w:r>
      <w:r w:rsidRPr="00F155FE">
        <w:t>accurate</w:t>
      </w:r>
      <w:r>
        <w:t xml:space="preserve"> information to inform policy. Burden of disease measurement provides some of this information, through measurement of health loss due to a mutually exclusive and collectively exhaustive set of diseases. </w:t>
      </w:r>
      <w:r w:rsidR="001C62B5" w:rsidRPr="00F155FE">
        <w:t>Cause</w:t>
      </w:r>
      <w:r w:rsidR="001C62B5">
        <w:t xml:space="preserve"> of death information from vital registration is a key input to burden of disease work.</w:t>
      </w:r>
    </w:p>
    <w:p w:rsidR="00F155FE" w:rsidRDefault="00F155FE" w:rsidP="001C62B5">
      <w:r>
        <w:t>Vital registration systems collect death certificates, among other things, and there is a complex administrative process to go from death certification by doctors and medical examiners to cause-of-death data routinely collected and analyzed in vital statistical reports.  There are many chances for information to be corrupted during this process. From a burden-of-disease measurement perspective, the sum total of this information corruption is manifest in “g</w:t>
      </w:r>
      <w:r w:rsidR="001C62B5">
        <w:t>arbage codes</w:t>
      </w:r>
      <w:r>
        <w:t>” or underlying causes of death that are not relevant from a public health perspective.</w:t>
      </w:r>
    </w:p>
    <w:p w:rsidR="001C62B5" w:rsidRDefault="001C62B5" w:rsidP="001C62B5">
      <w:r>
        <w:t>Previous work has addressed th</w:t>
      </w:r>
      <w:r w:rsidR="00F155FE">
        <w:t>e noise introduced at multiple points in the vital registration process through several complementary approaches</w:t>
      </w:r>
      <w:r>
        <w:t>.</w:t>
      </w:r>
      <w:r w:rsidR="00F155FE">
        <w:t xml:space="preserve"> One line of work has focused on educating medical certifiers about the importance of cause-of-death information and training them to provide more relevant information in death certificates.[ref?]  Another line has focused on </w:t>
      </w:r>
      <w:r w:rsidR="00611518">
        <w:t>quality</w:t>
      </w:r>
      <w:r w:rsidR="00F155FE">
        <w:t xml:space="preserve"> </w:t>
      </w:r>
      <w:r w:rsidR="00611518">
        <w:t>assurance later in the data pipeline, for example through procedures where state-level administrators use a query process to request additional information to augment unclear death certificates.  In global burden of disease estimation, a third approach has been pursued extensively, post hoc correction of non-public-health relevant underlying causes.</w:t>
      </w:r>
      <w:r>
        <w:t>[ref Naghavi et al</w:t>
      </w:r>
      <w:r w:rsidR="00611518">
        <w:t>, targeting non-obvious errors in death certificate lars age johansson</w:t>
      </w:r>
      <w:r>
        <w:t>]</w:t>
      </w:r>
      <w:r w:rsidR="00611518">
        <w:t xml:space="preserve">  There is still plenty of work to be done along all of these lines, however.[ref VR quality paper]</w:t>
      </w:r>
    </w:p>
    <w:p w:rsidR="001C62B5" w:rsidRDefault="00611518" w:rsidP="001C62B5">
      <w:r>
        <w:t>In this work, w</w:t>
      </w:r>
      <w:r w:rsidR="001C62B5">
        <w:t xml:space="preserve">e </w:t>
      </w:r>
      <w:r>
        <w:t xml:space="preserve">have </w:t>
      </w:r>
      <w:r w:rsidR="001C62B5">
        <w:t>develop</w:t>
      </w:r>
      <w:r>
        <w:t>ed</w:t>
      </w:r>
      <w:r w:rsidR="001C62B5">
        <w:t xml:space="preserve"> an alternative approach that uses multiple cause-of-death (MCD) data</w:t>
      </w:r>
      <w:r>
        <w:t xml:space="preserve"> to correct obvious and non-obvious errors in death certificate data.  We use a data-intensive approach, relying on the vast amount of death certificates to include most possible errors and paired examples where the same causal sequence led to correct death certificates.</w:t>
      </w:r>
      <w:r w:rsidR="00952E97">
        <w:t xml:space="preserve"> We find XXX.</w:t>
      </w:r>
    </w:p>
    <w:p w:rsidR="001C62B5" w:rsidRDefault="001C62B5" w:rsidP="001C62B5">
      <w:pPr>
        <w:pStyle w:val="Heading2"/>
      </w:pPr>
      <w:r>
        <w:t>Methods</w:t>
      </w:r>
    </w:p>
    <w:p w:rsidR="001C62B5" w:rsidRDefault="00F170E6" w:rsidP="00F170E6">
      <w:pPr>
        <w:pStyle w:val="Heading3"/>
      </w:pPr>
      <w:r>
        <w:t>Data sources</w:t>
      </w:r>
    </w:p>
    <w:p w:rsidR="00F170E6" w:rsidRDefault="00F170E6" w:rsidP="00F170E6">
      <w:r>
        <w:t>USA MCD data from 1980 to 2010</w:t>
      </w:r>
      <w:r w:rsidR="00720360">
        <w:t>, which we g</w:t>
      </w:r>
      <w:r w:rsidR="00720360">
        <w:t xml:space="preserve">rouped </w:t>
      </w:r>
      <w:r w:rsidR="00720360">
        <w:t>by age, sex, and year</w:t>
      </w:r>
      <w:r>
        <w:t>. PHMRC gold-standard validation data with linked MCD death certificates from Mexico City.</w:t>
      </w:r>
      <w:r w:rsidR="00720360">
        <w:t xml:space="preserve"> </w:t>
      </w:r>
      <w:r w:rsidR="001351E8">
        <w:t>For testing purposes, we removed the underlying cause of death from all MEX death certificates.</w:t>
      </w:r>
      <w:bookmarkStart w:id="0" w:name="_GoBack"/>
      <w:bookmarkEnd w:id="0"/>
    </w:p>
    <w:p w:rsidR="00F170E6" w:rsidRDefault="00F170E6" w:rsidP="00F170E6">
      <w:pPr>
        <w:pStyle w:val="Heading3"/>
      </w:pPr>
      <w:r>
        <w:t>Analysis</w:t>
      </w:r>
    </w:p>
    <w:p w:rsidR="00F170E6" w:rsidRDefault="00F170E6" w:rsidP="00F170E6">
      <w:r>
        <w:t xml:space="preserve">We used k-Nearest Neighbor (kNN), an instance-based machine learning method, and trained a kNN predictor for each age-/sex-/year-group of MCD </w:t>
      </w:r>
      <w:r w:rsidR="00865C99">
        <w:t xml:space="preserve">data (restricted </w:t>
      </w:r>
      <w:r w:rsidR="00865C99">
        <w:t>for USA data</w:t>
      </w:r>
      <w:r w:rsidR="00865C99">
        <w:t xml:space="preserve"> to remove example where </w:t>
      </w:r>
      <w:r w:rsidR="00865C99">
        <w:lastRenderedPageBreak/>
        <w:t xml:space="preserve">the </w:t>
      </w:r>
      <w:r>
        <w:t>underlying cause of death</w:t>
      </w:r>
      <w:r w:rsidR="00865C99">
        <w:t xml:space="preserve"> was </w:t>
      </w:r>
      <w:r w:rsidR="00865C99">
        <w:t>obvious error</w:t>
      </w:r>
      <w:r w:rsidR="00865C99">
        <w:t>)</w:t>
      </w:r>
      <w:r>
        <w:t>. We used this to make a probabilistic prediction of the underlying cause for all garbage-coded deaths</w:t>
      </w:r>
      <w:r w:rsidR="00865C99">
        <w:t xml:space="preserve"> and for all deaths</w:t>
      </w:r>
      <w:r>
        <w:t>.</w:t>
      </w:r>
    </w:p>
    <w:p w:rsidR="001253F6" w:rsidRDefault="001253F6" w:rsidP="00F170E6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eastAsiaTheme="minorHAnsi"/>
          <w:b w:val="0"/>
          <w:bCs w:val="0"/>
        </w:rPr>
        <w:fldChar w:fldCharType="begin"/>
      </w:r>
      <w:r>
        <w:rPr>
          <w:rFonts w:eastAsiaTheme="minorHAnsi"/>
          <w:b w:val="0"/>
          <w:bCs w:val="0"/>
        </w:rPr>
        <w:instrText xml:space="preserve"> LINK Excel.Sheet.12 "Book1" "Sheet1!R1C1:R7C2" \a \f 4 \h </w:instrText>
      </w:r>
      <w:r>
        <w:rPr>
          <w:rFonts w:eastAsiaTheme="minorHAnsi"/>
          <w:b w:val="0"/>
          <w:bCs w:val="0"/>
        </w:rPr>
        <w:fldChar w:fldCharType="separate"/>
      </w:r>
    </w:p>
    <w:tbl>
      <w:tblPr>
        <w:tblW w:w="2520" w:type="dxa"/>
        <w:tblInd w:w="108" w:type="dxa"/>
        <w:tblLook w:val="04A0" w:firstRow="1" w:lastRow="0" w:firstColumn="1" w:lastColumn="0" w:noHBand="0" w:noVBand="1"/>
      </w:tblPr>
      <w:tblGrid>
        <w:gridCol w:w="1120"/>
        <w:gridCol w:w="1400"/>
      </w:tblGrid>
      <w:tr w:rsidR="001253F6" w:rsidRPr="001253F6" w:rsidTr="001253F6">
        <w:trPr>
          <w:trHeight w:val="300"/>
        </w:trPr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b/>
                <w:bCs/>
                <w:color w:val="000000"/>
              </w:rPr>
              <w:t>Test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MEX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MEX redacted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USA GC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USA All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USA GC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USA All</w:t>
            </w:r>
          </w:p>
        </w:tc>
      </w:tr>
      <w:tr w:rsidR="001253F6" w:rsidRPr="001253F6" w:rsidTr="001253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253F6" w:rsidRPr="001253F6" w:rsidRDefault="001253F6" w:rsidP="001253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53F6">
              <w:rPr>
                <w:rFonts w:ascii="Calibri" w:eastAsia="Times New Roman" w:hAnsi="Calibri" w:cs="Times New Roman"/>
                <w:color w:val="000000"/>
              </w:rPr>
              <w:t>MEX redacted</w:t>
            </w:r>
          </w:p>
        </w:tc>
      </w:tr>
    </w:tbl>
    <w:p w:rsidR="00F170E6" w:rsidRDefault="001253F6" w:rsidP="00F170E6">
      <w:pPr>
        <w:pStyle w:val="Heading3"/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fldChar w:fldCharType="end"/>
      </w:r>
      <w:r w:rsidR="00F170E6">
        <w:t>Validation</w:t>
      </w:r>
    </w:p>
    <w:p w:rsidR="00F170E6" w:rsidRDefault="00F170E6" w:rsidP="00F170E6">
      <w:r>
        <w:t>We employed the validation framework developed by the PHMRC in the context of verbal autopsy analysis, which measures cause-specific mortality fraction (CSMF) accuracy via a hold-out cross validation setting where the test set has a CSMF distribution drawn from an uninformative Dirichlet distribution.</w:t>
      </w:r>
    </w:p>
    <w:p w:rsidR="00F170E6" w:rsidRDefault="00F170E6" w:rsidP="00F170E6">
      <w:pPr>
        <w:pStyle w:val="Heading2"/>
      </w:pPr>
      <w:r>
        <w:t>Results</w:t>
      </w:r>
    </w:p>
    <w:p w:rsidR="00F170E6" w:rsidRDefault="00F170E6" w:rsidP="00F170E6">
      <w:r>
        <w:t>TK</w:t>
      </w:r>
    </w:p>
    <w:p w:rsidR="00F170E6" w:rsidRDefault="00F170E6" w:rsidP="00F170E6">
      <w:pPr>
        <w:pStyle w:val="Heading2"/>
      </w:pPr>
      <w:r>
        <w:t>Discussion</w:t>
      </w:r>
    </w:p>
    <w:p w:rsidR="00F170E6" w:rsidRPr="00F170E6" w:rsidRDefault="00F170E6" w:rsidP="00F170E6">
      <w:r>
        <w:t xml:space="preserve">This is a valid approach, and </w:t>
      </w:r>
      <w:r w:rsidR="00510CD4">
        <w:t>can potentially improve cause-of-death estimation from MCD data.</w:t>
      </w:r>
    </w:p>
    <w:sectPr w:rsidR="00F170E6" w:rsidRPr="00F1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B5"/>
    <w:rsid w:val="00063C28"/>
    <w:rsid w:val="001253F6"/>
    <w:rsid w:val="001351E8"/>
    <w:rsid w:val="001C62B5"/>
    <w:rsid w:val="002F1734"/>
    <w:rsid w:val="00510CD4"/>
    <w:rsid w:val="005D1B5A"/>
    <w:rsid w:val="00611518"/>
    <w:rsid w:val="00720360"/>
    <w:rsid w:val="00865C99"/>
    <w:rsid w:val="00952E97"/>
    <w:rsid w:val="00F155FE"/>
    <w:rsid w:val="00F1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D4418-9B22-47E4-8499-7894DE94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0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D. Flaxman</dc:creator>
  <cp:lastModifiedBy>Abraham D. Flaxman</cp:lastModifiedBy>
  <cp:revision>7</cp:revision>
  <dcterms:created xsi:type="dcterms:W3CDTF">2014-01-14T01:50:00Z</dcterms:created>
  <dcterms:modified xsi:type="dcterms:W3CDTF">2014-01-14T22:25:00Z</dcterms:modified>
</cp:coreProperties>
</file>