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5FA" w:rsidRDefault="00E345FA" w:rsidP="00BB4DB3">
      <w:pPr>
        <w:pStyle w:val="ListParagraph"/>
        <w:spacing w:after="0"/>
        <w:ind w:left="0"/>
      </w:pPr>
    </w:p>
    <w:p w:rsidR="006B5682" w:rsidRDefault="006B5682" w:rsidP="00BB4DB3">
      <w:pPr>
        <w:pStyle w:val="ListParagraph"/>
        <w:spacing w:after="0"/>
        <w:ind w:left="0"/>
      </w:pPr>
    </w:p>
    <w:p w:rsidR="006B5682" w:rsidRDefault="006B5682" w:rsidP="006B5682">
      <w:pPr>
        <w:pStyle w:val="Heading1"/>
      </w:pPr>
      <w:r>
        <w:t>Bayesian analysis of death certificate data</w:t>
      </w:r>
    </w:p>
    <w:p w:rsidR="006B5682" w:rsidRDefault="006B5682" w:rsidP="006B5682">
      <w:pPr>
        <w:pStyle w:val="Heading2"/>
      </w:pPr>
      <w:r>
        <w:t>Introduction</w:t>
      </w:r>
    </w:p>
    <w:p w:rsidR="006B5682" w:rsidRPr="006B5682" w:rsidRDefault="006B5682" w:rsidP="006B5682">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Scope of the problem, data under consideration, basic approach</w:t>
      </w:r>
      <w:r w:rsidR="00D901CD">
        <w:rPr>
          <w:rFonts w:asciiTheme="minorHAnsi" w:eastAsiaTheme="minorHAnsi" w:hAnsiTheme="minorHAnsi" w:cstheme="minorBidi"/>
          <w:b w:val="0"/>
          <w:bCs w:val="0"/>
          <w:color w:val="auto"/>
          <w:sz w:val="22"/>
          <w:szCs w:val="22"/>
        </w:rPr>
        <w:t>.</w:t>
      </w:r>
    </w:p>
    <w:p w:rsidR="006B5682" w:rsidRPr="006B5682" w:rsidRDefault="006B5682" w:rsidP="006B5682">
      <w:pPr>
        <w:pStyle w:val="Heading2"/>
        <w:rPr>
          <w:rFonts w:asciiTheme="minorHAnsi" w:eastAsiaTheme="minorHAnsi" w:hAnsiTheme="minorHAnsi" w:cstheme="minorBidi"/>
          <w:b w:val="0"/>
          <w:bCs w:val="0"/>
          <w:color w:val="auto"/>
          <w:sz w:val="22"/>
          <w:szCs w:val="22"/>
        </w:rPr>
      </w:pPr>
    </w:p>
    <w:p w:rsidR="006B5682" w:rsidRDefault="006B5682" w:rsidP="00D901CD">
      <w:pPr>
        <w:pStyle w:val="Heading2"/>
      </w:pPr>
      <w:r>
        <w:t>Methods</w:t>
      </w:r>
    </w:p>
    <w:p w:rsidR="006B5682" w:rsidRDefault="006B5682" w:rsidP="006B5682">
      <w:pPr>
        <w:pStyle w:val="Heading3"/>
      </w:pPr>
      <w:r>
        <w:t>Data sources</w:t>
      </w:r>
    </w:p>
    <w:p w:rsidR="006B5682" w:rsidRDefault="00D901CD" w:rsidP="006B5682">
      <w:r>
        <w:t xml:space="preserve">[Following from Abie] </w:t>
      </w:r>
      <w:r w:rsidR="006B5682">
        <w:t xml:space="preserve">USA MCD data from 1980 to 2010, which we grouped by age, sex, and year. </w:t>
      </w:r>
      <w:bookmarkStart w:id="0" w:name="_GoBack"/>
      <w:r w:rsidR="006B5682">
        <w:t xml:space="preserve">PHMRC </w:t>
      </w:r>
      <w:bookmarkEnd w:id="0"/>
      <w:r w:rsidR="006B5682">
        <w:t>gold-standard validation data with linked MCD death certificates from Mexico City. For testing purposes, we removed the underlying cause of death from all MEX death certificates.</w:t>
      </w:r>
      <w:r w:rsidR="002E3529">
        <w:t xml:space="preserve">   This data set included information from 1,587 individuals, 224 of whom had ‘_</w:t>
      </w:r>
      <w:proofErr w:type="spellStart"/>
      <w:r w:rsidR="002E3529">
        <w:t>gc</w:t>
      </w:r>
      <w:proofErr w:type="spellEnd"/>
      <w:r w:rsidR="002E3529">
        <w:t>’ associated with their official cause of death.   Information available for each subject included age, gender, educational level, smoking and drinking habits, marital status</w:t>
      </w:r>
      <w:r w:rsidR="00473326">
        <w:t xml:space="preserve"> and a variety of other survey items.</w:t>
      </w:r>
    </w:p>
    <w:p w:rsidR="006B5682" w:rsidRDefault="006B5682" w:rsidP="006B5682">
      <w:pPr>
        <w:pStyle w:val="Heading3"/>
      </w:pPr>
    </w:p>
    <w:p w:rsidR="006B5682" w:rsidRDefault="006B5682" w:rsidP="006B5682">
      <w:pPr>
        <w:pStyle w:val="Heading3"/>
      </w:pPr>
    </w:p>
    <w:p w:rsidR="006B5682" w:rsidRDefault="006B5682" w:rsidP="006B5682">
      <w:pPr>
        <w:pStyle w:val="Heading3"/>
      </w:pPr>
      <w:r>
        <w:t>Analysis</w:t>
      </w:r>
    </w:p>
    <w:p w:rsidR="006B5682" w:rsidRDefault="00D901CD" w:rsidP="006B5682">
      <w:pPr>
        <w:pStyle w:val="Heading3"/>
        <w:rPr>
          <w:rFonts w:asciiTheme="minorHAnsi" w:eastAsiaTheme="minorHAnsi" w:hAnsiTheme="minorHAnsi" w:cstheme="minorBidi"/>
          <w:b w:val="0"/>
          <w:bCs w:val="0"/>
          <w:color w:val="auto"/>
        </w:rPr>
      </w:pPr>
      <w:r w:rsidRPr="00D901CD">
        <w:rPr>
          <w:rFonts w:asciiTheme="minorHAnsi" w:eastAsiaTheme="minorHAnsi" w:hAnsiTheme="minorHAnsi" w:cstheme="minorBidi"/>
          <w:b w:val="0"/>
          <w:bCs w:val="0"/>
          <w:color w:val="auto"/>
        </w:rPr>
        <w:t xml:space="preserve">We used a </w:t>
      </w:r>
      <w:r>
        <w:rPr>
          <w:rFonts w:asciiTheme="minorHAnsi" w:eastAsiaTheme="minorHAnsi" w:hAnsiTheme="minorHAnsi" w:cstheme="minorBidi"/>
          <w:b w:val="0"/>
          <w:bCs w:val="0"/>
          <w:color w:val="auto"/>
        </w:rPr>
        <w:t xml:space="preserve">Bayesian approach to calculate the probability of the cause of death of subjects on the basis of the list of antecedent causes from the death certificate as well as demographic information such as age, gender, and smoking habits.  </w:t>
      </w:r>
      <w:r w:rsidR="006B5682">
        <w:rPr>
          <w:rFonts w:asciiTheme="minorHAnsi" w:eastAsiaTheme="minorHAnsi" w:hAnsiTheme="minorHAnsi" w:cstheme="minorBidi"/>
          <w:b w:val="0"/>
          <w:bCs w:val="0"/>
          <w:color w:val="auto"/>
        </w:rPr>
        <w:fldChar w:fldCharType="begin"/>
      </w:r>
      <w:r w:rsidR="006B5682" w:rsidRPr="00D901CD">
        <w:rPr>
          <w:rFonts w:asciiTheme="minorHAnsi" w:eastAsiaTheme="minorHAnsi" w:hAnsiTheme="minorHAnsi" w:cstheme="minorBidi"/>
          <w:b w:val="0"/>
          <w:bCs w:val="0"/>
          <w:color w:val="auto"/>
        </w:rPr>
        <w:instrText xml:space="preserve"> LINK Excel.Sheet.12 "Book1" "Sheet1!R1C1:R7C2" \a \f 4 \h </w:instrText>
      </w:r>
      <w:r>
        <w:rPr>
          <w:rFonts w:asciiTheme="minorHAnsi" w:eastAsiaTheme="minorHAnsi" w:hAnsiTheme="minorHAnsi" w:cstheme="minorBidi"/>
          <w:b w:val="0"/>
          <w:bCs w:val="0"/>
          <w:color w:val="auto"/>
        </w:rPr>
        <w:instrText xml:space="preserve"> \* MERGEFORMAT </w:instrText>
      </w:r>
      <w:r w:rsidR="006B5682">
        <w:rPr>
          <w:rFonts w:asciiTheme="minorHAnsi" w:eastAsiaTheme="minorHAnsi" w:hAnsiTheme="minorHAnsi" w:cstheme="minorBidi"/>
          <w:b w:val="0"/>
          <w:bCs w:val="0"/>
          <w:color w:val="auto"/>
        </w:rPr>
        <w:fldChar w:fldCharType="separate"/>
      </w:r>
    </w:p>
    <w:p w:rsidR="006B5682" w:rsidRDefault="006B5682" w:rsidP="006B5682">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fldChar w:fldCharType="end"/>
      </w:r>
    </w:p>
    <w:p w:rsidR="006B5682" w:rsidRDefault="006B5682" w:rsidP="006B5682">
      <w:pPr>
        <w:pStyle w:val="Heading3"/>
      </w:pPr>
      <w:r>
        <w:t>Validation</w:t>
      </w:r>
    </w:p>
    <w:p w:rsidR="006B5682" w:rsidRDefault="006B5682" w:rsidP="006B5682">
      <w:pPr>
        <w:pStyle w:val="Heading2"/>
      </w:pPr>
    </w:p>
    <w:p w:rsidR="006B5682" w:rsidRDefault="006B5682" w:rsidP="006B5682">
      <w:pPr>
        <w:pStyle w:val="Heading2"/>
      </w:pPr>
    </w:p>
    <w:p w:rsidR="006B5682" w:rsidRDefault="006B5682" w:rsidP="006B5682">
      <w:pPr>
        <w:pStyle w:val="Heading2"/>
      </w:pPr>
      <w:r>
        <w:t>Results</w:t>
      </w:r>
    </w:p>
    <w:p w:rsidR="00411C9A" w:rsidRPr="00411C9A" w:rsidRDefault="00411C9A" w:rsidP="00411C9A"/>
    <w:p w:rsidR="00D901CD" w:rsidRDefault="00BB3D58" w:rsidP="00D947E9">
      <w:pPr>
        <w:keepNext/>
      </w:pPr>
      <w:r w:rsidRPr="002E3529">
        <w:rPr>
          <w:b/>
        </w:rPr>
        <w:lastRenderedPageBreak/>
        <w:t>Table</w:t>
      </w:r>
      <w:r w:rsidR="00D901CD" w:rsidRPr="002E3529">
        <w:rPr>
          <w:b/>
        </w:rPr>
        <w:t xml:space="preserve"> 1.</w:t>
      </w:r>
      <w:r w:rsidR="00D901CD">
        <w:t xml:space="preserve">  </w:t>
      </w:r>
      <w:r w:rsidR="002E206C">
        <w:t>Occurrence of ICD terms with PHMRC gold-standard classifications.</w:t>
      </w:r>
    </w:p>
    <w:p w:rsidR="004E6310" w:rsidRPr="00777767" w:rsidRDefault="004E6310" w:rsidP="00D947E9">
      <w:pPr>
        <w:keepNext/>
        <w:spacing w:after="0"/>
        <w:rPr>
          <w:rFonts w:ascii="Courier New" w:hAnsi="Courier New" w:cs="Courier New"/>
          <w:sz w:val="18"/>
          <w:u w:val="single"/>
        </w:rPr>
      </w:pPr>
      <w:r w:rsidRPr="00777767">
        <w:rPr>
          <w:rFonts w:ascii="Courier New" w:hAnsi="Courier New" w:cs="Courier New"/>
          <w:sz w:val="18"/>
          <w:u w:val="single"/>
        </w:rPr>
        <w:t xml:space="preserve">                   AIDS </w:t>
      </w:r>
      <w:proofErr w:type="spellStart"/>
      <w:r w:rsidRPr="00777767">
        <w:rPr>
          <w:rFonts w:ascii="Courier New" w:hAnsi="Courier New" w:cs="Courier New"/>
          <w:sz w:val="18"/>
          <w:u w:val="single"/>
        </w:rPr>
        <w:t>Birth.asphyxia</w:t>
      </w:r>
      <w:proofErr w:type="spellEnd"/>
      <w:r w:rsidRPr="00777767">
        <w:rPr>
          <w:rFonts w:ascii="Courier New" w:hAnsi="Courier New" w:cs="Courier New"/>
          <w:sz w:val="18"/>
          <w:u w:val="single"/>
        </w:rPr>
        <w:t xml:space="preserve"> </w:t>
      </w:r>
      <w:proofErr w:type="spellStart"/>
      <w:r w:rsidRPr="00777767">
        <w:rPr>
          <w:rFonts w:ascii="Courier New" w:hAnsi="Courier New" w:cs="Courier New"/>
          <w:sz w:val="18"/>
          <w:u w:val="single"/>
        </w:rPr>
        <w:t>Breast.Cancer</w:t>
      </w:r>
      <w:proofErr w:type="spellEnd"/>
      <w:r w:rsidRPr="00777767">
        <w:rPr>
          <w:rFonts w:ascii="Courier New" w:hAnsi="Courier New" w:cs="Courier New"/>
          <w:sz w:val="18"/>
          <w:u w:val="single"/>
        </w:rPr>
        <w:t xml:space="preserve"> </w:t>
      </w:r>
      <w:proofErr w:type="spellStart"/>
      <w:r w:rsidRPr="00777767">
        <w:rPr>
          <w:rFonts w:ascii="Courier New" w:hAnsi="Courier New" w:cs="Courier New"/>
          <w:sz w:val="18"/>
          <w:u w:val="single"/>
        </w:rPr>
        <w:t>Cervical.Cancer</w:t>
      </w:r>
      <w:proofErr w:type="spellEnd"/>
      <w:r w:rsidRPr="00777767">
        <w:rPr>
          <w:rFonts w:ascii="Courier New" w:hAnsi="Courier New" w:cs="Courier New"/>
          <w:sz w:val="18"/>
          <w:u w:val="single"/>
        </w:rPr>
        <w:t xml:space="preserve"> Cirrhosis</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A419                 31              0             0               5         3</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B24                  92              0             0               0         0</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C509                  0              0            30               0         0</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E119                  1              0             3               2         6</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E149                  0              0             0               0         3</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E872                  5              0             8               5         4</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E878                  3              0             2               0        17</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F102                  0              0             0               0        64</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G936                  9              0             1               0         2</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I10                   0              0             2               4         4</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I219                  0              0             0               0         0</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I509                  0              0             0               0         1</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I619                  0              0             0               0         1</w:t>
      </w:r>
    </w:p>
    <w:p w:rsidR="004E6310" w:rsidRPr="00777767" w:rsidRDefault="004E6310" w:rsidP="00D947E9">
      <w:pPr>
        <w:keepNext/>
        <w:spacing w:after="0" w:line="240" w:lineRule="auto"/>
        <w:rPr>
          <w:rFonts w:ascii="Courier New" w:hAnsi="Courier New" w:cs="Courier New"/>
          <w:sz w:val="18"/>
        </w:rPr>
      </w:pPr>
      <w:r w:rsidRPr="00777767">
        <w:rPr>
          <w:rFonts w:ascii="Courier New" w:hAnsi="Courier New" w:cs="Courier New"/>
          <w:sz w:val="18"/>
        </w:rPr>
        <w:t>J180                  6              0             1               1         2</w:t>
      </w:r>
    </w:p>
    <w:p w:rsidR="002E206C" w:rsidRPr="00777767" w:rsidRDefault="004E6310" w:rsidP="00D947E9">
      <w:pPr>
        <w:keepNext/>
        <w:spacing w:after="0" w:line="240" w:lineRule="auto"/>
        <w:rPr>
          <w:rFonts w:ascii="Courier New" w:hAnsi="Courier New" w:cs="Courier New"/>
          <w:sz w:val="18"/>
          <w:u w:val="single"/>
        </w:rPr>
      </w:pPr>
      <w:r w:rsidRPr="00777767">
        <w:rPr>
          <w:rFonts w:ascii="Courier New" w:hAnsi="Courier New" w:cs="Courier New"/>
          <w:sz w:val="18"/>
          <w:u w:val="single"/>
        </w:rPr>
        <w:t>J189                 28              0             5               0         1</w:t>
      </w:r>
    </w:p>
    <w:p w:rsidR="004E6310" w:rsidRDefault="004E6310" w:rsidP="00D901CD"/>
    <w:p w:rsidR="004E6310" w:rsidRDefault="00777767" w:rsidP="00D901CD">
      <w:r>
        <w:t xml:space="preserve">This figure shows an example of 15 ICD codes (row names) as found in the Mexico data set and their association with PHMRC gold standard classifications (column headers).   This data fragment reveals 31, 92 and 28 counts </w:t>
      </w:r>
      <w:r w:rsidR="00BB3D58">
        <w:t xml:space="preserve">respectively </w:t>
      </w:r>
      <w:r>
        <w:t>of the ICD terms A419</w:t>
      </w:r>
      <w:r w:rsidR="00BB3D58">
        <w:t xml:space="preserve"> (</w:t>
      </w:r>
      <w:r w:rsidR="00BB3D58" w:rsidRPr="00BB3D58">
        <w:t>"Sepsis, unspecified organism"</w:t>
      </w:r>
      <w:r w:rsidR="00BB3D58">
        <w:t>)</w:t>
      </w:r>
      <w:r>
        <w:t>, B24</w:t>
      </w:r>
      <w:r w:rsidR="00BB3D58">
        <w:t xml:space="preserve"> (“</w:t>
      </w:r>
      <w:r w:rsidR="00BB3D58" w:rsidRPr="00BB3D58">
        <w:t>Human immunodeficiency virus [HIV] disease</w:t>
      </w:r>
      <w:r w:rsidR="00BB3D58">
        <w:t>”**)</w:t>
      </w:r>
      <w:r>
        <w:t xml:space="preserve"> and J189</w:t>
      </w:r>
      <w:r w:rsidR="00BB3D58">
        <w:t xml:space="preserve"> (</w:t>
      </w:r>
      <w:r w:rsidR="00BB3D58" w:rsidRPr="00BB3D58">
        <w:t>"Pneumonia, unspecified organism"</w:t>
      </w:r>
      <w:r w:rsidR="00BB3D58">
        <w:t>)</w:t>
      </w:r>
      <w:r>
        <w:t xml:space="preserve"> with the classification ‘AIDS’ suggesting a strong association of these antecedent causes with AIDS.    In contrast, ICD codes E872</w:t>
      </w:r>
      <w:r w:rsidR="00BB3D58">
        <w:t xml:space="preserve"> (</w:t>
      </w:r>
      <w:r w:rsidR="00BB3D58" w:rsidRPr="00BB3D58">
        <w:t>"Acidosis"</w:t>
      </w:r>
      <w:r w:rsidR="00BB3D58">
        <w:t>)</w:t>
      </w:r>
      <w:r>
        <w:t xml:space="preserve"> and E878 </w:t>
      </w:r>
      <w:r w:rsidR="00BB3D58">
        <w:t>(</w:t>
      </w:r>
      <w:r w:rsidR="00BB3D58" w:rsidRPr="00BB3D58">
        <w:t>"</w:t>
      </w:r>
      <w:proofErr w:type="spellStart"/>
      <w:r w:rsidR="00BB3D58" w:rsidRPr="00BB3D58">
        <w:t>Oth</w:t>
      </w:r>
      <w:proofErr w:type="spellEnd"/>
      <w:r w:rsidR="00BB3D58" w:rsidRPr="00BB3D58">
        <w:t xml:space="preserve"> disorders of electrolyte and fluid balance, NEC"</w:t>
      </w:r>
      <w:r w:rsidR="00BB3D58">
        <w:t xml:space="preserve">) are more often associated with ‘Cirrhosis’.  </w:t>
      </w:r>
      <w:r>
        <w:t xml:space="preserve">The actual data set contains 536 separate ICD codes and 34 distinct gold standard classifications.   </w:t>
      </w:r>
    </w:p>
    <w:p w:rsidR="00777767" w:rsidRDefault="00777767" w:rsidP="00D901CD"/>
    <w:p w:rsidR="00473326" w:rsidRDefault="00473326" w:rsidP="00D947E9">
      <w:pPr>
        <w:keepNext/>
      </w:pPr>
      <w:r w:rsidRPr="00473326">
        <w:rPr>
          <w:b/>
        </w:rPr>
        <w:t>Table 2.</w:t>
      </w:r>
      <w:r>
        <w:t xml:space="preserve">  Same information as Table 1 above, but now row wise normalized to 1.  To be clear the information shown in this data fragment do no sum to 1 as there are 29 other columns not shown here.</w:t>
      </w:r>
    </w:p>
    <w:p w:rsidR="00473326" w:rsidRPr="00473326" w:rsidRDefault="00473326" w:rsidP="00D947E9">
      <w:pPr>
        <w:keepNext/>
        <w:spacing w:after="0"/>
        <w:rPr>
          <w:rFonts w:ascii="Courier New" w:hAnsi="Courier New" w:cs="Courier New"/>
          <w:sz w:val="18"/>
          <w:u w:val="single"/>
        </w:rPr>
      </w:pPr>
      <w:r w:rsidRPr="00473326">
        <w:rPr>
          <w:rFonts w:ascii="Courier New" w:hAnsi="Courier New" w:cs="Courier New"/>
          <w:sz w:val="18"/>
          <w:u w:val="single"/>
        </w:rPr>
        <w:t xml:space="preserve">                       AIDS </w:t>
      </w:r>
      <w:proofErr w:type="spellStart"/>
      <w:r w:rsidRPr="00473326">
        <w:rPr>
          <w:rFonts w:ascii="Courier New" w:hAnsi="Courier New" w:cs="Courier New"/>
          <w:sz w:val="18"/>
          <w:u w:val="single"/>
        </w:rPr>
        <w:t>Birth.asphyxia</w:t>
      </w:r>
      <w:proofErr w:type="spellEnd"/>
      <w:r w:rsidRPr="00473326">
        <w:rPr>
          <w:rFonts w:ascii="Courier New" w:hAnsi="Courier New" w:cs="Courier New"/>
          <w:sz w:val="18"/>
          <w:u w:val="single"/>
        </w:rPr>
        <w:t xml:space="preserve"> </w:t>
      </w:r>
      <w:proofErr w:type="spellStart"/>
      <w:r w:rsidRPr="00473326">
        <w:rPr>
          <w:rFonts w:ascii="Courier New" w:hAnsi="Courier New" w:cs="Courier New"/>
          <w:sz w:val="18"/>
          <w:u w:val="single"/>
        </w:rPr>
        <w:t>Breast.Cancer</w:t>
      </w:r>
      <w:proofErr w:type="spellEnd"/>
      <w:r w:rsidRPr="00473326">
        <w:rPr>
          <w:rFonts w:ascii="Courier New" w:hAnsi="Courier New" w:cs="Courier New"/>
          <w:sz w:val="18"/>
          <w:u w:val="single"/>
        </w:rPr>
        <w:t xml:space="preserve"> </w:t>
      </w:r>
      <w:proofErr w:type="spellStart"/>
      <w:r w:rsidRPr="00473326">
        <w:rPr>
          <w:rFonts w:ascii="Courier New" w:hAnsi="Courier New" w:cs="Courier New"/>
          <w:sz w:val="18"/>
          <w:u w:val="single"/>
        </w:rPr>
        <w:t>Cervical.Cancer</w:t>
      </w:r>
      <w:proofErr w:type="spellEnd"/>
      <w:r w:rsidRPr="00473326">
        <w:rPr>
          <w:rFonts w:ascii="Courier New" w:hAnsi="Courier New" w:cs="Courier New"/>
          <w:sz w:val="18"/>
          <w:u w:val="single"/>
        </w:rPr>
        <w:t xml:space="preserve"> Cirrhosis</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A419               1.46e-01       4.90e-06      </w:t>
      </w:r>
      <w:proofErr w:type="spellStart"/>
      <w:r w:rsidRPr="00473326">
        <w:rPr>
          <w:rFonts w:ascii="Courier New" w:hAnsi="Courier New" w:cs="Courier New"/>
          <w:sz w:val="18"/>
        </w:rPr>
        <w:t>4.90e-06</w:t>
      </w:r>
      <w:proofErr w:type="spellEnd"/>
      <w:r w:rsidRPr="00473326">
        <w:rPr>
          <w:rFonts w:ascii="Courier New" w:hAnsi="Courier New" w:cs="Courier New"/>
          <w:sz w:val="18"/>
        </w:rPr>
        <w:t xml:space="preserve">        2.35e-02  1.41e-02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B24                9.68e-01       2.34e-18      </w:t>
      </w:r>
      <w:proofErr w:type="spellStart"/>
      <w:r w:rsidRPr="00473326">
        <w:rPr>
          <w:rFonts w:ascii="Courier New" w:hAnsi="Courier New" w:cs="Courier New"/>
          <w:sz w:val="18"/>
        </w:rPr>
        <w:t>2.34e-18</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2.34e-18</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2.34e-18</w:t>
      </w:r>
      <w:proofErr w:type="spellEnd"/>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C509               6.29e-05       </w:t>
      </w:r>
      <w:proofErr w:type="spellStart"/>
      <w:r w:rsidRPr="00473326">
        <w:rPr>
          <w:rFonts w:ascii="Courier New" w:hAnsi="Courier New" w:cs="Courier New"/>
          <w:sz w:val="18"/>
        </w:rPr>
        <w:t>6.29e-05</w:t>
      </w:r>
      <w:proofErr w:type="spellEnd"/>
      <w:r w:rsidRPr="00473326">
        <w:rPr>
          <w:rFonts w:ascii="Courier New" w:hAnsi="Courier New" w:cs="Courier New"/>
          <w:sz w:val="18"/>
        </w:rPr>
        <w:t xml:space="preserve">      9.36e-01        6.29e-05  </w:t>
      </w:r>
      <w:proofErr w:type="spellStart"/>
      <w:r w:rsidRPr="00473326">
        <w:rPr>
          <w:rFonts w:ascii="Courier New" w:hAnsi="Courier New" w:cs="Courier New"/>
          <w:sz w:val="18"/>
        </w:rPr>
        <w:t>6.29e-05</w:t>
      </w:r>
      <w:proofErr w:type="spellEnd"/>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E119               4.33e-03       5.77e-06      1.30e-02        8.66e-03  2.60e-02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E149               1.47e-04       </w:t>
      </w:r>
      <w:proofErr w:type="spellStart"/>
      <w:r w:rsidRPr="00473326">
        <w:rPr>
          <w:rFonts w:ascii="Courier New" w:hAnsi="Courier New" w:cs="Courier New"/>
          <w:sz w:val="18"/>
        </w:rPr>
        <w:t>1.47e-04</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1.47e-04</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1.47e-04</w:t>
      </w:r>
      <w:proofErr w:type="spellEnd"/>
      <w:r w:rsidRPr="00473326">
        <w:rPr>
          <w:rFonts w:ascii="Courier New" w:hAnsi="Courier New" w:cs="Courier New"/>
          <w:sz w:val="18"/>
        </w:rPr>
        <w:t xml:space="preserve">  6.80e-02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E872               5.32e-02       4.71e-05      8.51e-02        5.32e-02  4.25e-02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E878               2.34e-02       1.91e-05      1.56e-02        1.91e-05  1.33e-01</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F102               1.97e-05       </w:t>
      </w:r>
      <w:proofErr w:type="spellStart"/>
      <w:r w:rsidRPr="00473326">
        <w:rPr>
          <w:rFonts w:ascii="Courier New" w:hAnsi="Courier New" w:cs="Courier New"/>
          <w:sz w:val="18"/>
        </w:rPr>
        <w:t>1.97e-05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1.97e-05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1.97e-05</w:t>
      </w:r>
      <w:proofErr w:type="spellEnd"/>
      <w:r w:rsidRPr="00473326">
        <w:rPr>
          <w:rFonts w:ascii="Courier New" w:hAnsi="Courier New" w:cs="Courier New"/>
          <w:sz w:val="18"/>
        </w:rPr>
        <w:t xml:space="preserve">  8.53e-01</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G936               1.61e-01       4.16e-05      1.78e-02        4.16e-05  3.57e-02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I10                3.95e-06       </w:t>
      </w:r>
      <w:proofErr w:type="spellStart"/>
      <w:r w:rsidRPr="00473326">
        <w:rPr>
          <w:rFonts w:ascii="Courier New" w:hAnsi="Courier New" w:cs="Courier New"/>
          <w:sz w:val="18"/>
        </w:rPr>
        <w:t>3.95e-06</w:t>
      </w:r>
      <w:proofErr w:type="spellEnd"/>
      <w:r w:rsidRPr="00473326">
        <w:rPr>
          <w:rFonts w:ascii="Courier New" w:hAnsi="Courier New" w:cs="Courier New"/>
          <w:sz w:val="18"/>
        </w:rPr>
        <w:t xml:space="preserve">      8.58e-03        1.72e-02  </w:t>
      </w:r>
      <w:proofErr w:type="spellStart"/>
      <w:r w:rsidRPr="00473326">
        <w:rPr>
          <w:rFonts w:ascii="Courier New" w:hAnsi="Courier New" w:cs="Courier New"/>
          <w:sz w:val="18"/>
        </w:rPr>
        <w:t>1.72e-02</w:t>
      </w:r>
      <w:proofErr w:type="spellEnd"/>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I219               4.08e-05       </w:t>
      </w:r>
      <w:proofErr w:type="spellStart"/>
      <w:r w:rsidRPr="00473326">
        <w:rPr>
          <w:rFonts w:ascii="Courier New" w:hAnsi="Courier New" w:cs="Courier New"/>
          <w:sz w:val="18"/>
        </w:rPr>
        <w:t>4.08e-05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4.08e-05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4.08e-05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4.08e-05</w:t>
      </w:r>
      <w:proofErr w:type="spellEnd"/>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I509               1.94e-04       </w:t>
      </w:r>
      <w:proofErr w:type="spellStart"/>
      <w:r w:rsidRPr="00473326">
        <w:rPr>
          <w:rFonts w:ascii="Courier New" w:hAnsi="Courier New" w:cs="Courier New"/>
          <w:sz w:val="18"/>
        </w:rPr>
        <w:t>1.94e-04</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1.94e-04</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1.94e-04</w:t>
      </w:r>
      <w:proofErr w:type="spellEnd"/>
      <w:r w:rsidRPr="00473326">
        <w:rPr>
          <w:rFonts w:ascii="Courier New" w:hAnsi="Courier New" w:cs="Courier New"/>
          <w:sz w:val="18"/>
        </w:rPr>
        <w:t xml:space="preserve">  2.85e-02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I619               6.69e-05       </w:t>
      </w:r>
      <w:proofErr w:type="spellStart"/>
      <w:r w:rsidRPr="00473326">
        <w:rPr>
          <w:rFonts w:ascii="Courier New" w:hAnsi="Courier New" w:cs="Courier New"/>
          <w:sz w:val="18"/>
        </w:rPr>
        <w:t>6.69e-05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6.69e-05</w:t>
      </w:r>
      <w:proofErr w:type="spellEnd"/>
      <w:r w:rsidRPr="00473326">
        <w:rPr>
          <w:rFonts w:ascii="Courier New" w:hAnsi="Courier New" w:cs="Courier New"/>
          <w:sz w:val="18"/>
        </w:rPr>
        <w:t xml:space="preserve">        </w:t>
      </w:r>
      <w:proofErr w:type="spellStart"/>
      <w:r w:rsidRPr="00473326">
        <w:rPr>
          <w:rFonts w:ascii="Courier New" w:hAnsi="Courier New" w:cs="Courier New"/>
          <w:sz w:val="18"/>
        </w:rPr>
        <w:t>6.69e-05</w:t>
      </w:r>
      <w:proofErr w:type="spellEnd"/>
      <w:r w:rsidRPr="00473326">
        <w:rPr>
          <w:rFonts w:ascii="Courier New" w:hAnsi="Courier New" w:cs="Courier New"/>
          <w:sz w:val="18"/>
        </w:rPr>
        <w:t xml:space="preserve">  2.12e-02</w:t>
      </w:r>
    </w:p>
    <w:p w:rsidR="00473326" w:rsidRPr="00473326" w:rsidRDefault="00473326" w:rsidP="00D947E9">
      <w:pPr>
        <w:keepNext/>
        <w:spacing w:after="0"/>
        <w:rPr>
          <w:rFonts w:ascii="Courier New" w:hAnsi="Courier New" w:cs="Courier New"/>
          <w:sz w:val="18"/>
        </w:rPr>
      </w:pPr>
      <w:r w:rsidRPr="00473326">
        <w:rPr>
          <w:rFonts w:ascii="Courier New" w:hAnsi="Courier New" w:cs="Courier New"/>
          <w:sz w:val="18"/>
        </w:rPr>
        <w:t xml:space="preserve">J180               6.74e-02       6.31e-05      1.12e-02        </w:t>
      </w:r>
      <w:proofErr w:type="spellStart"/>
      <w:r w:rsidRPr="00473326">
        <w:rPr>
          <w:rFonts w:ascii="Courier New" w:hAnsi="Courier New" w:cs="Courier New"/>
          <w:sz w:val="18"/>
        </w:rPr>
        <w:t>1.12e-02</w:t>
      </w:r>
      <w:proofErr w:type="spellEnd"/>
      <w:r w:rsidRPr="00473326">
        <w:rPr>
          <w:rFonts w:ascii="Courier New" w:hAnsi="Courier New" w:cs="Courier New"/>
          <w:sz w:val="18"/>
        </w:rPr>
        <w:t xml:space="preserve">  2.25e-02</w:t>
      </w:r>
    </w:p>
    <w:p w:rsidR="00473326" w:rsidRPr="00473326" w:rsidRDefault="00473326" w:rsidP="00D947E9">
      <w:pPr>
        <w:keepNext/>
        <w:spacing w:after="0"/>
        <w:rPr>
          <w:rFonts w:ascii="Courier New" w:hAnsi="Courier New" w:cs="Courier New"/>
          <w:sz w:val="18"/>
          <w:u w:val="single"/>
        </w:rPr>
      </w:pPr>
      <w:r w:rsidRPr="00473326">
        <w:rPr>
          <w:rFonts w:ascii="Courier New" w:hAnsi="Courier New" w:cs="Courier New"/>
          <w:sz w:val="18"/>
          <w:u w:val="single"/>
        </w:rPr>
        <w:t>J189               2.12e-01       4.59e-05      3.79e-02        4.59e-05  7.57e-03</w:t>
      </w:r>
    </w:p>
    <w:p w:rsidR="00777767" w:rsidRDefault="00777767" w:rsidP="00D901CD"/>
    <w:p w:rsidR="00777767" w:rsidRDefault="00473326" w:rsidP="00D901CD">
      <w:r>
        <w:lastRenderedPageBreak/>
        <w:t xml:space="preserve">By way of illustration of the Bayesian approach an new death certificate bearing the terms J189, J180 and A419 has a probability of 0.212 x 0.0674 x 0.146 = </w:t>
      </w:r>
      <w:r w:rsidR="00A51284">
        <w:t>2.09 x 10</w:t>
      </w:r>
      <w:r w:rsidR="00A51284" w:rsidRPr="00A51284">
        <w:rPr>
          <w:vertAlign w:val="superscript"/>
        </w:rPr>
        <w:t>-3</w:t>
      </w:r>
      <w:r>
        <w:t xml:space="preserve"> of being associated with the classification of ‘AIDS’, but only a 7.57e-03 </w:t>
      </w:r>
      <w:r w:rsidR="00A51284">
        <w:t xml:space="preserve"> x</w:t>
      </w:r>
      <w:r>
        <w:t xml:space="preserve"> </w:t>
      </w:r>
      <w:r w:rsidR="00A51284">
        <w:t xml:space="preserve"> </w:t>
      </w:r>
      <w:r>
        <w:t>2.25e-0</w:t>
      </w:r>
      <w:r w:rsidR="00A51284">
        <w:t>2   x</w:t>
      </w:r>
      <w:r>
        <w:t xml:space="preserve">   1.41e-03  = 2.4 x 10</w:t>
      </w:r>
      <w:r w:rsidRPr="00A51284">
        <w:rPr>
          <w:vertAlign w:val="superscript"/>
        </w:rPr>
        <w:t>-7</w:t>
      </w:r>
      <w:r w:rsidR="00A51284">
        <w:t xml:space="preserve"> probability of being associated with ‘Cirrhosis’.</w:t>
      </w:r>
    </w:p>
    <w:p w:rsidR="00777767" w:rsidRDefault="00777767" w:rsidP="00D901CD"/>
    <w:p w:rsidR="002E206C" w:rsidRDefault="002E206C" w:rsidP="00D947E9">
      <w:pPr>
        <w:keepNext/>
      </w:pPr>
      <w:r w:rsidRPr="002E3529">
        <w:rPr>
          <w:b/>
        </w:rPr>
        <w:t xml:space="preserve">Figure </w:t>
      </w:r>
      <w:r w:rsidR="00BB3D58" w:rsidRPr="002E3529">
        <w:rPr>
          <w:b/>
        </w:rPr>
        <w:t>1</w:t>
      </w:r>
      <w:r w:rsidRPr="002E3529">
        <w:rPr>
          <w:b/>
        </w:rPr>
        <w:t>.</w:t>
      </w:r>
      <w:r>
        <w:t xml:space="preserve"> </w:t>
      </w:r>
      <w:r w:rsidR="004E6310">
        <w:t>Ordered ICD codes for 93 subjects with the PHMRC gold-standard classification of AIDS conditioned on the disease or condition directly leading to death as listed on the death certificate.</w:t>
      </w:r>
      <w:r w:rsidR="000653DA">
        <w:t xml:space="preserve">  In this figure the antecedent causes of death are listed from right (most distal) to left (most proximal) as found on the death certificate.   Thus subjects in this data set had as many as 6 ordered terms listed on their death certificate.  The y-axis in this figure is the ordered list of all ICD codes associated with the AIDS classification.  In addition to the specific association of certain ICD codes with AIDS, this figure also shows certain 2-step and 3-step patterns associated with AIDS, such as B24 </w:t>
      </w:r>
      <w:r w:rsidR="000653DA">
        <w:sym w:font="Wingdings" w:char="F0E0"/>
      </w:r>
      <w:r w:rsidR="000653DA">
        <w:t xml:space="preserve"> J189</w:t>
      </w:r>
      <w:r w:rsidR="002E3529">
        <w:t xml:space="preserve"> </w:t>
      </w:r>
      <w:r w:rsidR="002E3529">
        <w:sym w:font="Wingdings" w:char="F0E0"/>
      </w:r>
      <w:r w:rsidR="002E3529">
        <w:t xml:space="preserve"> J960.</w:t>
      </w:r>
    </w:p>
    <w:p w:rsidR="004E6310" w:rsidRDefault="004E6310" w:rsidP="00D947E9">
      <w:pPr>
        <w:keepNext/>
        <w:jc w:val="center"/>
      </w:pPr>
      <w:r>
        <w:rPr>
          <w:noProof/>
        </w:rPr>
        <w:drawing>
          <wp:inline distT="0" distB="0" distL="0" distR="0" wp14:anchorId="5C360992" wp14:editId="201A0C9E">
            <wp:extent cx="59436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51985"/>
                    </a:xfrm>
                    <a:prstGeom prst="rect">
                      <a:avLst/>
                    </a:prstGeom>
                  </pic:spPr>
                </pic:pic>
              </a:graphicData>
            </a:graphic>
          </wp:inline>
        </w:drawing>
      </w:r>
    </w:p>
    <w:p w:rsidR="004E6310" w:rsidRDefault="004E6310" w:rsidP="00D901CD"/>
    <w:p w:rsidR="00D901CD" w:rsidRPr="00D901CD" w:rsidRDefault="00D901CD" w:rsidP="00D901CD"/>
    <w:p w:rsidR="006B5682" w:rsidRDefault="006B5682" w:rsidP="006B5682"/>
    <w:p w:rsidR="006B5682" w:rsidRDefault="006B5682" w:rsidP="006B5682">
      <w:pPr>
        <w:pStyle w:val="Heading2"/>
      </w:pPr>
      <w:r>
        <w:lastRenderedPageBreak/>
        <w:t>Discussion</w:t>
      </w:r>
    </w:p>
    <w:p w:rsidR="006B5682" w:rsidRDefault="006B5682" w:rsidP="00BB4DB3">
      <w:pPr>
        <w:pStyle w:val="ListParagraph"/>
        <w:spacing w:after="0"/>
        <w:ind w:left="0"/>
      </w:pPr>
    </w:p>
    <w:p w:rsidR="00D947E9" w:rsidRDefault="00D947E9" w:rsidP="00BB4DB3">
      <w:pPr>
        <w:pStyle w:val="ListParagraph"/>
        <w:spacing w:after="0"/>
        <w:ind w:left="0"/>
      </w:pPr>
      <w:r>
        <w:t>Prior models for rare events.</w:t>
      </w:r>
    </w:p>
    <w:p w:rsidR="002D541C" w:rsidRDefault="002D541C" w:rsidP="002D541C">
      <w:pPr>
        <w:pStyle w:val="ListParagraph"/>
        <w:spacing w:after="0"/>
        <w:ind w:left="0"/>
      </w:pPr>
      <w:r>
        <w:t># 10/26/14 -  Adding a prior constant of 2 to every cell *makes things worse* as opposed to 1/(Q row sum)</w:t>
      </w:r>
    </w:p>
    <w:p w:rsidR="002D541C" w:rsidRDefault="002D541C" w:rsidP="002D541C">
      <w:pPr>
        <w:pStyle w:val="ListParagraph"/>
        <w:spacing w:after="0"/>
        <w:ind w:left="0"/>
      </w:pPr>
      <w:r>
        <w:t xml:space="preserve">#          -  Adding a prior constant of 1/(2 Q </w:t>
      </w:r>
      <w:proofErr w:type="spellStart"/>
      <w:r>
        <w:t>rowsum</w:t>
      </w:r>
      <w:proofErr w:type="spellEnd"/>
      <w:r>
        <w:t xml:space="preserve">) --&gt; *a bit better &amp; a bit worse* than 1/(Q row sum) </w:t>
      </w:r>
    </w:p>
    <w:p w:rsidR="002D541C" w:rsidRDefault="002D541C" w:rsidP="002D541C">
      <w:pPr>
        <w:pStyle w:val="ListParagraph"/>
        <w:spacing w:after="0"/>
        <w:ind w:left="0"/>
      </w:pPr>
      <w:r>
        <w:t>#          -  Adding a prior constant of .</w:t>
      </w:r>
      <w:proofErr w:type="spellStart"/>
      <w:r>
        <w:t>Machine.double.eps</w:t>
      </w:r>
      <w:proofErr w:type="spellEnd"/>
      <w:r>
        <w:t xml:space="preserve"> --&gt;  *a bit better &amp; a bit worse* than 1/(Q row sum) </w:t>
      </w:r>
    </w:p>
    <w:p w:rsidR="002D541C" w:rsidRDefault="002D541C" w:rsidP="002D541C">
      <w:pPr>
        <w:pStyle w:val="ListParagraph"/>
        <w:spacing w:after="0"/>
        <w:ind w:left="0"/>
      </w:pPr>
      <w:r>
        <w:t xml:space="preserve">#          - check issue with inability to find transition </w:t>
      </w:r>
      <w:proofErr w:type="spellStart"/>
      <w:r>
        <w:t>probablilities</w:t>
      </w:r>
      <w:proofErr w:type="spellEnd"/>
      <w:r>
        <w:t xml:space="preserve"> for various items</w:t>
      </w:r>
    </w:p>
    <w:p w:rsidR="002D541C" w:rsidRDefault="002D541C" w:rsidP="002D541C">
      <w:pPr>
        <w:pStyle w:val="ListParagraph"/>
        <w:spacing w:after="0"/>
        <w:ind w:left="0"/>
      </w:pPr>
      <w:r>
        <w:t xml:space="preserve">#          - check issue with transition </w:t>
      </w:r>
      <w:proofErr w:type="spellStart"/>
      <w:r>
        <w:t>probablilities</w:t>
      </w:r>
      <w:proofErr w:type="spellEnd"/>
      <w:r>
        <w:t xml:space="preserve"> for AGEGROUP.NA and other missing values</w:t>
      </w:r>
    </w:p>
    <w:p w:rsidR="002D541C" w:rsidRDefault="002D541C" w:rsidP="002D541C">
      <w:pPr>
        <w:pStyle w:val="ListParagraph"/>
        <w:spacing w:after="0"/>
        <w:ind w:left="0"/>
      </w:pPr>
      <w:r>
        <w:t>#          - set up automated sensitivity and specificity test for each category</w:t>
      </w:r>
    </w:p>
    <w:p w:rsidR="002D541C" w:rsidRDefault="002D541C" w:rsidP="002D541C">
      <w:pPr>
        <w:pStyle w:val="ListParagraph"/>
        <w:spacing w:after="0"/>
        <w:ind w:left="0"/>
      </w:pPr>
      <w:r>
        <w:tab/>
      </w:r>
    </w:p>
    <w:p w:rsidR="00D901CD" w:rsidRDefault="00D901CD" w:rsidP="00BB4DB3">
      <w:pPr>
        <w:pStyle w:val="ListParagraph"/>
        <w:spacing w:after="0"/>
        <w:ind w:left="0"/>
      </w:pPr>
    </w:p>
    <w:p w:rsidR="00D901CD" w:rsidRDefault="00D901CD" w:rsidP="00BB4DB3">
      <w:pPr>
        <w:pStyle w:val="ListParagraph"/>
        <w:spacing w:after="0"/>
        <w:ind w:left="0"/>
      </w:pPr>
    </w:p>
    <w:p w:rsidR="00862435" w:rsidRDefault="00862435" w:rsidP="00BB4DB3">
      <w:pPr>
        <w:pStyle w:val="ListParagraph"/>
        <w:spacing w:after="0"/>
        <w:ind w:left="0"/>
      </w:pPr>
    </w:p>
    <w:p w:rsidR="00862435" w:rsidRDefault="00862435" w:rsidP="00BB4DB3">
      <w:pPr>
        <w:pStyle w:val="ListParagraph"/>
        <w:spacing w:after="0"/>
        <w:ind w:left="0"/>
      </w:pPr>
    </w:p>
    <w:p w:rsidR="00862435" w:rsidRDefault="00862435" w:rsidP="00BB4DB3">
      <w:pPr>
        <w:pStyle w:val="ListParagraph"/>
        <w:spacing w:after="0"/>
        <w:ind w:left="0"/>
      </w:pPr>
    </w:p>
    <w:p w:rsidR="00862435" w:rsidRDefault="00A23F88" w:rsidP="00BB4DB3">
      <w:pPr>
        <w:pStyle w:val="ListParagraph"/>
        <w:spacing w:after="0"/>
        <w:ind w:left="0"/>
      </w:pPr>
      <w:r>
        <w:rPr>
          <w:noProof/>
        </w:rPr>
        <w:drawing>
          <wp:inline distT="0" distB="0" distL="0" distR="0" wp14:anchorId="53517945" wp14:editId="3E256EA4">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66210"/>
                    </a:xfrm>
                    <a:prstGeom prst="rect">
                      <a:avLst/>
                    </a:prstGeom>
                  </pic:spPr>
                </pic:pic>
              </a:graphicData>
            </a:graphic>
          </wp:inline>
        </w:drawing>
      </w:r>
    </w:p>
    <w:p w:rsidR="00E43144" w:rsidRDefault="00E43144" w:rsidP="00BB4DB3">
      <w:pPr>
        <w:pStyle w:val="ListParagraph"/>
        <w:spacing w:after="0"/>
        <w:ind w:left="0"/>
      </w:pPr>
    </w:p>
    <w:p w:rsidR="00E43144" w:rsidRDefault="00E43144" w:rsidP="00BB4DB3">
      <w:pPr>
        <w:pStyle w:val="ListParagraph"/>
        <w:spacing w:after="0"/>
        <w:ind w:left="0"/>
      </w:pPr>
    </w:p>
    <w:p w:rsidR="00E43144" w:rsidRDefault="00E43144" w:rsidP="00BB4DB3">
      <w:pPr>
        <w:pStyle w:val="ListParagraph"/>
        <w:spacing w:after="0"/>
        <w:ind w:left="0"/>
      </w:pPr>
    </w:p>
    <w:p w:rsidR="00411C9A" w:rsidRDefault="00411C9A" w:rsidP="00BB4DB3">
      <w:pPr>
        <w:pStyle w:val="ListParagraph"/>
        <w:spacing w:after="0"/>
        <w:ind w:left="0"/>
      </w:pPr>
    </w:p>
    <w:p w:rsidR="00E43144" w:rsidRDefault="00E43144" w:rsidP="00BB4DB3">
      <w:pPr>
        <w:pStyle w:val="ListParagraph"/>
        <w:spacing w:after="0"/>
        <w:ind w:left="0"/>
        <w:rPr>
          <w:sz w:val="28"/>
        </w:rPr>
      </w:pPr>
      <w:r w:rsidRPr="00411C9A">
        <w:rPr>
          <w:sz w:val="28"/>
        </w:rPr>
        <w:lastRenderedPageBreak/>
        <w:t>Cause Specific Mortality Fraction</w:t>
      </w:r>
    </w:p>
    <w:p w:rsidR="00411C9A" w:rsidRPr="00411C9A" w:rsidRDefault="00EF53F0" w:rsidP="00BB4DB3">
      <w:pPr>
        <w:pStyle w:val="ListParagraph"/>
        <w:spacing w:after="0"/>
        <w:ind w:left="0"/>
        <w:rPr>
          <w:sz w:val="28"/>
        </w:rPr>
      </w:pPr>
      <w:r>
        <w:rPr>
          <w:sz w:val="28"/>
        </w:rPr>
        <w:t xml:space="preserve"> </w:t>
      </w:r>
    </w:p>
    <w:p w:rsidR="00E43144" w:rsidRDefault="00E43144" w:rsidP="00BB4DB3">
      <w:pPr>
        <w:pStyle w:val="ListParagraph"/>
        <w:spacing w:after="0"/>
        <w:ind w:left="0"/>
      </w:pPr>
      <w:r>
        <w:t xml:space="preserve">The following figure shows the calculation CSMF for data in which certain gold standard disease groups </w:t>
      </w:r>
      <w:r w:rsidRPr="00E43144">
        <w:t>('Stroke', 'AIDS', 'Diabetes', '</w:t>
      </w:r>
      <w:proofErr w:type="spellStart"/>
      <w:r w:rsidRPr="00E43144">
        <w:t>Other.Non.communicable.Diseases</w:t>
      </w:r>
      <w:proofErr w:type="spellEnd"/>
      <w:r w:rsidRPr="00E43144">
        <w:t>', '</w:t>
      </w:r>
      <w:proofErr w:type="spellStart"/>
      <w:r w:rsidRPr="00E43144">
        <w:t>Breast.Cancer</w:t>
      </w:r>
      <w:proofErr w:type="spellEnd"/>
      <w:r w:rsidRPr="00E43144">
        <w:t>')</w:t>
      </w:r>
      <w:r>
        <w:t xml:space="preserve"> were resampled to have (25) different representative fractions in the data.   For example in one resampled data set, AIDS might comprise 6% of the total mortality fraction, in another resampled data set it might comprise 15% of the total mortality fraction.</w:t>
      </w:r>
    </w:p>
    <w:p w:rsidR="00E43144" w:rsidRDefault="00E43144" w:rsidP="00BB4DB3">
      <w:pPr>
        <w:pStyle w:val="ListParagraph"/>
        <w:spacing w:after="0"/>
        <w:ind w:left="0"/>
      </w:pPr>
    </w:p>
    <w:p w:rsidR="00E43144" w:rsidRDefault="00E43144" w:rsidP="00BB4DB3">
      <w:pPr>
        <w:pStyle w:val="ListParagraph"/>
        <w:spacing w:after="0"/>
        <w:ind w:left="0"/>
      </w:pPr>
      <w:r>
        <w:t>Each resampled data set was then split into a training (75%) and test (25%) set.   A Bayes transition matrix was generated from the training data set and was applied to the test data set to predict individual mortality causes.   These data were then aggregated.   The below figure below shows the predicted m</w:t>
      </w:r>
      <w:r w:rsidR="00411C9A">
        <w:t xml:space="preserve">ortality fraction on the </w:t>
      </w:r>
      <w:r w:rsidR="00D947E9">
        <w:t>y</w:t>
      </w:r>
      <w:r w:rsidR="00411C9A">
        <w:t>-axis and the observed or ‘</w:t>
      </w:r>
      <w:proofErr w:type="spellStart"/>
      <w:r w:rsidR="00411C9A">
        <w:t>gold_standard</w:t>
      </w:r>
      <w:proofErr w:type="spellEnd"/>
      <w:r w:rsidR="00411C9A">
        <w:t xml:space="preserve">’ mortality fraction on </w:t>
      </w:r>
      <w:r w:rsidR="00D947E9">
        <w:t>x</w:t>
      </w:r>
      <w:r w:rsidR="00411C9A">
        <w:t>-axis.  Each panel is the predicted vs. observed CSMF for each mortality type.  Each dot is the predicted vs. observed fraction for one resampling of the data.  The blue line is the best linear regression fit between predicted and observed.   The red line is the 45 degree reference line.  Thus if the procedure had perfect sensitivity and specificity then all of the points would fall on the red line.</w:t>
      </w:r>
    </w:p>
    <w:p w:rsidR="00E43144" w:rsidRDefault="00E43144" w:rsidP="00BB4DB3">
      <w:pPr>
        <w:pStyle w:val="ListParagraph"/>
        <w:spacing w:after="0"/>
        <w:ind w:left="0"/>
      </w:pPr>
    </w:p>
    <w:p w:rsidR="00E43144" w:rsidRDefault="00E43144" w:rsidP="00BB4DB3">
      <w:pPr>
        <w:pStyle w:val="ListParagraph"/>
        <w:spacing w:after="0"/>
        <w:ind w:left="0"/>
      </w:pPr>
      <w:r>
        <w:t xml:space="preserve"> </w:t>
      </w:r>
      <w:r w:rsidR="00411C9A" w:rsidRPr="00D947E9">
        <w:rPr>
          <w:b/>
        </w:rPr>
        <w:t>Figure 2.</w:t>
      </w:r>
      <w:r w:rsidR="00D947E9">
        <w:t xml:space="preserve">  CSMF from resampled data.</w:t>
      </w:r>
    </w:p>
    <w:p w:rsidR="00E43144" w:rsidRDefault="0057583E" w:rsidP="00BB4DB3">
      <w:pPr>
        <w:pStyle w:val="ListParagraph"/>
        <w:spacing w:after="0"/>
        <w:ind w:left="0"/>
      </w:pPr>
      <w:r>
        <w:rPr>
          <w:noProof/>
        </w:rPr>
        <w:drawing>
          <wp:inline distT="0" distB="0" distL="0" distR="0" wp14:anchorId="6C49366D" wp14:editId="686D5A14">
            <wp:extent cx="5943600" cy="437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78960"/>
                    </a:xfrm>
                    <a:prstGeom prst="rect">
                      <a:avLst/>
                    </a:prstGeom>
                  </pic:spPr>
                </pic:pic>
              </a:graphicData>
            </a:graphic>
          </wp:inline>
        </w:drawing>
      </w:r>
    </w:p>
    <w:p w:rsidR="00411C9A" w:rsidRDefault="00411C9A" w:rsidP="00BB4DB3">
      <w:pPr>
        <w:pStyle w:val="ListParagraph"/>
        <w:spacing w:after="0"/>
        <w:ind w:left="0"/>
      </w:pPr>
    </w:p>
    <w:p w:rsidR="00411C9A" w:rsidRDefault="00411C9A" w:rsidP="00BB4DB3">
      <w:pPr>
        <w:pStyle w:val="ListParagraph"/>
        <w:spacing w:after="0"/>
        <w:ind w:left="0"/>
      </w:pPr>
    </w:p>
    <w:p w:rsidR="00411C9A" w:rsidRDefault="00411C9A" w:rsidP="00BB4DB3">
      <w:pPr>
        <w:pStyle w:val="ListParagraph"/>
        <w:spacing w:after="0"/>
        <w:ind w:left="0"/>
      </w:pPr>
    </w:p>
    <w:p w:rsidR="00411C9A" w:rsidRDefault="00411C9A" w:rsidP="00BB4DB3">
      <w:pPr>
        <w:pStyle w:val="ListParagraph"/>
        <w:spacing w:after="0"/>
        <w:ind w:left="0"/>
      </w:pPr>
    </w:p>
    <w:p w:rsidR="00411C9A" w:rsidRDefault="00411C9A">
      <w:r>
        <w:br w:type="page"/>
      </w:r>
    </w:p>
    <w:p w:rsidR="00411C9A" w:rsidRDefault="00411C9A" w:rsidP="00411C9A">
      <w:pPr>
        <w:autoSpaceDE w:val="0"/>
        <w:autoSpaceDN w:val="0"/>
        <w:adjustRightInd w:val="0"/>
        <w:spacing w:after="0" w:line="240" w:lineRule="auto"/>
        <w:rPr>
          <w:rFonts w:ascii="AdvOT46dcae81" w:hAnsi="AdvOT46dcae81" w:cs="AdvOT46dcae81"/>
          <w:sz w:val="16"/>
          <w:szCs w:val="16"/>
        </w:rPr>
      </w:pPr>
      <w:r>
        <w:lastRenderedPageBreak/>
        <w:t>Validation scheme – currently not correctly implemented.  From  (</w:t>
      </w:r>
      <w:r>
        <w:rPr>
          <w:rFonts w:ascii="AdvOT46dcae81" w:hAnsi="AdvOT46dcae81" w:cs="AdvOT46dcae81"/>
          <w:sz w:val="16"/>
          <w:szCs w:val="16"/>
        </w:rPr>
        <w:t xml:space="preserve">Flaxman </w:t>
      </w:r>
      <w:r>
        <w:rPr>
          <w:rFonts w:ascii="AdvOT65f8a23b.I" w:hAnsi="AdvOT65f8a23b.I" w:cs="AdvOT65f8a23b.I"/>
          <w:sz w:val="16"/>
          <w:szCs w:val="16"/>
        </w:rPr>
        <w:t>et al</w:t>
      </w:r>
      <w:r>
        <w:rPr>
          <w:rFonts w:ascii="AdvOT46dcae81" w:hAnsi="AdvOT46dcae81" w:cs="AdvOT46dcae81"/>
          <w:sz w:val="16"/>
          <w:szCs w:val="16"/>
        </w:rPr>
        <w:t xml:space="preserve">. </w:t>
      </w:r>
      <w:r>
        <w:rPr>
          <w:rFonts w:ascii="AdvOT65f8a23b.I" w:hAnsi="AdvOT65f8a23b.I" w:cs="AdvOT65f8a23b.I"/>
          <w:sz w:val="16"/>
          <w:szCs w:val="16"/>
        </w:rPr>
        <w:t xml:space="preserve">Population Health Metrics </w:t>
      </w:r>
      <w:r>
        <w:rPr>
          <w:rFonts w:ascii="AdvOT46dcae81" w:hAnsi="AdvOT46dcae81" w:cs="AdvOT46dcae81"/>
          <w:sz w:val="16"/>
          <w:szCs w:val="16"/>
        </w:rPr>
        <w:t xml:space="preserve">2011, </w:t>
      </w:r>
      <w:r>
        <w:rPr>
          <w:rFonts w:ascii="AdvOT3b30f6db.B" w:hAnsi="AdvOT3b30f6db.B" w:cs="AdvOT3b30f6db.B"/>
          <w:sz w:val="16"/>
          <w:szCs w:val="16"/>
        </w:rPr>
        <w:t>9</w:t>
      </w:r>
      <w:r>
        <w:rPr>
          <w:rFonts w:ascii="AdvOT46dcae81" w:hAnsi="AdvOT46dcae81" w:cs="AdvOT46dcae81"/>
          <w:sz w:val="16"/>
          <w:szCs w:val="16"/>
        </w:rPr>
        <w:t xml:space="preserve">:35  </w:t>
      </w:r>
      <w:hyperlink r:id="rId12" w:history="1">
        <w:r w:rsidRPr="007C3993">
          <w:rPr>
            <w:rStyle w:val="Hyperlink"/>
            <w:rFonts w:ascii="AdvOT46dcae81" w:hAnsi="AdvOT46dcae81" w:cs="AdvOT46dcae81"/>
            <w:sz w:val="16"/>
            <w:szCs w:val="16"/>
          </w:rPr>
          <w:t>http://www.pophealthmetrics.com/content/9/1/35</w:t>
        </w:r>
      </w:hyperlink>
      <w:r>
        <w:rPr>
          <w:rFonts w:ascii="AdvOT46dcae81" w:hAnsi="AdvOT46dcae81" w:cs="AdvOT46dcae81"/>
          <w:sz w:val="16"/>
          <w:szCs w:val="16"/>
        </w:rPr>
        <w:t xml:space="preserve"> )</w:t>
      </w:r>
    </w:p>
    <w:p w:rsidR="00411C9A" w:rsidRDefault="00411C9A" w:rsidP="00411C9A">
      <w:pPr>
        <w:pStyle w:val="ListParagraph"/>
        <w:spacing w:after="0"/>
        <w:ind w:left="0"/>
        <w:rPr>
          <w:rFonts w:ascii="AdvOT46dcae81" w:hAnsi="AdvOT46dcae81" w:cs="AdvOT46dcae81"/>
          <w:sz w:val="16"/>
          <w:szCs w:val="16"/>
        </w:rPr>
      </w:pPr>
    </w:p>
    <w:p w:rsidR="00411C9A" w:rsidRDefault="00411C9A" w:rsidP="00411C9A">
      <w:pPr>
        <w:pStyle w:val="ListParagraph"/>
        <w:spacing w:after="0"/>
        <w:ind w:left="0"/>
      </w:pPr>
    </w:p>
    <w:p w:rsidR="00411C9A" w:rsidRPr="001E6AC1" w:rsidRDefault="00411C9A" w:rsidP="00BB4DB3">
      <w:pPr>
        <w:pStyle w:val="ListParagraph"/>
        <w:spacing w:after="0"/>
        <w:ind w:left="0"/>
      </w:pPr>
      <w:r>
        <w:rPr>
          <w:noProof/>
        </w:rPr>
        <w:drawing>
          <wp:inline distT="0" distB="0" distL="0" distR="0" wp14:anchorId="3A10E6E7" wp14:editId="30250C2B">
            <wp:extent cx="3399014" cy="716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9014" cy="7162800"/>
                    </a:xfrm>
                    <a:prstGeom prst="rect">
                      <a:avLst/>
                    </a:prstGeom>
                  </pic:spPr>
                </pic:pic>
              </a:graphicData>
            </a:graphic>
          </wp:inline>
        </w:drawing>
      </w:r>
    </w:p>
    <w:sectPr w:rsidR="00411C9A" w:rsidRPr="001E6AC1" w:rsidSect="006B568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76" w:rsidRDefault="00054B76" w:rsidP="00A830B5">
      <w:pPr>
        <w:spacing w:after="0" w:line="240" w:lineRule="auto"/>
      </w:pPr>
      <w:r>
        <w:separator/>
      </w:r>
    </w:p>
  </w:endnote>
  <w:endnote w:type="continuationSeparator" w:id="0">
    <w:p w:rsidR="00054B76" w:rsidRDefault="00054B76" w:rsidP="00A8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OT46dcae81">
    <w:panose1 w:val="00000000000000000000"/>
    <w:charset w:val="00"/>
    <w:family w:val="swiss"/>
    <w:notTrueType/>
    <w:pitch w:val="default"/>
    <w:sig w:usb0="00000003" w:usb1="00000000" w:usb2="00000000" w:usb3="00000000" w:csb0="00000001" w:csb1="00000000"/>
  </w:font>
  <w:font w:name="AdvOT65f8a23b.I">
    <w:panose1 w:val="00000000000000000000"/>
    <w:charset w:val="00"/>
    <w:family w:val="swiss"/>
    <w:notTrueType/>
    <w:pitch w:val="default"/>
    <w:sig w:usb0="00000003" w:usb1="00000000" w:usb2="00000000" w:usb3="00000000" w:csb0="00000001" w:csb1="00000000"/>
  </w:font>
  <w:font w:name="AdvOT3b30f6db.B">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Default="00A830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Pr="00EA700A" w:rsidRDefault="00A830B5">
    <w:pPr>
      <w:pStyle w:val="Footer"/>
      <w:rPr>
        <w:sz w:val="18"/>
        <w:szCs w:val="18"/>
      </w:rPr>
    </w:pPr>
    <w:r w:rsidRPr="00EA700A">
      <w:rPr>
        <w:sz w:val="18"/>
        <w:szCs w:val="18"/>
      </w:rPr>
      <w:t>John Gosink (</w:t>
    </w:r>
    <w:hyperlink r:id="rId1" w:history="1">
      <w:r w:rsidRPr="00EA700A">
        <w:rPr>
          <w:rStyle w:val="Hyperlink"/>
          <w:sz w:val="18"/>
          <w:szCs w:val="18"/>
        </w:rPr>
        <w:t>john@gosink.org</w:t>
      </w:r>
    </w:hyperlink>
    <w:r w:rsidRPr="00EA700A">
      <w:rPr>
        <w:sz w:val="18"/>
        <w:szCs w:val="18"/>
      </w:rPr>
      <w:t>)</w:t>
    </w:r>
    <w:r w:rsidRPr="00EA700A">
      <w:rPr>
        <w:sz w:val="18"/>
        <w:szCs w:val="18"/>
      </w:rPr>
      <w:tab/>
    </w:r>
    <w:r w:rsidRPr="00EA700A">
      <w:rPr>
        <w:sz w:val="18"/>
        <w:szCs w:val="18"/>
      </w:rPr>
      <w:tab/>
    </w:r>
    <w:r w:rsidR="00EA700A" w:rsidRPr="00EA700A">
      <w:rPr>
        <w:sz w:val="18"/>
        <w:szCs w:val="18"/>
      </w:rPr>
      <w:fldChar w:fldCharType="begin"/>
    </w:r>
    <w:r w:rsidR="00EA700A" w:rsidRPr="00EA700A">
      <w:rPr>
        <w:sz w:val="18"/>
        <w:szCs w:val="18"/>
      </w:rPr>
      <w:instrText xml:space="preserve"> PAGE   \* MERGEFORMAT </w:instrText>
    </w:r>
    <w:r w:rsidR="00EA700A" w:rsidRPr="00EA700A">
      <w:rPr>
        <w:sz w:val="18"/>
        <w:szCs w:val="18"/>
      </w:rPr>
      <w:fldChar w:fldCharType="separate"/>
    </w:r>
    <w:r w:rsidR="0057583E">
      <w:rPr>
        <w:noProof/>
        <w:sz w:val="18"/>
        <w:szCs w:val="18"/>
      </w:rPr>
      <w:t>5</w:t>
    </w:r>
    <w:r w:rsidR="00EA700A" w:rsidRPr="00EA700A">
      <w:rPr>
        <w:sz w:val="18"/>
        <w:szCs w:val="18"/>
      </w:rPr>
      <w:fldChar w:fldCharType="end"/>
    </w:r>
    <w:r w:rsidR="00EA700A" w:rsidRPr="00EA700A">
      <w:rPr>
        <w:sz w:val="18"/>
        <w:szCs w:val="18"/>
      </w:rPr>
      <w:t xml:space="preserve"> of </w:t>
    </w:r>
    <w:r w:rsidR="00EA700A" w:rsidRPr="00EA700A">
      <w:rPr>
        <w:sz w:val="18"/>
        <w:szCs w:val="18"/>
      </w:rPr>
      <w:fldChar w:fldCharType="begin"/>
    </w:r>
    <w:r w:rsidR="00EA700A" w:rsidRPr="00EA700A">
      <w:rPr>
        <w:sz w:val="18"/>
        <w:szCs w:val="18"/>
      </w:rPr>
      <w:instrText xml:space="preserve"> NUMPAGES   \* MERGEFORMAT </w:instrText>
    </w:r>
    <w:r w:rsidR="00EA700A" w:rsidRPr="00EA700A">
      <w:rPr>
        <w:sz w:val="18"/>
        <w:szCs w:val="18"/>
      </w:rPr>
      <w:fldChar w:fldCharType="separate"/>
    </w:r>
    <w:r w:rsidR="0057583E">
      <w:rPr>
        <w:noProof/>
        <w:sz w:val="18"/>
        <w:szCs w:val="18"/>
      </w:rPr>
      <w:t>7</w:t>
    </w:r>
    <w:r w:rsidR="00EA700A" w:rsidRPr="00EA700A">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Default="00A83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76" w:rsidRDefault="00054B76" w:rsidP="00A830B5">
      <w:pPr>
        <w:spacing w:after="0" w:line="240" w:lineRule="auto"/>
      </w:pPr>
      <w:r>
        <w:separator/>
      </w:r>
    </w:p>
  </w:footnote>
  <w:footnote w:type="continuationSeparator" w:id="0">
    <w:p w:rsidR="00054B76" w:rsidRDefault="00054B76" w:rsidP="00A83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Default="00A830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Default="006B5682">
    <w:pPr>
      <w:pStyle w:val="Header"/>
    </w:pPr>
    <w:r>
      <w:t>Bayesian death certificate analysis</w:t>
    </w:r>
    <w:r w:rsidR="000D2062">
      <w:tab/>
    </w:r>
    <w:r w:rsidR="000D206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B5" w:rsidRDefault="00A83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333"/>
    <w:multiLevelType w:val="hybridMultilevel"/>
    <w:tmpl w:val="C8D6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140C"/>
    <w:multiLevelType w:val="hybridMultilevel"/>
    <w:tmpl w:val="A800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04F15"/>
    <w:multiLevelType w:val="hybridMultilevel"/>
    <w:tmpl w:val="1870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53B2"/>
    <w:multiLevelType w:val="hybridMultilevel"/>
    <w:tmpl w:val="4A0C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56C71"/>
    <w:multiLevelType w:val="hybridMultilevel"/>
    <w:tmpl w:val="ED02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B365D"/>
    <w:multiLevelType w:val="hybridMultilevel"/>
    <w:tmpl w:val="7F04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E045B"/>
    <w:multiLevelType w:val="hybridMultilevel"/>
    <w:tmpl w:val="53D0CBA8"/>
    <w:lvl w:ilvl="0" w:tplc="C6289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EF29D4"/>
    <w:rsid w:val="00005213"/>
    <w:rsid w:val="000450BE"/>
    <w:rsid w:val="00054B76"/>
    <w:rsid w:val="000653DA"/>
    <w:rsid w:val="000D12A8"/>
    <w:rsid w:val="000D2062"/>
    <w:rsid w:val="000E6263"/>
    <w:rsid w:val="0011044C"/>
    <w:rsid w:val="00180143"/>
    <w:rsid w:val="001E6AC1"/>
    <w:rsid w:val="0029475D"/>
    <w:rsid w:val="002A2567"/>
    <w:rsid w:val="002C440D"/>
    <w:rsid w:val="002D541C"/>
    <w:rsid w:val="002E206C"/>
    <w:rsid w:val="002E3529"/>
    <w:rsid w:val="002F1A74"/>
    <w:rsid w:val="003602FD"/>
    <w:rsid w:val="00380AE6"/>
    <w:rsid w:val="00382972"/>
    <w:rsid w:val="00411C9A"/>
    <w:rsid w:val="00473326"/>
    <w:rsid w:val="00490B68"/>
    <w:rsid w:val="004E6310"/>
    <w:rsid w:val="004F68D2"/>
    <w:rsid w:val="0057583E"/>
    <w:rsid w:val="0068145F"/>
    <w:rsid w:val="006B5682"/>
    <w:rsid w:val="007456FC"/>
    <w:rsid w:val="00773188"/>
    <w:rsid w:val="00777767"/>
    <w:rsid w:val="00791241"/>
    <w:rsid w:val="00862435"/>
    <w:rsid w:val="00925BCB"/>
    <w:rsid w:val="00925E9F"/>
    <w:rsid w:val="00987376"/>
    <w:rsid w:val="00992E34"/>
    <w:rsid w:val="009A43F5"/>
    <w:rsid w:val="00A23F88"/>
    <w:rsid w:val="00A470B2"/>
    <w:rsid w:val="00A51284"/>
    <w:rsid w:val="00A61591"/>
    <w:rsid w:val="00A830B5"/>
    <w:rsid w:val="00BB3D58"/>
    <w:rsid w:val="00BB4DB3"/>
    <w:rsid w:val="00BC7C91"/>
    <w:rsid w:val="00BF2262"/>
    <w:rsid w:val="00C063C7"/>
    <w:rsid w:val="00C1284E"/>
    <w:rsid w:val="00CA54F8"/>
    <w:rsid w:val="00CC535B"/>
    <w:rsid w:val="00D00073"/>
    <w:rsid w:val="00D33858"/>
    <w:rsid w:val="00D60CC0"/>
    <w:rsid w:val="00D901CD"/>
    <w:rsid w:val="00D947E9"/>
    <w:rsid w:val="00D954CA"/>
    <w:rsid w:val="00DD3B40"/>
    <w:rsid w:val="00E02CD0"/>
    <w:rsid w:val="00E33D83"/>
    <w:rsid w:val="00E345FA"/>
    <w:rsid w:val="00E43144"/>
    <w:rsid w:val="00E93149"/>
    <w:rsid w:val="00EA700A"/>
    <w:rsid w:val="00ED0BA7"/>
    <w:rsid w:val="00EE2420"/>
    <w:rsid w:val="00EF29D4"/>
    <w:rsid w:val="00EF53F0"/>
    <w:rsid w:val="00F1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5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D4"/>
    <w:pPr>
      <w:ind w:left="720"/>
      <w:contextualSpacing/>
    </w:pPr>
  </w:style>
  <w:style w:type="paragraph" w:styleId="Header">
    <w:name w:val="header"/>
    <w:basedOn w:val="Normal"/>
    <w:link w:val="HeaderChar"/>
    <w:uiPriority w:val="99"/>
    <w:unhideWhenUsed/>
    <w:rsid w:val="00A8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0B5"/>
  </w:style>
  <w:style w:type="paragraph" w:styleId="Footer">
    <w:name w:val="footer"/>
    <w:basedOn w:val="Normal"/>
    <w:link w:val="FooterChar"/>
    <w:uiPriority w:val="99"/>
    <w:unhideWhenUsed/>
    <w:rsid w:val="00A8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0B5"/>
  </w:style>
  <w:style w:type="character" w:styleId="Hyperlink">
    <w:name w:val="Hyperlink"/>
    <w:basedOn w:val="DefaultParagraphFont"/>
    <w:uiPriority w:val="99"/>
    <w:unhideWhenUsed/>
    <w:rsid w:val="00A830B5"/>
    <w:rPr>
      <w:color w:val="0000FF" w:themeColor="hyperlink"/>
      <w:u w:val="single"/>
    </w:rPr>
  </w:style>
  <w:style w:type="character" w:customStyle="1" w:styleId="apple-converted-space">
    <w:name w:val="apple-converted-space"/>
    <w:basedOn w:val="DefaultParagraphFont"/>
    <w:rsid w:val="00773188"/>
  </w:style>
  <w:style w:type="paragraph" w:styleId="NormalWeb">
    <w:name w:val="Normal (Web)"/>
    <w:basedOn w:val="Normal"/>
    <w:uiPriority w:val="99"/>
    <w:semiHidden/>
    <w:unhideWhenUsed/>
    <w:rsid w:val="000D1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56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56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56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5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D4"/>
    <w:pPr>
      <w:ind w:left="720"/>
      <w:contextualSpacing/>
    </w:pPr>
  </w:style>
  <w:style w:type="paragraph" w:styleId="Header">
    <w:name w:val="header"/>
    <w:basedOn w:val="Normal"/>
    <w:link w:val="HeaderChar"/>
    <w:uiPriority w:val="99"/>
    <w:unhideWhenUsed/>
    <w:rsid w:val="00A8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0B5"/>
  </w:style>
  <w:style w:type="paragraph" w:styleId="Footer">
    <w:name w:val="footer"/>
    <w:basedOn w:val="Normal"/>
    <w:link w:val="FooterChar"/>
    <w:uiPriority w:val="99"/>
    <w:unhideWhenUsed/>
    <w:rsid w:val="00A8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0B5"/>
  </w:style>
  <w:style w:type="character" w:styleId="Hyperlink">
    <w:name w:val="Hyperlink"/>
    <w:basedOn w:val="DefaultParagraphFont"/>
    <w:uiPriority w:val="99"/>
    <w:unhideWhenUsed/>
    <w:rsid w:val="00A830B5"/>
    <w:rPr>
      <w:color w:val="0000FF" w:themeColor="hyperlink"/>
      <w:u w:val="single"/>
    </w:rPr>
  </w:style>
  <w:style w:type="character" w:customStyle="1" w:styleId="apple-converted-space">
    <w:name w:val="apple-converted-space"/>
    <w:basedOn w:val="DefaultParagraphFont"/>
    <w:rsid w:val="00773188"/>
  </w:style>
  <w:style w:type="paragraph" w:styleId="NormalWeb">
    <w:name w:val="Normal (Web)"/>
    <w:basedOn w:val="Normal"/>
    <w:uiPriority w:val="99"/>
    <w:semiHidden/>
    <w:unhideWhenUsed/>
    <w:rsid w:val="000D1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56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56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56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4206">
      <w:bodyDiv w:val="1"/>
      <w:marLeft w:val="0"/>
      <w:marRight w:val="0"/>
      <w:marTop w:val="0"/>
      <w:marBottom w:val="0"/>
      <w:divBdr>
        <w:top w:val="none" w:sz="0" w:space="0" w:color="auto"/>
        <w:left w:val="none" w:sz="0" w:space="0" w:color="auto"/>
        <w:bottom w:val="none" w:sz="0" w:space="0" w:color="auto"/>
        <w:right w:val="none" w:sz="0" w:space="0" w:color="auto"/>
      </w:divBdr>
    </w:div>
    <w:div w:id="571357944">
      <w:bodyDiv w:val="1"/>
      <w:marLeft w:val="0"/>
      <w:marRight w:val="0"/>
      <w:marTop w:val="0"/>
      <w:marBottom w:val="0"/>
      <w:divBdr>
        <w:top w:val="none" w:sz="0" w:space="0" w:color="auto"/>
        <w:left w:val="none" w:sz="0" w:space="0" w:color="auto"/>
        <w:bottom w:val="none" w:sz="0" w:space="0" w:color="auto"/>
        <w:right w:val="none" w:sz="0" w:space="0" w:color="auto"/>
      </w:divBdr>
    </w:div>
    <w:div w:id="1139494106">
      <w:bodyDiv w:val="1"/>
      <w:marLeft w:val="0"/>
      <w:marRight w:val="0"/>
      <w:marTop w:val="0"/>
      <w:marBottom w:val="0"/>
      <w:divBdr>
        <w:top w:val="none" w:sz="0" w:space="0" w:color="auto"/>
        <w:left w:val="none" w:sz="0" w:space="0" w:color="auto"/>
        <w:bottom w:val="none" w:sz="0" w:space="0" w:color="auto"/>
        <w:right w:val="none" w:sz="0" w:space="0" w:color="auto"/>
      </w:divBdr>
      <w:divsChild>
        <w:div w:id="1242907729">
          <w:marLeft w:val="0"/>
          <w:marRight w:val="0"/>
          <w:marTop w:val="0"/>
          <w:marBottom w:val="166"/>
          <w:divBdr>
            <w:top w:val="none" w:sz="0" w:space="0" w:color="auto"/>
            <w:left w:val="none" w:sz="0" w:space="0" w:color="auto"/>
            <w:bottom w:val="none" w:sz="0" w:space="0" w:color="auto"/>
            <w:right w:val="none" w:sz="0" w:space="0" w:color="auto"/>
          </w:divBdr>
          <w:divsChild>
            <w:div w:id="2007711720">
              <w:marLeft w:val="0"/>
              <w:marRight w:val="0"/>
              <w:marTop w:val="0"/>
              <w:marBottom w:val="0"/>
              <w:divBdr>
                <w:top w:val="none" w:sz="0" w:space="0" w:color="auto"/>
                <w:left w:val="none" w:sz="0" w:space="0" w:color="auto"/>
                <w:bottom w:val="none" w:sz="0" w:space="0" w:color="auto"/>
                <w:right w:val="none" w:sz="0" w:space="0" w:color="auto"/>
              </w:divBdr>
              <w:divsChild>
                <w:div w:id="1049037758">
                  <w:marLeft w:val="0"/>
                  <w:marRight w:val="0"/>
                  <w:marTop w:val="0"/>
                  <w:marBottom w:val="0"/>
                  <w:divBdr>
                    <w:top w:val="none" w:sz="0" w:space="0" w:color="auto"/>
                    <w:left w:val="none" w:sz="0" w:space="0" w:color="auto"/>
                    <w:bottom w:val="none" w:sz="0" w:space="0" w:color="auto"/>
                    <w:right w:val="none" w:sz="0" w:space="0" w:color="auto"/>
                  </w:divBdr>
                  <w:divsChild>
                    <w:div w:id="194276191">
                      <w:marLeft w:val="0"/>
                      <w:marRight w:val="0"/>
                      <w:marTop w:val="0"/>
                      <w:marBottom w:val="0"/>
                      <w:divBdr>
                        <w:top w:val="none" w:sz="0" w:space="0" w:color="auto"/>
                        <w:left w:val="none" w:sz="0" w:space="0" w:color="auto"/>
                        <w:bottom w:val="none" w:sz="0" w:space="0" w:color="auto"/>
                        <w:right w:val="none" w:sz="0" w:space="0" w:color="auto"/>
                      </w:divBdr>
                    </w:div>
                    <w:div w:id="1259405402">
                      <w:marLeft w:val="0"/>
                      <w:marRight w:val="0"/>
                      <w:marTop w:val="0"/>
                      <w:marBottom w:val="0"/>
                      <w:divBdr>
                        <w:top w:val="none" w:sz="0" w:space="0" w:color="auto"/>
                        <w:left w:val="none" w:sz="0" w:space="0" w:color="auto"/>
                        <w:bottom w:val="none" w:sz="0" w:space="0" w:color="auto"/>
                        <w:right w:val="none" w:sz="0" w:space="0" w:color="auto"/>
                      </w:divBdr>
                    </w:div>
                    <w:div w:id="1913927665">
                      <w:marLeft w:val="240"/>
                      <w:marRight w:val="0"/>
                      <w:marTop w:val="0"/>
                      <w:marBottom w:val="0"/>
                      <w:divBdr>
                        <w:top w:val="none" w:sz="0" w:space="0" w:color="auto"/>
                        <w:left w:val="none" w:sz="0" w:space="0" w:color="auto"/>
                        <w:bottom w:val="none" w:sz="0" w:space="0" w:color="auto"/>
                        <w:right w:val="none" w:sz="0" w:space="0" w:color="auto"/>
                      </w:divBdr>
                      <w:divsChild>
                        <w:div w:id="2103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614">
                  <w:marLeft w:val="0"/>
                  <w:marRight w:val="0"/>
                  <w:marTop w:val="0"/>
                  <w:marBottom w:val="0"/>
                  <w:divBdr>
                    <w:top w:val="none" w:sz="0" w:space="0" w:color="auto"/>
                    <w:left w:val="none" w:sz="0" w:space="0" w:color="auto"/>
                    <w:bottom w:val="none" w:sz="0" w:space="0" w:color="auto"/>
                    <w:right w:val="none" w:sz="0" w:space="0" w:color="auto"/>
                  </w:divBdr>
                  <w:divsChild>
                    <w:div w:id="230045800">
                      <w:marLeft w:val="0"/>
                      <w:marRight w:val="0"/>
                      <w:marTop w:val="0"/>
                      <w:marBottom w:val="0"/>
                      <w:divBdr>
                        <w:top w:val="none" w:sz="0" w:space="0" w:color="auto"/>
                        <w:left w:val="none" w:sz="0" w:space="0" w:color="auto"/>
                        <w:bottom w:val="none" w:sz="0" w:space="0" w:color="auto"/>
                        <w:right w:val="none" w:sz="0" w:space="0" w:color="auto"/>
                      </w:divBdr>
                    </w:div>
                    <w:div w:id="15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2722">
          <w:marLeft w:val="0"/>
          <w:marRight w:val="0"/>
          <w:marTop w:val="166"/>
          <w:marBottom w:val="166"/>
          <w:divBdr>
            <w:top w:val="none" w:sz="0" w:space="0" w:color="auto"/>
            <w:left w:val="none" w:sz="0" w:space="0" w:color="auto"/>
            <w:bottom w:val="none" w:sz="0" w:space="0" w:color="auto"/>
            <w:right w:val="none" w:sz="0" w:space="0" w:color="auto"/>
          </w:divBdr>
          <w:divsChild>
            <w:div w:id="1743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322">
      <w:bodyDiv w:val="1"/>
      <w:marLeft w:val="0"/>
      <w:marRight w:val="0"/>
      <w:marTop w:val="0"/>
      <w:marBottom w:val="0"/>
      <w:divBdr>
        <w:top w:val="none" w:sz="0" w:space="0" w:color="auto"/>
        <w:left w:val="none" w:sz="0" w:space="0" w:color="auto"/>
        <w:bottom w:val="none" w:sz="0" w:space="0" w:color="auto"/>
        <w:right w:val="none" w:sz="0" w:space="0" w:color="auto"/>
      </w:divBdr>
    </w:div>
    <w:div w:id="212653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ophealthmetrics.com/content/9/1/3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john@gosi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1716F-D522-43B4-9F47-91ECC52A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cp:revision>
  <dcterms:created xsi:type="dcterms:W3CDTF">2014-02-21T17:29:00Z</dcterms:created>
  <dcterms:modified xsi:type="dcterms:W3CDTF">2014-11-17T22:36:00Z</dcterms:modified>
</cp:coreProperties>
</file>