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  <w:lang w:val="en-US"/>
        </w:rPr>
      </w:pPr>
    </w:p>
    <w:p>
      <w:pPr>
        <w:pStyle w:val="17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МИНИСТЕРСТВО ОБРАЗОВАНИЯ И НАУКИ РОССИЙСКОЙ ФЕДЕРАЦИИ</w:t>
      </w:r>
    </w:p>
    <w:p>
      <w:pPr>
        <w:pStyle w:val="17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МИНИСТЕРСТВО ОБРАЗОВАНИЯ И НАУКИ РЕСПУБЛИКИ ТАДЖИКИСТАН</w:t>
      </w:r>
    </w:p>
    <w:p>
      <w:pPr>
        <w:pStyle w:val="17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ФИЛИАЛ МОСКОВСКОГО ГОСУДАРСТВЕННОГО УНИВЕРСИТЕТ</w:t>
      </w:r>
      <w:r>
        <w:rPr>
          <w:color w:val="333333"/>
          <w:sz w:val="28"/>
          <w:szCs w:val="28"/>
          <w:lang w:val="ru-RU"/>
        </w:rPr>
        <w:t>А</w:t>
      </w:r>
      <w:r>
        <w:rPr>
          <w:color w:val="333333"/>
          <w:sz w:val="28"/>
          <w:szCs w:val="28"/>
        </w:rPr>
        <w:t xml:space="preserve"> ИМЕНИ М.В.ЛОМОНОСОВА В Г.ДУШАНБЕ</w:t>
      </w:r>
    </w:p>
    <w:p>
      <w:pPr>
        <w:pStyle w:val="17"/>
        <w:shd w:val="clear" w:color="auto" w:fill="FFFFFF"/>
        <w:spacing w:before="0" w:beforeAutospacing="0" w:after="0" w:afterAutospacing="0"/>
        <w:jc w:val="center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jc w:val="center"/>
        <w:rPr>
          <w:b/>
          <w:color w:val="333333"/>
          <w:sz w:val="72"/>
          <w:szCs w:val="60"/>
        </w:rPr>
      </w:pPr>
      <w:r>
        <w:rPr>
          <w:b/>
          <w:color w:val="333333"/>
          <w:sz w:val="72"/>
          <w:szCs w:val="60"/>
        </w:rPr>
        <w:t>РЕФЕРАТ</w:t>
      </w:r>
    </w:p>
    <w:p>
      <w:pPr>
        <w:pStyle w:val="17"/>
        <w:shd w:val="clear" w:color="auto" w:fill="FFFFFF"/>
        <w:spacing w:before="0" w:beforeAutospacing="0" w:after="0" w:afterAutospacing="0"/>
        <w:jc w:val="center"/>
        <w:rPr>
          <w:color w:val="333333"/>
          <w:sz w:val="32"/>
          <w:szCs w:val="28"/>
        </w:rPr>
      </w:pPr>
      <w:r>
        <w:rPr>
          <w:color w:val="333333"/>
          <w:sz w:val="32"/>
          <w:szCs w:val="28"/>
        </w:rPr>
        <w:t>По предмету «</w:t>
      </w:r>
      <w:r>
        <w:rPr>
          <w:color w:val="333333"/>
          <w:sz w:val="32"/>
          <w:szCs w:val="28"/>
          <w:lang w:val="ru-RU"/>
        </w:rPr>
        <w:t>Гражданское право</w:t>
      </w:r>
      <w:r>
        <w:rPr>
          <w:color w:val="333333"/>
          <w:sz w:val="32"/>
          <w:szCs w:val="28"/>
        </w:rPr>
        <w:t>»</w:t>
      </w:r>
    </w:p>
    <w:p>
      <w:pPr>
        <w:pStyle w:val="17"/>
        <w:shd w:val="clear" w:color="auto" w:fill="FFFFFF"/>
        <w:spacing w:before="0" w:beforeAutospacing="0" w:after="0" w:afterAutospacing="0"/>
        <w:jc w:val="center"/>
        <w:rPr>
          <w:color w:val="333333"/>
          <w:sz w:val="32"/>
          <w:szCs w:val="28"/>
        </w:rPr>
      </w:pPr>
      <w:r>
        <w:rPr>
          <w:color w:val="333333"/>
          <w:sz w:val="32"/>
          <w:szCs w:val="28"/>
        </w:rPr>
        <w:t>На тему «</w:t>
      </w:r>
      <w:r>
        <w:rPr>
          <w:color w:val="333333"/>
          <w:sz w:val="32"/>
          <w:szCs w:val="28"/>
          <w:lang w:val="ru-RU"/>
        </w:rPr>
        <w:t>Виды договоров</w:t>
      </w:r>
      <w:r>
        <w:rPr>
          <w:rFonts w:hint="default"/>
          <w:color w:val="333333"/>
          <w:sz w:val="32"/>
          <w:szCs w:val="28"/>
        </w:rPr>
        <w:t xml:space="preserve"> в гражданском праве</w:t>
      </w:r>
      <w:r>
        <w:rPr>
          <w:color w:val="333333"/>
          <w:sz w:val="32"/>
          <w:szCs w:val="28"/>
        </w:rPr>
        <w:t>»</w:t>
      </w: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                                                                                       Выполнил: </w:t>
      </w: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                                                                                       </w:t>
      </w:r>
      <w:r>
        <w:rPr>
          <w:color w:val="333333"/>
          <w:sz w:val="28"/>
          <w:szCs w:val="28"/>
        </w:rPr>
        <w:t xml:space="preserve">студент </w:t>
      </w:r>
      <w:r>
        <w:rPr>
          <w:color w:val="333333"/>
          <w:sz w:val="28"/>
          <w:szCs w:val="28"/>
          <w:lang w:val="en-US"/>
        </w:rPr>
        <w:t>2</w:t>
      </w:r>
      <w:r>
        <w:rPr>
          <w:color w:val="333333"/>
          <w:sz w:val="28"/>
          <w:szCs w:val="28"/>
        </w:rPr>
        <w:t xml:space="preserve">-го курса </w:t>
      </w:r>
      <w:r>
        <w:rPr>
          <w:color w:val="333333"/>
          <w:sz w:val="28"/>
          <w:szCs w:val="28"/>
          <w:lang w:val="ru-RU"/>
        </w:rPr>
        <w:t>ГМУ</w:t>
      </w:r>
    </w:p>
    <w:p>
      <w:pPr>
        <w:pStyle w:val="17"/>
        <w:shd w:val="clear" w:color="auto" w:fill="FFFFFF"/>
        <w:spacing w:before="0" w:beforeAutospacing="0" w:after="0" w:afterAutospacing="0"/>
        <w:rPr>
          <w:rFonts w:hint="default"/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</w:rPr>
        <w:t xml:space="preserve">                                                                                       </w:t>
      </w:r>
      <w:r>
        <w:rPr>
          <w:rFonts w:hint="default"/>
          <w:color w:val="333333"/>
          <w:sz w:val="28"/>
          <w:szCs w:val="28"/>
          <w:lang w:val="en-US"/>
        </w:rPr>
        <w:t>Kapo Hacpo</w:t>
      </w:r>
      <w:bookmarkStart w:id="0" w:name="_GoBack"/>
      <w:bookmarkEnd w:id="0"/>
    </w:p>
    <w:p>
      <w:pPr>
        <w:pStyle w:val="17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                                                                         Принял</w:t>
      </w:r>
      <w:r>
        <w:rPr>
          <w:color w:val="333333"/>
          <w:sz w:val="28"/>
          <w:szCs w:val="28"/>
        </w:rPr>
        <w:t xml:space="preserve">: </w:t>
      </w:r>
      <w:r>
        <w:rPr>
          <w:color w:val="333333"/>
          <w:sz w:val="28"/>
          <w:szCs w:val="28"/>
          <w:lang w:val="ru-RU"/>
        </w:rPr>
        <w:t>Хошимзода Даврон Д.</w:t>
      </w: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jc w:val="center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jc w:val="center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jc w:val="center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jc w:val="both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jc w:val="center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Душанбе - 2018</w:t>
      </w:r>
    </w:p>
    <w:p>
      <w:pPr>
        <w:pStyle w:val="17"/>
        <w:shd w:val="clear" w:color="auto" w:fill="FFFFFF"/>
        <w:spacing w:before="0" w:beforeAutospacing="0" w:after="0" w:afterAutospacing="0"/>
        <w:jc w:val="center"/>
        <w:rPr>
          <w:b/>
          <w:color w:val="333333"/>
          <w:sz w:val="40"/>
          <w:szCs w:val="40"/>
        </w:rPr>
        <w:sectPr>
          <w:headerReference r:id="rId5" w:type="default"/>
          <w:footerReference r:id="rId6" w:type="default"/>
          <w:pgSz w:w="11906" w:h="16838"/>
          <w:pgMar w:top="851" w:right="851" w:bottom="1701" w:left="1418" w:header="709" w:footer="709" w:gutter="0"/>
          <w:pgNumType w:fmt="decimal" w:start="3"/>
          <w:cols w:space="708" w:num="1"/>
          <w:docGrid w:linePitch="360" w:charSpace="0"/>
        </w:sectPr>
      </w:pPr>
    </w:p>
    <w:p>
      <w:pPr>
        <w:pStyle w:val="17"/>
        <w:shd w:val="clear" w:color="auto" w:fill="FFFFFF"/>
        <w:spacing w:before="0" w:beforeAutospacing="0" w:after="0" w:afterAutospacing="0"/>
        <w:jc w:val="center"/>
        <w:rPr>
          <w:b/>
          <w:color w:val="333333"/>
          <w:sz w:val="40"/>
          <w:szCs w:val="40"/>
        </w:rPr>
      </w:pPr>
    </w:p>
    <w:p>
      <w:pPr>
        <w:pStyle w:val="17"/>
        <w:shd w:val="clear" w:color="auto" w:fill="FFFFFF"/>
        <w:spacing w:before="0" w:beforeAutospacing="0" w:after="0" w:afterAutospacing="0"/>
        <w:jc w:val="left"/>
        <w:rPr>
          <w:b/>
          <w:color w:val="333333"/>
          <w:sz w:val="40"/>
          <w:szCs w:val="40"/>
        </w:rPr>
      </w:pPr>
      <w:r>
        <w:rPr>
          <w:b/>
          <w:color w:val="333333"/>
          <w:sz w:val="40"/>
          <w:szCs w:val="40"/>
        </w:rPr>
        <w:t>Содержание</w:t>
      </w:r>
    </w:p>
    <w:p>
      <w:pPr>
        <w:pStyle w:val="17"/>
        <w:shd w:val="clear" w:color="auto" w:fill="FFFFFF"/>
        <w:spacing w:before="0" w:beforeAutospacing="0" w:after="0" w:afterAutospacing="0"/>
        <w:jc w:val="left"/>
        <w:rPr>
          <w:b/>
          <w:color w:val="333333"/>
          <w:sz w:val="40"/>
          <w:szCs w:val="40"/>
        </w:rPr>
      </w:pPr>
    </w:p>
    <w:p>
      <w:pPr>
        <w:pStyle w:val="17"/>
        <w:shd w:val="clear" w:color="auto" w:fill="FFFFFF"/>
        <w:spacing w:before="0" w:beforeAutospacing="0" w:after="0" w:afterAutospacing="0"/>
        <w:jc w:val="left"/>
        <w:rPr>
          <w:b w:val="0"/>
          <w:bCs/>
          <w:color w:val="333333"/>
          <w:sz w:val="28"/>
          <w:szCs w:val="28"/>
        </w:rPr>
      </w:pPr>
      <w:r>
        <w:rPr>
          <w:rFonts w:hint="default"/>
          <w:b/>
          <w:bCs/>
          <w:color w:val="333333"/>
          <w:sz w:val="28"/>
          <w:szCs w:val="40"/>
          <w:lang w:val="ru-RU"/>
        </w:rPr>
        <w:t>1. Общие классификации гражданско-правовых договоров</w:t>
      </w:r>
    </w:p>
    <w:p>
      <w:pPr>
        <w:pStyle w:val="17"/>
        <w:shd w:val="clear" w:color="auto" w:fill="FFFFFF"/>
        <w:spacing w:before="0" w:beforeAutospacing="0" w:after="0" w:afterAutospacing="0"/>
        <w:jc w:val="left"/>
        <w:rPr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  <w:lang w:val="ru-RU"/>
        </w:rPr>
        <w:t xml:space="preserve">2. </w:t>
      </w:r>
      <w:r>
        <w:rPr>
          <w:rFonts w:hint="default"/>
          <w:b/>
          <w:bCs/>
          <w:color w:val="333333"/>
          <w:sz w:val="28"/>
          <w:szCs w:val="28"/>
          <w:lang w:val="ru-RU"/>
        </w:rPr>
        <w:t>Организационные и имущественные договоры</w:t>
      </w:r>
    </w:p>
    <w:p>
      <w:pPr>
        <w:pStyle w:val="17"/>
        <w:shd w:val="clear" w:color="auto" w:fill="FFFFFF"/>
        <w:spacing w:before="0" w:beforeAutospacing="0" w:after="0" w:afterAutospacing="0"/>
        <w:jc w:val="left"/>
        <w:rPr>
          <w:rFonts w:hint="default"/>
          <w:b/>
          <w:iCs/>
          <w:color w:val="333333"/>
          <w:sz w:val="28"/>
          <w:szCs w:val="28"/>
        </w:rPr>
      </w:pPr>
      <w:r>
        <w:rPr>
          <w:rFonts w:hint="default"/>
          <w:b/>
          <w:iCs/>
          <w:color w:val="333333"/>
          <w:sz w:val="28"/>
          <w:szCs w:val="28"/>
          <w:lang w:val="ru-RU"/>
        </w:rPr>
        <w:t>3.</w:t>
      </w:r>
      <w:r>
        <w:rPr>
          <w:rFonts w:hint="default"/>
          <w:b/>
          <w:iCs/>
          <w:color w:val="333333"/>
          <w:sz w:val="28"/>
          <w:szCs w:val="28"/>
        </w:rPr>
        <w:t>Публичный договор и договор присоединени</w:t>
      </w:r>
    </w:p>
    <w:p>
      <w:pPr>
        <w:pStyle w:val="17"/>
        <w:shd w:val="clear" w:color="auto" w:fill="FFFFFF"/>
        <w:spacing w:before="0" w:beforeAutospacing="0" w:after="0" w:afterAutospacing="0"/>
        <w:jc w:val="left"/>
        <w:rPr>
          <w:iCs/>
          <w:color w:val="333333"/>
          <w:sz w:val="28"/>
          <w:szCs w:val="28"/>
        </w:rPr>
      </w:pPr>
      <w:r>
        <w:rPr>
          <w:b/>
          <w:iCs/>
          <w:color w:val="333333"/>
          <w:sz w:val="28"/>
          <w:szCs w:val="28"/>
        </w:rPr>
        <w:t>Использованная литература</w:t>
      </w:r>
    </w:p>
    <w:p>
      <w:pPr>
        <w:pStyle w:val="17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</w:t>
      </w: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rPr>
          <w:b/>
          <w:color w:val="333333"/>
          <w:sz w:val="28"/>
          <w:szCs w:val="28"/>
        </w:rPr>
      </w:pPr>
    </w:p>
    <w:p>
      <w:pPr>
        <w:pStyle w:val="17"/>
        <w:shd w:val="clear" w:color="auto" w:fill="FFFFFF"/>
        <w:spacing w:before="0" w:beforeAutospacing="0" w:after="0" w:afterAutospacing="0"/>
        <w:rPr>
          <w:rFonts w:hint="default"/>
          <w:b/>
          <w:color w:val="333333"/>
          <w:sz w:val="28"/>
          <w:szCs w:val="28"/>
          <w:lang w:val="ru-RU"/>
        </w:rPr>
      </w:pPr>
      <w:r>
        <w:rPr>
          <w:rFonts w:hint="default"/>
          <w:b/>
          <w:color w:val="333333"/>
          <w:sz w:val="28"/>
          <w:szCs w:val="28"/>
          <w:lang w:val="ru-RU"/>
        </w:rPr>
        <w:t xml:space="preserve">                                                </w:t>
      </w:r>
    </w:p>
    <w:p>
      <w:pPr>
        <w:pStyle w:val="17"/>
        <w:shd w:val="clear" w:color="auto" w:fill="FFFFFF"/>
        <w:spacing w:before="0" w:beforeAutospacing="0" w:after="0" w:afterAutospacing="0"/>
        <w:rPr>
          <w:rFonts w:hint="default"/>
          <w:b/>
          <w:color w:val="333333"/>
          <w:sz w:val="28"/>
          <w:szCs w:val="28"/>
          <w:lang w:val="ru-RU"/>
        </w:rPr>
      </w:pPr>
    </w:p>
    <w:p>
      <w:pPr>
        <w:pStyle w:val="17"/>
        <w:shd w:val="clear" w:color="auto" w:fill="FFFFFF"/>
        <w:spacing w:before="0" w:beforeAutospacing="0" w:after="0" w:afterAutospacing="0"/>
        <w:jc w:val="left"/>
        <w:rPr>
          <w:rFonts w:hint="default"/>
          <w:b/>
          <w:bCs/>
          <w:color w:val="333333"/>
          <w:sz w:val="28"/>
          <w:szCs w:val="40"/>
          <w:lang w:val="ru-RU"/>
        </w:rPr>
      </w:pPr>
      <w:r>
        <w:rPr>
          <w:rFonts w:hint="default"/>
          <w:b/>
          <w:color w:val="333333"/>
          <w:sz w:val="28"/>
          <w:szCs w:val="28"/>
          <w:lang w:val="ru-RU"/>
        </w:rPr>
        <w:t xml:space="preserve">            </w:t>
      </w:r>
      <w:r>
        <w:rPr>
          <w:rFonts w:hint="default"/>
          <w:b/>
          <w:bCs/>
          <w:color w:val="333333"/>
          <w:sz w:val="28"/>
          <w:szCs w:val="40"/>
          <w:lang w:val="ru-RU"/>
        </w:rPr>
        <w:t>1. Общие классификации гражданско-правовых договоров</w:t>
      </w:r>
    </w:p>
    <w:p>
      <w:pPr>
        <w:pStyle w:val="17"/>
        <w:shd w:val="clear" w:color="auto" w:fill="FFFFFF"/>
        <w:spacing w:before="0" w:beforeAutospacing="0" w:after="0" w:afterAutospacing="0"/>
        <w:jc w:val="left"/>
        <w:rPr>
          <w:rFonts w:hint="default"/>
          <w:b w:val="0"/>
          <w:bCs w:val="0"/>
          <w:color w:val="333333"/>
          <w:sz w:val="28"/>
          <w:szCs w:val="40"/>
          <w:lang w:val="ru-RU"/>
        </w:rPr>
      </w:pPr>
      <w:r>
        <w:rPr>
          <w:rFonts w:hint="default"/>
          <w:b w:val="0"/>
          <w:bCs w:val="0"/>
          <w:color w:val="333333"/>
          <w:sz w:val="28"/>
          <w:szCs w:val="40"/>
          <w:lang w:val="ru-RU"/>
        </w:rPr>
        <w:t>Гражданско-правовые договоры классифицируются как соглашения сделки и как договорные обязательства. В первом случае можно говорить об особенностях юридической природы реальных и консенсуальных, возмездных и безвозмездных, каузальных и абстрактных, а также фидуциарных договоров4. Возмездные договоры (сделки) могут быть также подразделены на меновые и рисковые (алеаторные), к которым, в частности, относятся сделки по проведению игр и пари (ст. 1062, 1063 ГК).</w:t>
      </w:r>
    </w:p>
    <w:p>
      <w:pPr>
        <w:pStyle w:val="17"/>
        <w:shd w:val="clear" w:color="auto" w:fill="FFFFFF"/>
        <w:spacing w:before="0" w:beforeAutospacing="0" w:after="0" w:afterAutospacing="0"/>
        <w:ind w:firstLine="700" w:firstLineChars="0"/>
        <w:jc w:val="left"/>
        <w:rPr>
          <w:rFonts w:hint="default"/>
          <w:b w:val="0"/>
          <w:bCs w:val="0"/>
          <w:color w:val="333333"/>
          <w:sz w:val="28"/>
          <w:szCs w:val="40"/>
          <w:lang w:val="ru-RU"/>
        </w:rPr>
      </w:pPr>
      <w:r>
        <w:rPr>
          <w:rFonts w:hint="default"/>
          <w:b w:val="0"/>
          <w:bCs w:val="0"/>
          <w:color w:val="333333"/>
          <w:sz w:val="28"/>
          <w:szCs w:val="40"/>
          <w:lang w:val="ru-RU"/>
        </w:rPr>
        <w:t>Во втором случае проводится тщательная систематизация (типизация) соответствующих обязательств по типам, видам и подвидам.При этом традиционно, по существу со времен римского частного права, по направленности на определенный результат выделяются такие типы договоров (договорных обязательств), как договоры, направленные на передачу имущества в собственность (или в иное вещное право) либо в пользование, на производство работ или на оказание услуг, которые затем подразделяются на отдельные виды и подвиды по различным юридическим критериям (например, по объему передаваемых контрагенту имущественных прав и др.) Данное деление договоров как обязательств составляет их основную, "базовую" классификацию, отраженную в законе.</w:t>
      </w:r>
    </w:p>
    <w:p>
      <w:pPr>
        <w:pStyle w:val="17"/>
        <w:shd w:val="clear" w:color="auto" w:fill="FFFFFF"/>
        <w:spacing w:before="0" w:beforeAutospacing="0" w:after="0" w:afterAutospacing="0"/>
        <w:ind w:firstLine="700" w:firstLineChars="0"/>
        <w:jc w:val="left"/>
        <w:rPr>
          <w:rFonts w:hint="default"/>
          <w:b w:val="0"/>
          <w:bCs w:val="0"/>
          <w:color w:val="333333"/>
          <w:sz w:val="28"/>
          <w:szCs w:val="40"/>
          <w:lang w:val="ru-RU"/>
        </w:rPr>
      </w:pPr>
      <w:r>
        <w:rPr>
          <w:rFonts w:hint="default"/>
          <w:b w:val="0"/>
          <w:bCs w:val="0"/>
          <w:color w:val="333333"/>
          <w:sz w:val="28"/>
          <w:szCs w:val="40"/>
          <w:lang w:val="ru-RU"/>
        </w:rPr>
        <w:t>Так, в системе второй части ГК, посвященной отдельным видам обязательств, четко просматривается традиционная четырехчленная типизация договорных обязательств на договоры по отчуждению имущества (гл. 30-33), по передаче его в пользование (гл. 34-36), по производству работ (гл. 37-38) и по оказанию услуг (гл. 39-53). На этой основе затем выделено 26 отдельных видов договоров, 6 из которых, в свою очередь, разделены на подвиды (число которых достигает 30).</w:t>
      </w:r>
    </w:p>
    <w:p>
      <w:pPr>
        <w:pStyle w:val="17"/>
        <w:shd w:val="clear" w:color="auto" w:fill="FFFFFF"/>
        <w:spacing w:before="0" w:beforeAutospacing="0" w:after="0" w:afterAutospacing="0"/>
        <w:ind w:firstLine="700" w:firstLineChars="0"/>
        <w:jc w:val="left"/>
        <w:rPr>
          <w:rFonts w:hint="default"/>
          <w:b w:val="0"/>
          <w:bCs w:val="0"/>
          <w:color w:val="333333"/>
          <w:sz w:val="28"/>
          <w:szCs w:val="40"/>
          <w:lang w:val="ru-RU"/>
        </w:rPr>
      </w:pPr>
      <w:r>
        <w:rPr>
          <w:rFonts w:hint="default"/>
          <w:b w:val="0"/>
          <w:bCs w:val="0"/>
          <w:color w:val="333333"/>
          <w:sz w:val="28"/>
          <w:szCs w:val="40"/>
          <w:lang w:val="ru-RU"/>
        </w:rPr>
        <w:t>Она дополняется классификацией договорных обязательств по иным основаниям. С этой точки зрения прежде всего выделяются договоры односторонние и двусторонние. В одностороннем договоре у одной из сторон имеются только права, тогда как у другой - исключительно обязанности. Примером такого договора является договор займа, в котором у заимодавца есть только право, а у заемщика - только обязанность (п. 1 ст. 807 ГК). В отличие от этого в двустороннем договоре у каждой из сторон есть и права и обязанности (например, у продавца и покупателя в договоре купли-продажи). Односторонний договор есть не что иное, как простое (одностороннее) обязательство, участник которого является либо кредитором, либо должником, тогда как в сложном двустороннем обязательстве каждый из участников одновременно выступает в роли и кредитора и должника.</w:t>
      </w:r>
    </w:p>
    <w:p>
      <w:pPr>
        <w:pStyle w:val="17"/>
        <w:shd w:val="clear" w:color="auto" w:fill="FFFFFF"/>
        <w:spacing w:before="0" w:beforeAutospacing="0" w:after="0" w:afterAutospacing="0"/>
        <w:ind w:firstLine="700" w:firstLineChars="0"/>
        <w:jc w:val="left"/>
        <w:rPr>
          <w:rFonts w:hint="default"/>
          <w:b w:val="0"/>
          <w:bCs w:val="0"/>
          <w:color w:val="333333"/>
          <w:sz w:val="28"/>
          <w:szCs w:val="40"/>
          <w:lang w:val="ru-RU"/>
        </w:rPr>
      </w:pPr>
      <w:r>
        <w:rPr>
          <w:rFonts w:hint="default"/>
          <w:b w:val="0"/>
          <w:bCs w:val="0"/>
          <w:color w:val="333333"/>
          <w:sz w:val="28"/>
          <w:szCs w:val="40"/>
          <w:lang w:val="ru-RU"/>
        </w:rPr>
        <w:t>Кроме того, выделяются договоры в пользу третьего лица (ст. 430 ГК), которым противопоставляются все остальные договоры как "договоры в пользу контрагента" (кредитора), а также дополнительные, или акцессорные, договоры, обеспечивающие исполнение "основных" договоров (например, договор о залоге или о поручительстве). Как и в предыдущих случаях, речь здесь, по сути, идет о соответствующих разновидностях договорных обязательств.</w:t>
      </w:r>
    </w:p>
    <w:p>
      <w:pPr>
        <w:pStyle w:val="17"/>
        <w:shd w:val="clear" w:color="auto" w:fill="FFFFFF"/>
        <w:spacing w:before="0" w:beforeAutospacing="0" w:after="0" w:afterAutospacing="0"/>
        <w:ind w:firstLine="700" w:firstLineChars="0"/>
        <w:jc w:val="left"/>
        <w:rPr>
          <w:rFonts w:hint="default"/>
          <w:b w:val="0"/>
          <w:bCs w:val="0"/>
          <w:color w:val="333333"/>
          <w:sz w:val="28"/>
          <w:szCs w:val="40"/>
          <w:lang w:val="ru-RU"/>
        </w:rPr>
      </w:pPr>
      <w:r>
        <w:rPr>
          <w:rFonts w:hint="default"/>
          <w:b w:val="0"/>
          <w:bCs w:val="0"/>
          <w:color w:val="333333"/>
          <w:sz w:val="28"/>
          <w:szCs w:val="40"/>
          <w:lang w:val="ru-RU"/>
        </w:rPr>
        <w:t>По субъектному составу обособляются предпринимательские договоры и договоры с участием граждан-потребителей, которые имеют особый правовой режим. Однако такое различие не может быть проведено последовательно для всех гражданско-правовых договоров, ибо многие из них могут иметь различный субъектный состав и в зависимости от этого способны быть и предпринимательскими, и "потребительскими" (например, кредитные договоры и другие банковские сделки).</w:t>
      </w:r>
    </w:p>
    <w:p>
      <w:pPr>
        <w:pStyle w:val="17"/>
        <w:shd w:val="clear" w:color="auto" w:fill="FFFFFF"/>
        <w:spacing w:before="0" w:beforeAutospacing="0" w:after="0" w:afterAutospacing="0"/>
        <w:ind w:firstLine="700" w:firstLineChars="0"/>
        <w:jc w:val="left"/>
        <w:rPr>
          <w:rFonts w:hint="default"/>
          <w:b w:val="0"/>
          <w:bCs w:val="0"/>
          <w:color w:val="333333"/>
          <w:sz w:val="28"/>
          <w:szCs w:val="40"/>
          <w:lang w:val="ru-RU"/>
        </w:rPr>
      </w:pPr>
      <w:r>
        <w:rPr>
          <w:rFonts w:hint="default"/>
          <w:b w:val="0"/>
          <w:bCs w:val="0"/>
          <w:color w:val="333333"/>
          <w:sz w:val="28"/>
          <w:szCs w:val="40"/>
          <w:lang w:val="ru-RU"/>
        </w:rPr>
        <w:t>Все эти классификации и их юридическое значение подробнее рассмотрены ранее . Вместе с тем договоры подвергаются и иной, свойственной только им классификации.</w:t>
      </w:r>
    </w:p>
    <w:p>
      <w:pPr>
        <w:pStyle w:val="17"/>
        <w:shd w:val="clear" w:color="auto" w:fill="FFFFFF"/>
        <w:spacing w:before="0" w:beforeAutospacing="0" w:after="0" w:afterAutospacing="0"/>
        <w:ind w:firstLine="700" w:firstLineChars="0"/>
        <w:jc w:val="left"/>
        <w:rPr>
          <w:rFonts w:hint="default"/>
          <w:b w:val="0"/>
          <w:bCs w:val="0"/>
          <w:color w:val="333333"/>
          <w:sz w:val="28"/>
          <w:szCs w:val="40"/>
          <w:lang w:val="ru-RU"/>
        </w:rPr>
      </w:pPr>
      <w:r>
        <w:rPr>
          <w:rFonts w:hint="default"/>
          <w:b w:val="0"/>
          <w:bCs w:val="0"/>
          <w:color w:val="333333"/>
          <w:sz w:val="28"/>
          <w:szCs w:val="40"/>
          <w:lang w:val="ru-RU"/>
        </w:rPr>
        <w:t>Из принципа свободы договора вытекает возможность заключения договоров как предусмотренных, так и не предусмотренных законодательством. На этом основано деление договоров на поименованные (названные в ГК или в ином законе) и непоименованные (неизвестные закону, но не противоречащие общим началам и смыслу гражданского законодательства). Такие договоры иногда называют также договорами sui generis ("своего", т. е. особого, "рода") или "нетипичными договорами".</w:t>
      </w:r>
    </w:p>
    <w:p>
      <w:pPr>
        <w:pStyle w:val="17"/>
        <w:shd w:val="clear" w:color="auto" w:fill="FFFFFF"/>
        <w:spacing w:before="0" w:beforeAutospacing="0" w:after="0" w:afterAutospacing="0"/>
        <w:ind w:firstLine="700" w:firstLineChars="0"/>
        <w:jc w:val="left"/>
        <w:rPr>
          <w:rFonts w:hint="default"/>
          <w:b w:val="0"/>
          <w:bCs w:val="0"/>
          <w:color w:val="333333"/>
          <w:sz w:val="28"/>
          <w:szCs w:val="40"/>
          <w:lang w:val="ru-RU"/>
        </w:rPr>
      </w:pPr>
      <w:r>
        <w:rPr>
          <w:rFonts w:hint="default"/>
          <w:b w:val="0"/>
          <w:bCs w:val="0"/>
          <w:color w:val="333333"/>
          <w:sz w:val="28"/>
          <w:szCs w:val="40"/>
          <w:lang w:val="ru-RU"/>
        </w:rPr>
        <w:t>К ним применяются нормы о наиболее сходном с конкретным договором виде или типе договоров (в чем, между прочим, проявляется практическое значение типизации договорных обязательств) и общие положения обязательственного (договорного) права, т. е. правило об аналогии закона, а при невозможности этого - аналогия права. Этим непоименованные (нетипичные) договоры отличаются от смешанных договоров, которые представляют собой определенный "набор" известных договорных обязательств, что в соответствии с п. 3 ст. 421 ГК влечет применение к ним в соответствующих частях конкретных правил об этих поименованных договорах и тем самым исключает всякую аналогию.</w:t>
      </w:r>
    </w:p>
    <w:p>
      <w:pPr>
        <w:pStyle w:val="17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rPr>
          <w:rFonts w:hint="default"/>
          <w:b w:val="0"/>
          <w:bCs w:val="0"/>
          <w:color w:val="333333"/>
          <w:sz w:val="28"/>
          <w:szCs w:val="28"/>
          <w:lang w:val="ru-RU"/>
        </w:rPr>
      </w:pPr>
      <w:r>
        <w:rPr>
          <w:rFonts w:hint="default"/>
          <w:b/>
          <w:bCs/>
          <w:color w:val="333333"/>
          <w:sz w:val="28"/>
          <w:szCs w:val="28"/>
          <w:lang w:val="ru-RU"/>
        </w:rPr>
        <w:t>Организационные и имущественные договоры</w:t>
      </w:r>
    </w:p>
    <w:p>
      <w:pPr>
        <w:pStyle w:val="17"/>
        <w:numPr>
          <w:ilvl w:val="0"/>
          <w:numId w:val="0"/>
        </w:numPr>
        <w:shd w:val="clear" w:color="auto" w:fill="FFFFFF"/>
        <w:spacing w:before="0" w:beforeAutospacing="0" w:after="0" w:afterAutospacing="0"/>
        <w:jc w:val="left"/>
        <w:rPr>
          <w:rFonts w:hint="default"/>
          <w:b w:val="0"/>
          <w:bCs w:val="0"/>
          <w:color w:val="333333"/>
          <w:sz w:val="28"/>
          <w:szCs w:val="28"/>
          <w:lang w:val="ru-RU"/>
        </w:rPr>
      </w:pPr>
      <w:r>
        <w:rPr>
          <w:rFonts w:hint="default"/>
          <w:b w:val="0"/>
          <w:bCs w:val="0"/>
          <w:color w:val="333333"/>
          <w:sz w:val="28"/>
          <w:szCs w:val="28"/>
          <w:lang w:val="ru-RU"/>
        </w:rPr>
        <w:t>Гражданско-правовые договоры подразделяются на имущественные и организационные. К имущественным относятся все договоры, непосредственно оформляющие акты товарообмена их участников и направленные на передачу или получение имущества (материальных и иных благ). Организационные договоры направлены не на товарообмен, а на его организацию, т. е. на установление взаимосвязей участников будущего товарообмена. Таков, например, предварительный договор, в силу которого его стороны обязуются заключить в будущем основной (имущественный) договор на условиях, установленных предварительным договором (п. 1 ст. 429 ГК).</w:t>
      </w:r>
    </w:p>
    <w:p>
      <w:pPr>
        <w:pStyle w:val="17"/>
        <w:numPr>
          <w:ilvl w:val="0"/>
          <w:numId w:val="0"/>
        </w:numPr>
        <w:shd w:val="clear" w:color="auto" w:fill="FFFFFF"/>
        <w:spacing w:before="0" w:beforeAutospacing="0" w:after="0" w:afterAutospacing="0"/>
        <w:jc w:val="left"/>
        <w:rPr>
          <w:rFonts w:hint="default"/>
          <w:b w:val="0"/>
          <w:bCs w:val="0"/>
          <w:color w:val="333333"/>
          <w:sz w:val="28"/>
          <w:szCs w:val="28"/>
          <w:lang w:val="ru-RU"/>
        </w:rPr>
      </w:pPr>
      <w:r>
        <w:rPr>
          <w:rFonts w:hint="default"/>
          <w:b w:val="0"/>
          <w:bCs w:val="0"/>
          <w:color w:val="333333"/>
          <w:sz w:val="28"/>
          <w:szCs w:val="28"/>
          <w:lang w:val="ru-RU"/>
        </w:rPr>
        <w:t>Предварительный договор содержит условия, во-первых, относящиеся к его содержанию и, во-вторых, относящиеся к содержанию основного договора. Из числа первых следует прежде всего назвать срок, в течение которого стороны обязуются заключить основной договор (при его отсутствии в соответствии с правилом абз. 2 п. 4 ст. 429 ГК применяется годичный срок). Кроме того, предварительный договор необходимо должным образом оформить (как правило, письменно) под страхом его ничтожности. Ко второй группе относятся условие о предмете и другие существенные условия основного договора, отсутствие которых превращает предварительный договор в юридически необязательное соглашение о намерениях.</w:t>
      </w:r>
    </w:p>
    <w:p>
      <w:pPr>
        <w:pStyle w:val="17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0" w:firstLineChars="0"/>
        <w:jc w:val="left"/>
        <w:rPr>
          <w:rFonts w:hint="default"/>
          <w:b w:val="0"/>
          <w:bCs w:val="0"/>
          <w:color w:val="333333"/>
          <w:sz w:val="28"/>
          <w:szCs w:val="28"/>
          <w:lang w:val="ru-RU"/>
        </w:rPr>
      </w:pPr>
      <w:r>
        <w:rPr>
          <w:rFonts w:hint="default"/>
          <w:b w:val="0"/>
          <w:bCs w:val="0"/>
          <w:color w:val="333333"/>
          <w:sz w:val="28"/>
          <w:szCs w:val="28"/>
          <w:lang w:val="ru-RU"/>
        </w:rPr>
        <w:t>Предварительный договор отличается от договора, совершенного под условием (условной сделки), поскольку порождает безусловную обязанность в установленный срок заключить предусмотренный им основной договор под угрозой судебного принуждения к его заключению. Последняя существенно отличает рассматриваемый договор от обычных договоров, заключаемых по свободному усмотрению сторон.</w:t>
      </w:r>
    </w:p>
    <w:p>
      <w:pPr>
        <w:pStyle w:val="17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0" w:firstLineChars="0"/>
        <w:jc w:val="left"/>
        <w:rPr>
          <w:rFonts w:hint="default"/>
          <w:b w:val="0"/>
          <w:bCs w:val="0"/>
          <w:color w:val="333333"/>
          <w:sz w:val="28"/>
          <w:szCs w:val="28"/>
          <w:lang w:val="ru-RU"/>
        </w:rPr>
      </w:pPr>
      <w:r>
        <w:rPr>
          <w:rFonts w:hint="default"/>
          <w:b w:val="0"/>
          <w:bCs w:val="0"/>
          <w:color w:val="333333"/>
          <w:sz w:val="28"/>
          <w:szCs w:val="28"/>
          <w:lang w:val="ru-RU"/>
        </w:rPr>
        <w:t>По своей юридической природе к предварительным договорам весьма близки заключаемые в сфере предпринимательской деятельности так называемые генеральные договоры, на основании и во исполнение которых стороны затем заключают целый ряд конкретных однотипных (локальных) договоров. Это, например, направленные на организацию перевозок грузов годовые и аналогичные им договоры перевозчиков с грузоотправителями, служащие основанием для последующего заключения договоров перевозки конкретных грузов; двусторонние соглашения (договоры) участников межбанковских отношений об организации их взаимных расчетов по конкретным будущим сделкам купли-продажи валюты или ценных бумаг (типа "расчетных форвардных контрактов") и т. п. От предварительных договоров они отличаются не только особым субъектным составом и множественностью заключаемых на их основе "локальных" договоров, но прежде всего отсутствием принудительно осуществляемой обязанности заключения последних.</w:t>
      </w:r>
    </w:p>
    <w:p>
      <w:pPr>
        <w:pStyle w:val="17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0" w:firstLineChars="0"/>
        <w:jc w:val="left"/>
        <w:rPr>
          <w:rFonts w:hint="default"/>
          <w:b w:val="0"/>
          <w:bCs w:val="0"/>
          <w:color w:val="333333"/>
          <w:sz w:val="28"/>
          <w:szCs w:val="28"/>
          <w:lang w:val="ru-RU"/>
        </w:rPr>
      </w:pPr>
      <w:r>
        <w:rPr>
          <w:rFonts w:hint="default"/>
          <w:b w:val="0"/>
          <w:bCs w:val="0"/>
          <w:color w:val="333333"/>
          <w:sz w:val="28"/>
          <w:szCs w:val="28"/>
          <w:lang w:val="ru-RU"/>
        </w:rPr>
        <w:t>К числу организационных относятся также многосторонние Договоры - учредительный договор о создании юридического лица и договор простого товарищества (о совместной деятельности), определяющие организацию взаимоотношений сторон в связи с их предстоящим участием в гражданском обороте. Предварительные, генеральные и многосторонние договоры можно рассматривать в качестве основных типов организационных договоров.</w:t>
      </w:r>
    </w:p>
    <w:p>
      <w:pPr>
        <w:pStyle w:val="17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700" w:firstLineChars="0"/>
        <w:jc w:val="left"/>
        <w:rPr>
          <w:rFonts w:hint="default"/>
          <w:b w:val="0"/>
          <w:bCs w:val="0"/>
          <w:color w:val="333333"/>
          <w:sz w:val="28"/>
          <w:szCs w:val="28"/>
          <w:lang w:val="ru-RU"/>
        </w:rPr>
      </w:pPr>
      <w:r>
        <w:rPr>
          <w:rFonts w:hint="default"/>
          <w:b w:val="0"/>
          <w:bCs w:val="0"/>
          <w:color w:val="333333"/>
          <w:sz w:val="28"/>
          <w:szCs w:val="28"/>
          <w:lang w:val="ru-RU"/>
        </w:rPr>
        <w:t>В свою очередь, имущественные договоры в литературе предложено разделять на обязательственные и вещные1. К последним относят договоры, в силу которых передача вещи контрагенту и возникновение у него вещного права происходит "на стадии возникновения договора, а не его исполнения", например при дарении вещи. Получается, что такие договоры (сделки) об отчуждении вещей не порождают договорных обязательств. В действительности речь идет о ситуациях, когда момент заключения договора (сделки) совпадает с моментом исполнения договорного обязательства, состоящего исключительно в передаче вещи (порождающей в силу п. 1 ст. 223 ГК возникновение права собственности на вещь у приобретателя), что характерно для некоторых реальных сделок (например, в розничной купле-продаже). Но "вещные элементы" таких правоотношений исчерпываются переходом права собственности (абз. 1 п. 2 ст. 218 ГК), а "близкая" к виндикационному иску возможность истребования индивидуально-определенной вещи (ст. 398 ГК) характерна для "обязательственных", а не "вещных договоров". В связи с этим выделение последних представляется необоснованным.</w:t>
      </w:r>
    </w:p>
    <w:p>
      <w:pPr>
        <w:pStyle w:val="17"/>
        <w:shd w:val="clear" w:color="auto" w:fill="FFFFFF"/>
        <w:spacing w:before="0" w:beforeAutospacing="0" w:after="0" w:afterAutospacing="0"/>
        <w:ind w:left="700" w:leftChars="0" w:firstLine="700" w:firstLineChars="0"/>
        <w:jc w:val="left"/>
        <w:rPr>
          <w:rFonts w:hint="default"/>
          <w:b w:val="0"/>
          <w:bCs/>
          <w:color w:val="333333"/>
          <w:sz w:val="28"/>
          <w:szCs w:val="28"/>
          <w:lang w:val="ru-RU"/>
        </w:rPr>
      </w:pPr>
      <w:r>
        <w:rPr>
          <w:rFonts w:hint="default"/>
          <w:b/>
          <w:iCs/>
          <w:color w:val="333333"/>
          <w:sz w:val="28"/>
          <w:szCs w:val="28"/>
          <w:lang w:val="ru-RU"/>
        </w:rPr>
        <w:t>3.</w:t>
      </w:r>
      <w:r>
        <w:rPr>
          <w:rFonts w:hint="default"/>
          <w:b/>
          <w:iCs/>
          <w:color w:val="333333"/>
          <w:sz w:val="28"/>
          <w:szCs w:val="28"/>
        </w:rPr>
        <w:t>Публичный договор и договор присоединени</w:t>
      </w:r>
    </w:p>
    <w:p>
      <w:pPr>
        <w:pStyle w:val="17"/>
        <w:shd w:val="clear" w:color="auto" w:fill="FFFFFF"/>
        <w:spacing w:before="0" w:beforeAutospacing="0" w:after="0" w:afterAutospacing="0"/>
        <w:ind w:firstLine="700" w:firstLineChars="0"/>
        <w:rPr>
          <w:rFonts w:hint="default"/>
          <w:b w:val="0"/>
          <w:bCs/>
          <w:color w:val="333333"/>
          <w:sz w:val="28"/>
          <w:szCs w:val="28"/>
          <w:lang w:val="ru-RU"/>
        </w:rPr>
      </w:pPr>
      <w:r>
        <w:rPr>
          <w:rFonts w:hint="default"/>
          <w:b w:val="0"/>
          <w:bCs/>
          <w:color w:val="333333"/>
          <w:sz w:val="28"/>
          <w:szCs w:val="28"/>
          <w:lang w:val="ru-RU"/>
        </w:rPr>
        <w:t>С точки зрения порядка заключения и формирования содержания особыми разновидностями договоров являются публичный договор и договор присоединения. Правила об этих договорах, по сути, представляют собой ограничения принципа договорной свободы и даже известные отступления от начал юридического равенства субъектов частного права, установленные с целью защиты интересов более слабой стороны.</w:t>
      </w:r>
    </w:p>
    <w:p>
      <w:pPr>
        <w:pStyle w:val="17"/>
        <w:shd w:val="clear" w:color="auto" w:fill="FFFFFF"/>
        <w:spacing w:before="0" w:beforeAutospacing="0" w:after="0" w:afterAutospacing="0"/>
        <w:ind w:firstLine="700" w:firstLineChars="0"/>
        <w:rPr>
          <w:rFonts w:hint="default"/>
          <w:b w:val="0"/>
          <w:bCs/>
          <w:color w:val="333333"/>
          <w:sz w:val="28"/>
          <w:szCs w:val="28"/>
          <w:lang w:val="ru-RU"/>
        </w:rPr>
      </w:pPr>
      <w:r>
        <w:rPr>
          <w:rFonts w:hint="default"/>
          <w:b w:val="0"/>
          <w:bCs/>
          <w:color w:val="333333"/>
          <w:sz w:val="28"/>
          <w:szCs w:val="28"/>
          <w:lang w:val="ru-RU"/>
        </w:rPr>
        <w:t>Публичным признается договор, подлежащий заключению коммерческой организацией или индивидуальным предпринимателем в силу характера их деятельности с каждым, кто обратится за получением отчуждаемых ими товаров, производимых работ или оказываемых услуг (п 1 ст 426 ГК).</w:t>
      </w:r>
    </w:p>
    <w:p>
      <w:pPr>
        <w:pStyle w:val="17"/>
        <w:shd w:val="clear" w:color="auto" w:fill="FFFFFF"/>
        <w:spacing w:before="0" w:beforeAutospacing="0" w:after="0" w:afterAutospacing="0"/>
        <w:ind w:firstLine="700" w:firstLineChars="0"/>
        <w:rPr>
          <w:rFonts w:hint="default"/>
          <w:b w:val="0"/>
          <w:bCs/>
          <w:color w:val="333333"/>
          <w:sz w:val="28"/>
          <w:szCs w:val="28"/>
          <w:lang w:val="ru-RU"/>
        </w:rPr>
      </w:pPr>
      <w:r>
        <w:rPr>
          <w:rFonts w:hint="default"/>
          <w:b w:val="0"/>
          <w:bCs/>
          <w:color w:val="333333"/>
          <w:sz w:val="28"/>
          <w:szCs w:val="28"/>
          <w:lang w:val="ru-RU"/>
        </w:rPr>
        <w:t>Следовательно, речь идет о договоре, в котором в качестве услугодателя выступает профессиональный предприниматель, занимающийся такими видами деятельности, которые должны им осуществляться в отношении любых обратившихся к нему лиц. В соответствии с этим к числу публичных относятся, в частности, договоры розничной купли-продажи, энергоснабжения, проката и бытового подряда, банковского вклада граждан и др.</w:t>
      </w:r>
    </w:p>
    <w:p>
      <w:pPr>
        <w:pStyle w:val="17"/>
        <w:shd w:val="clear" w:color="auto" w:fill="FFFFFF"/>
        <w:spacing w:before="0" w:beforeAutospacing="0" w:after="0" w:afterAutospacing="0"/>
        <w:ind w:firstLine="700" w:firstLineChars="0"/>
        <w:rPr>
          <w:rFonts w:hint="default"/>
          <w:b w:val="0"/>
          <w:bCs/>
          <w:color w:val="333333"/>
          <w:sz w:val="28"/>
          <w:szCs w:val="28"/>
          <w:lang w:val="ru-RU"/>
        </w:rPr>
      </w:pPr>
      <w:r>
        <w:rPr>
          <w:rFonts w:hint="default"/>
          <w:b w:val="0"/>
          <w:bCs/>
          <w:color w:val="333333"/>
          <w:sz w:val="28"/>
          <w:szCs w:val="28"/>
          <w:lang w:val="ru-RU"/>
        </w:rPr>
        <w:t>Предприниматель услугодатель как сторона публичного договора, во-первых, обязан заключить его с любым обратившимся к нему для этого лицом и не вправе оказывать кому-либо предпочтение (если только иное не предусмотрено законом или иными правовыми актами, например для ветеранов войны, инвалидов или других категорий граждан). Во-вторых, цена и иные условия таких договоров тоже должны быть одинаковыми для всех потребителей (за аналогичными исключениями). Более того, с целью соблюдения этих предписаний федеральному правительству предоставлено право издавать обязательные для сторон правила заключения и исполнения публичных договоров (типовые договоры, положения и т. п.), т. е. определять их содержание независимо от воли сторон.</w:t>
      </w:r>
    </w:p>
    <w:p>
      <w:pPr>
        <w:pStyle w:val="17"/>
        <w:shd w:val="clear" w:color="auto" w:fill="FFFFFF"/>
        <w:spacing w:before="0" w:beforeAutospacing="0" w:after="0" w:afterAutospacing="0"/>
        <w:ind w:firstLine="700" w:firstLineChars="0"/>
        <w:rPr>
          <w:rFonts w:hint="default"/>
          <w:b w:val="0"/>
          <w:bCs/>
          <w:color w:val="333333"/>
          <w:sz w:val="28"/>
          <w:szCs w:val="28"/>
          <w:lang w:val="ru-RU"/>
        </w:rPr>
      </w:pPr>
      <w:r>
        <w:rPr>
          <w:rFonts w:hint="default"/>
          <w:b w:val="0"/>
          <w:bCs/>
          <w:color w:val="333333"/>
          <w:sz w:val="28"/>
          <w:szCs w:val="28"/>
          <w:lang w:val="ru-RU"/>
        </w:rPr>
        <w:t>Наконец, в соответствии с п. 3 ст. 426 ГК потребитель может через суд понудить предпринимателя к заключению такого договора или передать на рассмотрение суда разногласия по его отдельным условиям1. Следовательно, в отношении выбора контрагента и условий договора для предпринимателя здесь исключается действие принципа свободы договора. Такое законодательное решение призвано служить защите интересов массовых потребителей, прежде всего граждан, обычно находящихся по отношению к профессиональным предпринимателям в заведомо более слабом положении.</w:t>
      </w:r>
    </w:p>
    <w:p>
      <w:pPr>
        <w:pStyle w:val="17"/>
        <w:shd w:val="clear" w:color="auto" w:fill="FFFFFF"/>
        <w:spacing w:before="0" w:beforeAutospacing="0" w:after="0" w:afterAutospacing="0"/>
        <w:ind w:firstLine="700" w:firstLineChars="0"/>
        <w:rPr>
          <w:rFonts w:hint="default"/>
          <w:b w:val="0"/>
          <w:bCs/>
          <w:color w:val="333333"/>
          <w:sz w:val="28"/>
          <w:szCs w:val="28"/>
          <w:lang w:val="ru-RU"/>
        </w:rPr>
      </w:pPr>
    </w:p>
    <w:p>
      <w:pPr>
        <w:pStyle w:val="17"/>
        <w:shd w:val="clear" w:color="auto" w:fill="FFFFFF"/>
        <w:spacing w:before="0" w:beforeAutospacing="0" w:after="0" w:afterAutospacing="0"/>
        <w:ind w:firstLine="700" w:firstLineChars="0"/>
        <w:rPr>
          <w:rFonts w:hint="default"/>
          <w:b w:val="0"/>
          <w:bCs/>
          <w:color w:val="333333"/>
          <w:sz w:val="28"/>
          <w:szCs w:val="28"/>
          <w:lang w:val="ru-RU"/>
        </w:rPr>
      </w:pPr>
      <w:r>
        <w:rPr>
          <w:rFonts w:hint="default"/>
          <w:b w:val="0"/>
          <w:bCs/>
          <w:color w:val="333333"/>
          <w:sz w:val="28"/>
          <w:szCs w:val="28"/>
          <w:lang w:val="ru-RU"/>
        </w:rPr>
        <w:t>Указанным целям соответствуют также правила о договоре присоединения.</w:t>
      </w:r>
    </w:p>
    <w:p>
      <w:pPr>
        <w:pStyle w:val="17"/>
        <w:shd w:val="clear" w:color="auto" w:fill="FFFFFF"/>
        <w:spacing w:before="0" w:beforeAutospacing="0" w:after="0" w:afterAutospacing="0"/>
        <w:ind w:firstLine="700" w:firstLineChars="0"/>
        <w:rPr>
          <w:rFonts w:hint="default"/>
          <w:b w:val="0"/>
          <w:bCs/>
          <w:color w:val="333333"/>
          <w:sz w:val="28"/>
          <w:szCs w:val="28"/>
          <w:lang w:val="ru-RU"/>
        </w:rPr>
      </w:pPr>
      <w:r>
        <w:rPr>
          <w:rFonts w:hint="default"/>
          <w:b w:val="0"/>
          <w:bCs/>
          <w:color w:val="333333"/>
          <w:sz w:val="28"/>
          <w:szCs w:val="28"/>
          <w:lang w:val="ru-RU"/>
        </w:rPr>
        <w:t>Договором присоединения признается договор, условия которого определены лишь одной из сторон, причем таким образом (в формуляре, типовом бланке или иной стандартной форме), что другая сторона лишена возможности участвовать в их формировании и может их принять лишь путем присоединения к договору в целом (п. 1 ст 428 ГК).</w:t>
      </w:r>
    </w:p>
    <w:p>
      <w:pPr>
        <w:pStyle w:val="17"/>
        <w:shd w:val="clear" w:color="auto" w:fill="FFFFFF"/>
        <w:spacing w:before="0" w:beforeAutospacing="0" w:after="0" w:afterAutospacing="0"/>
        <w:ind w:firstLine="700" w:firstLineChars="0"/>
        <w:rPr>
          <w:rFonts w:hint="default"/>
          <w:b w:val="0"/>
          <w:bCs/>
          <w:color w:val="333333"/>
          <w:sz w:val="28"/>
          <w:szCs w:val="28"/>
          <w:lang w:val="ru-RU"/>
        </w:rPr>
        <w:sectPr>
          <w:footerReference r:id="rId7" w:type="default"/>
          <w:pgSz w:w="11906" w:h="16838"/>
          <w:pgMar w:top="851" w:right="851" w:bottom="1701" w:left="1418" w:header="709" w:footer="709" w:gutter="0"/>
          <w:pgNumType w:fmt="decimal"/>
          <w:cols w:space="708" w:num="1"/>
          <w:docGrid w:linePitch="360" w:charSpace="0"/>
        </w:sectPr>
      </w:pPr>
      <w:r>
        <w:rPr>
          <w:rFonts w:hint="default"/>
          <w:b w:val="0"/>
          <w:bCs/>
          <w:color w:val="333333"/>
          <w:sz w:val="28"/>
          <w:szCs w:val="28"/>
          <w:lang w:val="ru-RU"/>
        </w:rPr>
        <w:t>Будучи по сути особым способом заключения договоров, договор присоединения даже при его использовании в отношениях между предпринимателями и потребителями не сливается с понятием публичного договора. Ведь последний предполагает возможность его принудительного заключения по требованию потребителя, тогда как смысл договора присоединения, напротив, состоит в предоставлении потребителю более широкой, чем обычно, возможности добиваться его изменения или расторжения.</w:t>
      </w:r>
    </w:p>
    <w:p>
      <w:pPr>
        <w:pStyle w:val="17"/>
        <w:shd w:val="clear" w:color="auto" w:fill="FFFFFF"/>
        <w:spacing w:before="0" w:beforeAutospacing="0" w:after="0" w:afterAutospacing="0"/>
        <w:ind w:firstLine="280"/>
        <w:rPr>
          <w:rFonts w:hint="default"/>
          <w:color w:val="000000"/>
          <w:sz w:val="28"/>
          <w:szCs w:val="28"/>
          <w:lang w:eastAsia="ru-RU"/>
        </w:rPr>
      </w:pPr>
    </w:p>
    <w:p>
      <w:pPr>
        <w:jc w:val="center"/>
        <w:rPr>
          <w:rFonts w:ascii="Times New Roman" w:hAnsi="Times New Roman" w:eastAsia="Times New Roman" w:cs="Times New Roman"/>
          <w:b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8"/>
          <w:lang w:eastAsia="ru-RU"/>
        </w:rPr>
        <w:t>Использованная литература</w:t>
      </w:r>
    </w:p>
    <w:p>
      <w:pPr>
        <w:pStyle w:val="49"/>
        <w:numPr>
          <w:ilvl w:val="0"/>
          <w:numId w:val="2"/>
        </w:numPr>
        <w:spacing w:line="360" w:lineRule="atLeast"/>
        <w:ind w:left="425" w:leftChars="0" w:hanging="425" w:firstLineChars="0"/>
        <w:textAlignment w:val="baseline"/>
        <w:rPr>
          <w:rFonts w:hint="default"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Московское юридическое Издательство БЕК  2-е издание учебника "Гражданское право. Том I"</w:t>
      </w:r>
    </w:p>
    <w:p>
      <w:pPr>
        <w:pStyle w:val="49"/>
        <w:numPr>
          <w:ilvl w:val="0"/>
          <w:numId w:val="0"/>
        </w:numPr>
        <w:spacing w:line="360" w:lineRule="atLeast"/>
        <w:jc w:val="both"/>
        <w:textAlignment w:val="baseline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2.    </w:t>
      </w: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Брагинский М.И., Витрянский В.В. Договорное право. Общие положения. М., 1997 (гл. III-V, VIII);</w:t>
      </w:r>
    </w:p>
    <w:p>
      <w:pPr>
        <w:pStyle w:val="49"/>
        <w:numPr>
          <w:ilvl w:val="0"/>
          <w:numId w:val="0"/>
        </w:numPr>
        <w:spacing w:line="360" w:lineRule="atLeast"/>
        <w:jc w:val="both"/>
        <w:textAlignment w:val="baseline"/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3.  </w:t>
      </w: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Иоффе О.С. Обязательственное право. М., 1975 (гл. 2); МейерД.И. Русское </w:t>
      </w:r>
    </w:p>
    <w:p>
      <w:pPr>
        <w:pStyle w:val="49"/>
        <w:numPr>
          <w:ilvl w:val="0"/>
          <w:numId w:val="0"/>
        </w:numPr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4.  Г</w:t>
      </w: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ражданское право. В 2 ч. Ч. 2 (по исправленному и дополненному 8-му изданию 1902 г.). М., 1997; </w:t>
      </w:r>
    </w:p>
    <w:p>
      <w:pPr>
        <w:pStyle w:val="49"/>
        <w:numPr>
          <w:ilvl w:val="0"/>
          <w:numId w:val="0"/>
        </w:numPr>
        <w:spacing w:line="360" w:lineRule="atLeast"/>
        <w:jc w:val="center"/>
        <w:textAlignment w:val="baseline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9"/>
        <w:numPr>
          <w:ilvl w:val="0"/>
          <w:numId w:val="0"/>
        </w:numPr>
        <w:spacing w:line="360" w:lineRule="atLeast"/>
        <w:jc w:val="center"/>
        <w:textAlignment w:val="baseline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9"/>
        <w:numPr>
          <w:ilvl w:val="0"/>
          <w:numId w:val="0"/>
        </w:numPr>
        <w:spacing w:line="360" w:lineRule="atLeast"/>
        <w:jc w:val="center"/>
        <w:textAlignment w:val="baseline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9"/>
        <w:numPr>
          <w:ilvl w:val="0"/>
          <w:numId w:val="0"/>
        </w:numPr>
        <w:spacing w:line="360" w:lineRule="atLeast"/>
        <w:jc w:val="center"/>
        <w:textAlignment w:val="baseline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9"/>
        <w:numPr>
          <w:ilvl w:val="0"/>
          <w:numId w:val="0"/>
        </w:numPr>
        <w:spacing w:line="360" w:lineRule="atLeast"/>
        <w:jc w:val="center"/>
        <w:textAlignment w:val="baseline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9"/>
        <w:numPr>
          <w:ilvl w:val="0"/>
          <w:numId w:val="0"/>
        </w:numPr>
        <w:spacing w:line="360" w:lineRule="atLeast"/>
        <w:jc w:val="center"/>
        <w:textAlignment w:val="baseline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9"/>
        <w:numPr>
          <w:ilvl w:val="0"/>
          <w:numId w:val="0"/>
        </w:numPr>
        <w:spacing w:line="360" w:lineRule="atLeast"/>
        <w:jc w:val="center"/>
        <w:textAlignment w:val="baseline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9"/>
        <w:numPr>
          <w:ilvl w:val="0"/>
          <w:numId w:val="0"/>
        </w:numPr>
        <w:spacing w:line="360" w:lineRule="atLeast"/>
        <w:jc w:val="center"/>
        <w:textAlignment w:val="baseline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9"/>
        <w:numPr>
          <w:ilvl w:val="0"/>
          <w:numId w:val="0"/>
        </w:numPr>
        <w:spacing w:line="360" w:lineRule="atLeast"/>
        <w:jc w:val="center"/>
        <w:textAlignment w:val="baseline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9"/>
        <w:numPr>
          <w:ilvl w:val="0"/>
          <w:numId w:val="0"/>
        </w:numPr>
        <w:spacing w:line="360" w:lineRule="atLeast"/>
        <w:jc w:val="center"/>
        <w:textAlignment w:val="baseline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9"/>
        <w:numPr>
          <w:ilvl w:val="0"/>
          <w:numId w:val="0"/>
        </w:numPr>
        <w:spacing w:line="360" w:lineRule="atLeast"/>
        <w:jc w:val="center"/>
        <w:textAlignment w:val="baseline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9"/>
        <w:numPr>
          <w:ilvl w:val="0"/>
          <w:numId w:val="0"/>
        </w:numPr>
        <w:spacing w:line="360" w:lineRule="atLeast"/>
        <w:jc w:val="center"/>
        <w:textAlignment w:val="baseline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9"/>
        <w:numPr>
          <w:ilvl w:val="0"/>
          <w:numId w:val="0"/>
        </w:numPr>
        <w:spacing w:line="360" w:lineRule="atLeast"/>
        <w:jc w:val="center"/>
        <w:textAlignment w:val="baseline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9"/>
        <w:numPr>
          <w:ilvl w:val="0"/>
          <w:numId w:val="0"/>
        </w:numPr>
        <w:spacing w:line="360" w:lineRule="atLeast"/>
        <w:jc w:val="center"/>
        <w:textAlignment w:val="baseline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pStyle w:val="49"/>
        <w:spacing w:line="360" w:lineRule="atLeast"/>
        <w:ind w:left="0" w:leftChars="0" w:firstLine="0" w:firstLineChars="0"/>
        <w:textAlignment w:val="baseline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sectPr>
      <w:footerReference r:id="rId8" w:type="default"/>
      <w:pgSz w:w="11906" w:h="16838"/>
      <w:pgMar w:top="851" w:right="851" w:bottom="1701" w:left="1418" w:header="709" w:footer="709" w:gutter="0"/>
      <w:pgNumType w:fmt="decimal" w:start="3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CC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top:-1.5pt;height:144pt;width:144pt;mso-position-horizontal:center;mso-position-horizontal-relative:margin;mso-wrap-style:none;z-index:251673600;mso-width-relative:page;mso-height-relative:page;" filled="f" stroked="f" coordsize="21600,21600" o:gfxdata="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PO8JfUAAAABwEAAA8AAAAAAAAAAQAgAAAAIgAAAGRycy9kb3du&#10;cmV2LnhtbFBLAQIUABQAAAAIAIdO4kAuOpdHAwIAABIEAAAOAAAAAAAAAAEAIAAAACMBAABkcnMv&#10;ZTJvRG9jLnhtbFBLBQYAAAAABgAGAFkBAACY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DDC7C"/>
    <w:multiLevelType w:val="singleLevel"/>
    <w:tmpl w:val="5C0DDC7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C0E148C"/>
    <w:multiLevelType w:val="singleLevel"/>
    <w:tmpl w:val="5C0E148C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AA"/>
    <w:rsid w:val="00042CE5"/>
    <w:rsid w:val="00092A05"/>
    <w:rsid w:val="000C60C1"/>
    <w:rsid w:val="000D6E4E"/>
    <w:rsid w:val="000E497A"/>
    <w:rsid w:val="0010565C"/>
    <w:rsid w:val="00107F39"/>
    <w:rsid w:val="00120D13"/>
    <w:rsid w:val="00121978"/>
    <w:rsid w:val="001333F6"/>
    <w:rsid w:val="00162075"/>
    <w:rsid w:val="00166354"/>
    <w:rsid w:val="00170633"/>
    <w:rsid w:val="00172AF1"/>
    <w:rsid w:val="00173A17"/>
    <w:rsid w:val="00176103"/>
    <w:rsid w:val="00176AAA"/>
    <w:rsid w:val="00196304"/>
    <w:rsid w:val="001D0B9C"/>
    <w:rsid w:val="001E5D89"/>
    <w:rsid w:val="00215D00"/>
    <w:rsid w:val="0024503E"/>
    <w:rsid w:val="0026109C"/>
    <w:rsid w:val="00277DB0"/>
    <w:rsid w:val="00282813"/>
    <w:rsid w:val="00286B8C"/>
    <w:rsid w:val="002D10D2"/>
    <w:rsid w:val="00314BAE"/>
    <w:rsid w:val="00322A4F"/>
    <w:rsid w:val="00350C82"/>
    <w:rsid w:val="003575B9"/>
    <w:rsid w:val="0037685C"/>
    <w:rsid w:val="00390EAD"/>
    <w:rsid w:val="00392A0A"/>
    <w:rsid w:val="003A1392"/>
    <w:rsid w:val="003E1734"/>
    <w:rsid w:val="00434B19"/>
    <w:rsid w:val="00446B9D"/>
    <w:rsid w:val="00481BAF"/>
    <w:rsid w:val="00494060"/>
    <w:rsid w:val="004B3F9F"/>
    <w:rsid w:val="004B4432"/>
    <w:rsid w:val="00513A20"/>
    <w:rsid w:val="005257F1"/>
    <w:rsid w:val="005318CE"/>
    <w:rsid w:val="00540EF1"/>
    <w:rsid w:val="00560F07"/>
    <w:rsid w:val="00570B44"/>
    <w:rsid w:val="00576E5D"/>
    <w:rsid w:val="0058163C"/>
    <w:rsid w:val="00585CE3"/>
    <w:rsid w:val="005A5328"/>
    <w:rsid w:val="005B767B"/>
    <w:rsid w:val="005F5D68"/>
    <w:rsid w:val="005F5EEB"/>
    <w:rsid w:val="006047A1"/>
    <w:rsid w:val="00610892"/>
    <w:rsid w:val="00643078"/>
    <w:rsid w:val="00654CDD"/>
    <w:rsid w:val="00656104"/>
    <w:rsid w:val="00657C8C"/>
    <w:rsid w:val="00663234"/>
    <w:rsid w:val="00672371"/>
    <w:rsid w:val="00680943"/>
    <w:rsid w:val="006D5D20"/>
    <w:rsid w:val="00704968"/>
    <w:rsid w:val="00710DBD"/>
    <w:rsid w:val="00716946"/>
    <w:rsid w:val="00782B1E"/>
    <w:rsid w:val="00796D31"/>
    <w:rsid w:val="007E1EF0"/>
    <w:rsid w:val="00831469"/>
    <w:rsid w:val="00835531"/>
    <w:rsid w:val="008640B8"/>
    <w:rsid w:val="0089436C"/>
    <w:rsid w:val="008A6E5D"/>
    <w:rsid w:val="008C7825"/>
    <w:rsid w:val="008E5BF0"/>
    <w:rsid w:val="008F6B6D"/>
    <w:rsid w:val="00921735"/>
    <w:rsid w:val="00921B00"/>
    <w:rsid w:val="009362AA"/>
    <w:rsid w:val="009A251E"/>
    <w:rsid w:val="009B7172"/>
    <w:rsid w:val="009D2521"/>
    <w:rsid w:val="009D2EDD"/>
    <w:rsid w:val="009E15E2"/>
    <w:rsid w:val="009F6C04"/>
    <w:rsid w:val="00A47E43"/>
    <w:rsid w:val="00A656F2"/>
    <w:rsid w:val="00A65D29"/>
    <w:rsid w:val="00A87B86"/>
    <w:rsid w:val="00A91AF2"/>
    <w:rsid w:val="00A9393A"/>
    <w:rsid w:val="00AA7C8C"/>
    <w:rsid w:val="00AD4702"/>
    <w:rsid w:val="00AE3370"/>
    <w:rsid w:val="00B01C8B"/>
    <w:rsid w:val="00B034F3"/>
    <w:rsid w:val="00B0655F"/>
    <w:rsid w:val="00B46828"/>
    <w:rsid w:val="00BE6C23"/>
    <w:rsid w:val="00BF276D"/>
    <w:rsid w:val="00C17FF9"/>
    <w:rsid w:val="00C3694A"/>
    <w:rsid w:val="00C41D44"/>
    <w:rsid w:val="00C95F5C"/>
    <w:rsid w:val="00CA2D76"/>
    <w:rsid w:val="00CB4BE9"/>
    <w:rsid w:val="00CC4DE5"/>
    <w:rsid w:val="00D3401E"/>
    <w:rsid w:val="00D76FDB"/>
    <w:rsid w:val="00D77A24"/>
    <w:rsid w:val="00D83FF9"/>
    <w:rsid w:val="00DC6134"/>
    <w:rsid w:val="00DC64DC"/>
    <w:rsid w:val="00DD7510"/>
    <w:rsid w:val="00E00028"/>
    <w:rsid w:val="00E155E1"/>
    <w:rsid w:val="00E218BA"/>
    <w:rsid w:val="00E41569"/>
    <w:rsid w:val="00E43BA9"/>
    <w:rsid w:val="00E53D23"/>
    <w:rsid w:val="00E713C0"/>
    <w:rsid w:val="00E75D5A"/>
    <w:rsid w:val="00E76E60"/>
    <w:rsid w:val="00E77A50"/>
    <w:rsid w:val="00E94AAB"/>
    <w:rsid w:val="00E971B6"/>
    <w:rsid w:val="00EE3924"/>
    <w:rsid w:val="00EF43E5"/>
    <w:rsid w:val="00EF6DCB"/>
    <w:rsid w:val="00F01C31"/>
    <w:rsid w:val="00F076F5"/>
    <w:rsid w:val="00F25D47"/>
    <w:rsid w:val="00F40565"/>
    <w:rsid w:val="00F64AA0"/>
    <w:rsid w:val="00F91F60"/>
    <w:rsid w:val="00F96052"/>
    <w:rsid w:val="00FA68C0"/>
    <w:rsid w:val="00FE3F73"/>
    <w:rsid w:val="00FF5668"/>
    <w:rsid w:val="072F396F"/>
    <w:rsid w:val="09CC6AD8"/>
    <w:rsid w:val="0B67792A"/>
    <w:rsid w:val="15363E59"/>
    <w:rsid w:val="17DE7A55"/>
    <w:rsid w:val="1D7A131B"/>
    <w:rsid w:val="1ED8153C"/>
    <w:rsid w:val="24831E16"/>
    <w:rsid w:val="2DA736F5"/>
    <w:rsid w:val="33EC448B"/>
    <w:rsid w:val="33F35CDF"/>
    <w:rsid w:val="3A021773"/>
    <w:rsid w:val="403578FC"/>
    <w:rsid w:val="4A261741"/>
    <w:rsid w:val="4ECB525F"/>
    <w:rsid w:val="585E03A1"/>
    <w:rsid w:val="58BE0510"/>
    <w:rsid w:val="5E572FB1"/>
    <w:rsid w:val="6A461430"/>
    <w:rsid w:val="6AAB421A"/>
    <w:rsid w:val="6B7C0BD5"/>
    <w:rsid w:val="6C336341"/>
    <w:rsid w:val="70DC505F"/>
    <w:rsid w:val="77404EB2"/>
    <w:rsid w:val="7CBD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sz w:val="21"/>
      <w:szCs w:val="21"/>
      <w:lang w:val="ru-RU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pBdr>
        <w:left w:val="single" w:color="ED7D31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12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8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8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8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spacing w:before="8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spacing w:before="8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10">
    <w:name w:val="heading 9"/>
    <w:basedOn w:val="1"/>
    <w:next w:val="1"/>
    <w:link w:val="35"/>
    <w:unhideWhenUsed/>
    <w:qFormat/>
    <w:uiPriority w:val="9"/>
    <w:pPr>
      <w:keepNext/>
      <w:keepLines/>
      <w:spacing w:before="8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default="1" w:styleId="19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endnote text"/>
    <w:basedOn w:val="1"/>
    <w:unhideWhenUsed/>
    <w:qFormat/>
    <w:uiPriority w:val="99"/>
    <w:pPr>
      <w:snapToGrid w:val="0"/>
      <w:jc w:val="left"/>
    </w:p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ED7D31" w:themeColor="accent2"/>
      <w:spacing w:val="10"/>
      <w:sz w:val="16"/>
      <w:szCs w:val="16"/>
      <w14:textFill>
        <w14:solidFill>
          <w14:schemeClr w14:val="accent2"/>
        </w14:solidFill>
      </w14:textFill>
    </w:rPr>
  </w:style>
  <w:style w:type="paragraph" w:styleId="13">
    <w:name w:val="footnote text"/>
    <w:basedOn w:val="1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4">
    <w:name w:val="header"/>
    <w:basedOn w:val="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Title"/>
    <w:basedOn w:val="1"/>
    <w:next w:val="1"/>
    <w:link w:val="36"/>
    <w:qFormat/>
    <w:uiPriority w:val="10"/>
    <w:pPr>
      <w:spacing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16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8">
    <w:name w:val="Subtitle"/>
    <w:basedOn w:val="1"/>
    <w:next w:val="1"/>
    <w:link w:val="37"/>
    <w:qFormat/>
    <w:uiPriority w:val="11"/>
    <w:pPr>
      <w:spacing w:after="240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20">
    <w:name w:val="footnote reference"/>
    <w:basedOn w:val="19"/>
    <w:unhideWhenUsed/>
    <w:qFormat/>
    <w:uiPriority w:val="99"/>
    <w:rPr>
      <w:vertAlign w:val="superscript"/>
    </w:rPr>
  </w:style>
  <w:style w:type="character" w:styleId="21">
    <w:name w:val="endnote reference"/>
    <w:basedOn w:val="19"/>
    <w:unhideWhenUsed/>
    <w:qFormat/>
    <w:uiPriority w:val="99"/>
    <w:rPr>
      <w:vertAlign w:val="superscript"/>
    </w:rPr>
  </w:style>
  <w:style w:type="character" w:styleId="22">
    <w:name w:val="Emphasis"/>
    <w:basedOn w:val="19"/>
    <w:qFormat/>
    <w:uiPriority w:val="20"/>
    <w:rPr>
      <w:rFonts w:asciiTheme="minorHAnsi" w:hAnsiTheme="minorHAnsi" w:eastAsiaTheme="minorEastAsia" w:cstheme="minorBidi"/>
      <w:i/>
      <w:iCs/>
      <w:color w:val="C55A11" w:themeColor="accent2" w:themeShade="BF"/>
      <w:sz w:val="20"/>
      <w:szCs w:val="20"/>
    </w:rPr>
  </w:style>
  <w:style w:type="character" w:styleId="23">
    <w:name w:val="Hyperlink"/>
    <w:basedOn w:val="19"/>
    <w:unhideWhenUsed/>
    <w:qFormat/>
    <w:uiPriority w:val="99"/>
    <w:rPr>
      <w:color w:val="0000FF"/>
      <w:u w:val="single"/>
    </w:rPr>
  </w:style>
  <w:style w:type="character" w:styleId="24">
    <w:name w:val="Strong"/>
    <w:basedOn w:val="19"/>
    <w:qFormat/>
    <w:uiPriority w:val="22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customStyle="1" w:styleId="26">
    <w:name w:val="apple-converted-space"/>
    <w:basedOn w:val="19"/>
    <w:qFormat/>
    <w:uiPriority w:val="0"/>
  </w:style>
  <w:style w:type="character" w:customStyle="1" w:styleId="27">
    <w:name w:val="Заголовок 1 Знак"/>
    <w:basedOn w:val="19"/>
    <w:link w:val="2"/>
    <w:qFormat/>
    <w:uiPriority w:val="9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customStyle="1" w:styleId="28">
    <w:name w:val="Заголовок 2 Знак"/>
    <w:basedOn w:val="19"/>
    <w:link w:val="3"/>
    <w:semiHidden/>
    <w:qFormat/>
    <w:uiPriority w:val="9"/>
    <w:rPr>
      <w:rFonts w:asciiTheme="majorHAnsi" w:hAnsiTheme="majorHAnsi" w:eastAsiaTheme="majorEastAsia" w:cstheme="majorBidi"/>
      <w:sz w:val="36"/>
      <w:szCs w:val="36"/>
    </w:rPr>
  </w:style>
  <w:style w:type="character" w:customStyle="1" w:styleId="29">
    <w:name w:val="Заголовок 3 Знак"/>
    <w:basedOn w:val="19"/>
    <w:link w:val="4"/>
    <w:semiHidden/>
    <w:qFormat/>
    <w:uiPriority w:val="9"/>
    <w:rPr>
      <w:rFonts w:asciiTheme="majorHAnsi" w:hAnsiTheme="majorHAnsi" w:eastAsiaTheme="majorEastAsia" w:cstheme="majorBidi"/>
      <w:caps/>
      <w:sz w:val="28"/>
      <w:szCs w:val="28"/>
    </w:rPr>
  </w:style>
  <w:style w:type="character" w:customStyle="1" w:styleId="30">
    <w:name w:val="Заголовок 4 Знак"/>
    <w:basedOn w:val="19"/>
    <w:link w:val="5"/>
    <w:semiHidden/>
    <w:qFormat/>
    <w:uiPriority w:val="9"/>
    <w:rPr>
      <w:rFonts w:asciiTheme="majorHAnsi" w:hAnsiTheme="majorHAnsi" w:eastAsiaTheme="majorEastAsia" w:cstheme="majorBidi"/>
      <w:i/>
      <w:iCs/>
      <w:sz w:val="28"/>
      <w:szCs w:val="28"/>
    </w:rPr>
  </w:style>
  <w:style w:type="character" w:customStyle="1" w:styleId="31">
    <w:name w:val="Заголовок 5 Знак"/>
    <w:basedOn w:val="19"/>
    <w:link w:val="6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Заголовок 6 Знак"/>
    <w:basedOn w:val="19"/>
    <w:link w:val="7"/>
    <w:semiHidden/>
    <w:qFormat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33">
    <w:name w:val="Заголовок 7 Знак"/>
    <w:basedOn w:val="19"/>
    <w:link w:val="8"/>
    <w:semiHidden/>
    <w:qFormat/>
    <w:uiPriority w:val="9"/>
    <w:rPr>
      <w:rFonts w:asciiTheme="majorHAnsi" w:hAnsiTheme="majorHAnsi" w:eastAsiaTheme="majorEastAsia" w:cstheme="majorBidi"/>
      <w:color w:val="595959" w:themeColor="text1" w:themeTint="A6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4">
    <w:name w:val="Заголовок 8 Знак"/>
    <w:basedOn w:val="19"/>
    <w:link w:val="9"/>
    <w:semiHidden/>
    <w:qFormat/>
    <w:uiPriority w:val="9"/>
    <w:rPr>
      <w:rFonts w:asciiTheme="majorHAnsi" w:hAnsiTheme="majorHAnsi" w:eastAsiaTheme="majorEastAsia" w:cstheme="majorBidi"/>
      <w:caps/>
    </w:rPr>
  </w:style>
  <w:style w:type="character" w:customStyle="1" w:styleId="35">
    <w:name w:val="Заголовок 9 Знак"/>
    <w:basedOn w:val="19"/>
    <w:link w:val="10"/>
    <w:semiHidden/>
    <w:qFormat/>
    <w:uiPriority w:val="9"/>
    <w:rPr>
      <w:rFonts w:asciiTheme="majorHAnsi" w:hAnsiTheme="majorHAnsi" w:eastAsiaTheme="majorEastAsia" w:cstheme="majorBidi"/>
      <w:i/>
      <w:iCs/>
      <w:caps/>
    </w:rPr>
  </w:style>
  <w:style w:type="character" w:customStyle="1" w:styleId="36">
    <w:name w:val="Название Знак"/>
    <w:basedOn w:val="19"/>
    <w:link w:val="15"/>
    <w:qFormat/>
    <w:uiPriority w:val="10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customStyle="1" w:styleId="37">
    <w:name w:val="Подзаголовок Знак"/>
    <w:basedOn w:val="19"/>
    <w:link w:val="18"/>
    <w:qFormat/>
    <w:uiPriority w:val="11"/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38">
    <w:name w:val="No Spacing"/>
    <w:qFormat/>
    <w:uiPriority w:val="1"/>
    <w:pPr>
      <w:spacing w:line="240" w:lineRule="auto"/>
    </w:pPr>
    <w:rPr>
      <w:rFonts w:asciiTheme="minorHAnsi" w:hAnsiTheme="minorHAnsi" w:eastAsiaTheme="minorEastAsia" w:cstheme="minorBidi"/>
      <w:sz w:val="21"/>
      <w:szCs w:val="21"/>
      <w:lang w:val="ru-RU" w:eastAsia="en-US" w:bidi="ar-SA"/>
    </w:rPr>
  </w:style>
  <w:style w:type="paragraph" w:customStyle="1" w:styleId="39">
    <w:name w:val="Quote"/>
    <w:basedOn w:val="1"/>
    <w:next w:val="1"/>
    <w:link w:val="40"/>
    <w:qFormat/>
    <w:uiPriority w:val="29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customStyle="1" w:styleId="40">
    <w:name w:val="Цитата 2 Знак"/>
    <w:basedOn w:val="19"/>
    <w:link w:val="39"/>
    <w:qFormat/>
    <w:uiPriority w:val="29"/>
    <w:rPr>
      <w:rFonts w:asciiTheme="majorHAnsi" w:hAnsiTheme="majorHAnsi" w:eastAsiaTheme="majorEastAsia" w:cstheme="majorBidi"/>
      <w:sz w:val="24"/>
      <w:szCs w:val="24"/>
    </w:rPr>
  </w:style>
  <w:style w:type="paragraph" w:customStyle="1" w:styleId="41">
    <w:name w:val="Intense Quote"/>
    <w:basedOn w:val="1"/>
    <w:next w:val="1"/>
    <w:link w:val="42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C55A11" w:themeColor="accent2" w:themeShade="BF"/>
      <w:spacing w:val="10"/>
      <w:sz w:val="28"/>
      <w:szCs w:val="28"/>
    </w:rPr>
  </w:style>
  <w:style w:type="character" w:customStyle="1" w:styleId="42">
    <w:name w:val="Выделенная цитата Знак"/>
    <w:basedOn w:val="19"/>
    <w:link w:val="41"/>
    <w:qFormat/>
    <w:uiPriority w:val="30"/>
    <w:rPr>
      <w:rFonts w:asciiTheme="majorHAnsi" w:hAnsiTheme="majorHAnsi" w:eastAsiaTheme="majorEastAsia" w:cstheme="majorBidi"/>
      <w:caps/>
      <w:color w:val="C55A11" w:themeColor="accent2" w:themeShade="BF"/>
      <w:spacing w:val="10"/>
      <w:sz w:val="28"/>
      <w:szCs w:val="28"/>
    </w:rPr>
  </w:style>
  <w:style w:type="character" w:customStyle="1" w:styleId="43">
    <w:name w:val="Subtle Emphasis"/>
    <w:basedOn w:val="19"/>
    <w:qFormat/>
    <w:uiPriority w:val="19"/>
    <w:rPr>
      <w:i/>
      <w:iCs/>
      <w:color w:val="auto"/>
    </w:rPr>
  </w:style>
  <w:style w:type="character" w:customStyle="1" w:styleId="44">
    <w:name w:val="Intense Emphasis"/>
    <w:basedOn w:val="19"/>
    <w:qFormat/>
    <w:uiPriority w:val="21"/>
    <w:rPr>
      <w:rFonts w:asciiTheme="minorHAnsi" w:hAnsiTheme="minorHAnsi" w:eastAsiaTheme="minorEastAsia" w:cstheme="minorBidi"/>
      <w:b/>
      <w:bCs/>
      <w:i/>
      <w:iCs/>
      <w:color w:val="C55A11" w:themeColor="accent2" w:themeShade="BF"/>
      <w:spacing w:val="0"/>
      <w:w w:val="100"/>
      <w:position w:val="0"/>
      <w:sz w:val="20"/>
      <w:szCs w:val="20"/>
    </w:rPr>
  </w:style>
  <w:style w:type="character" w:customStyle="1" w:styleId="45">
    <w:name w:val="Subtle Reference"/>
    <w:basedOn w:val="19"/>
    <w:qFormat/>
    <w:uiPriority w:val="31"/>
    <w:rPr>
      <w:rFonts w:asciiTheme="minorHAnsi" w:hAnsiTheme="minorHAnsi" w:eastAsiaTheme="minorEastAsia" w:cstheme="minorBidi"/>
      <w:smallCaps/>
      <w:color w:val="auto"/>
      <w:spacing w:val="10"/>
      <w:w w:val="100"/>
      <w:sz w:val="20"/>
      <w:szCs w:val="20"/>
      <w:u w:val="single" w:color="7E7E7E" w:themeColor="text1" w:themeTint="80"/>
    </w:rPr>
  </w:style>
  <w:style w:type="character" w:customStyle="1" w:styleId="46">
    <w:name w:val="Intense Reference"/>
    <w:basedOn w:val="19"/>
    <w:qFormat/>
    <w:uiPriority w:val="32"/>
    <w:rPr>
      <w:rFonts w:asciiTheme="minorHAnsi" w:hAnsiTheme="minorHAnsi" w:eastAsiaTheme="minorEastAsia" w:cstheme="minorBidi"/>
      <w:b/>
      <w:bCs/>
      <w:smallCaps/>
      <w:color w:val="1A1A1A" w:themeColor="text1" w:themeTint="E6"/>
      <w:spacing w:val="10"/>
      <w:w w:val="100"/>
      <w:position w:val="0"/>
      <w:sz w:val="20"/>
      <w:szCs w:val="20"/>
      <w:u w:val="single"/>
      <w14:textFill>
        <w14:solidFill>
          <w14:schemeClr w14:val="tx1">
            <w14:lumMod w14:val="90000"/>
            <w14:lumOff w14:val="10000"/>
          </w14:schemeClr>
        </w14:solidFill>
      </w14:textFill>
    </w:rPr>
  </w:style>
  <w:style w:type="character" w:customStyle="1" w:styleId="47">
    <w:name w:val="Book Title"/>
    <w:basedOn w:val="19"/>
    <w:qFormat/>
    <w:uiPriority w:val="33"/>
    <w:rPr>
      <w:rFonts w:asciiTheme="minorHAnsi" w:hAnsiTheme="minorHAnsi" w:eastAsiaTheme="minorEastAsia" w:cstheme="minorBidi"/>
      <w:b/>
      <w:bCs/>
      <w:i/>
      <w:iCs/>
      <w:color w:val="auto"/>
      <w:spacing w:val="10"/>
      <w:w w:val="100"/>
      <w:sz w:val="20"/>
      <w:szCs w:val="20"/>
    </w:rPr>
  </w:style>
  <w:style w:type="paragraph" w:customStyle="1" w:styleId="48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9">
    <w:name w:val="List Paragraph"/>
    <w:basedOn w:val="1"/>
    <w:qFormat/>
    <w:uiPriority w:val="34"/>
    <w:pPr>
      <w:ind w:left="720"/>
      <w:contextualSpacing/>
    </w:pPr>
  </w:style>
  <w:style w:type="character" w:customStyle="1" w:styleId="50">
    <w:name w:val="hl"/>
    <w:basedOn w:val="1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1440C0-2422-402D-9955-4260FEF3BF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5349</Words>
  <Characters>30494</Characters>
  <Lines>254</Lines>
  <Paragraphs>71</Paragraphs>
  <TotalTime>0</TotalTime>
  <ScaleCrop>false</ScaleCrop>
  <LinksUpToDate>false</LinksUpToDate>
  <CharactersWithSpaces>35772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2018-01-05T17:14:00Z</dcterms:created>
  <dc:creator>USER</dc:creator>
  <cp:lastModifiedBy>can</cp:lastModifiedBy>
  <dcterms:modified xsi:type="dcterms:W3CDTF">2020-07-27T09:33:15Z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1049-11.2.0.9327</vt:lpwstr>
  </property>
</Properties>
</file>