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59F" w:rsidRDefault="0088059F" w:rsidP="0088059F">
      <w:pPr>
        <w:shd w:val="clear" w:color="auto" w:fill="FFFFFF"/>
        <w:spacing w:after="0" w:line="240" w:lineRule="auto"/>
        <w:ind w:firstLine="900"/>
        <w:jc w:val="center"/>
        <w:rPr>
          <w:rFonts w:ascii="Times New Roman Tj" w:eastAsia="Times New Roman" w:hAnsi="Times New Roman Tj" w:cs="Arial"/>
          <w:b/>
          <w:sz w:val="36"/>
          <w:szCs w:val="36"/>
          <w:lang w:val="ru-RU"/>
        </w:rPr>
      </w:pPr>
      <w:r w:rsidRPr="0088059F">
        <w:rPr>
          <w:rFonts w:ascii="Times New Roman Tj" w:eastAsia="Times New Roman" w:hAnsi="Times New Roman Tj" w:cs="Arial"/>
          <w:b/>
          <w:sz w:val="36"/>
          <w:szCs w:val="36"/>
          <w:lang w:val="ru-RU"/>
        </w:rPr>
        <w:t xml:space="preserve">Вертикальное выравнивание </w:t>
      </w:r>
    </w:p>
    <w:p w:rsidR="0088059F" w:rsidRDefault="0088059F" w:rsidP="0088059F">
      <w:pPr>
        <w:shd w:val="clear" w:color="auto" w:fill="FFFFFF"/>
        <w:spacing w:after="0" w:line="240" w:lineRule="auto"/>
        <w:ind w:firstLine="900"/>
        <w:jc w:val="center"/>
        <w:rPr>
          <w:rFonts w:ascii="Times New Roman Tj" w:eastAsia="Times New Roman" w:hAnsi="Times New Roman Tj" w:cs="Arial"/>
          <w:b/>
          <w:sz w:val="36"/>
          <w:szCs w:val="36"/>
          <w:lang w:val="ru-RU"/>
        </w:rPr>
      </w:pPr>
      <w:r w:rsidRPr="0088059F">
        <w:rPr>
          <w:rFonts w:ascii="Times New Roman Tj" w:eastAsia="Times New Roman" w:hAnsi="Times New Roman Tj" w:cs="Arial"/>
          <w:b/>
          <w:sz w:val="36"/>
          <w:szCs w:val="36"/>
          <w:lang w:val="ru-RU"/>
        </w:rPr>
        <w:t>происходит за счет дотаций, субсидий, субвенций, бюджетной ссуды, бюджетного кредита</w:t>
      </w:r>
    </w:p>
    <w:p w:rsidR="0088059F" w:rsidRPr="0088059F" w:rsidRDefault="0088059F" w:rsidP="0088059F">
      <w:pPr>
        <w:shd w:val="clear" w:color="auto" w:fill="FFFFFF"/>
        <w:spacing w:after="0" w:line="240" w:lineRule="auto"/>
        <w:ind w:firstLine="900"/>
        <w:jc w:val="center"/>
        <w:rPr>
          <w:rFonts w:ascii="Times New Roman Tj" w:eastAsia="Times New Roman" w:hAnsi="Times New Roman Tj" w:cs="Arial"/>
          <w:b/>
          <w:sz w:val="36"/>
          <w:szCs w:val="36"/>
          <w:lang w:val="ru-RU"/>
        </w:rPr>
      </w:pP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b/>
          <w:bCs/>
          <w:color w:val="000000"/>
          <w:sz w:val="36"/>
          <w:szCs w:val="36"/>
          <w:lang w:val="ru-RU"/>
        </w:rPr>
        <w:t>Дотации -</w:t>
      </w:r>
      <w:r w:rsidRPr="0088059F">
        <w:rPr>
          <w:rFonts w:ascii="Times New Roman Tj" w:eastAsia="Times New Roman" w:hAnsi="Times New Roman Tj" w:cs="Arial"/>
          <w:color w:val="000000"/>
          <w:sz w:val="36"/>
          <w:szCs w:val="36"/>
        </w:rPr>
        <w:t> </w:t>
      </w:r>
      <w:r w:rsidRPr="0088059F">
        <w:rPr>
          <w:rFonts w:ascii="Times New Roman Tj" w:eastAsia="Times New Roman" w:hAnsi="Times New Roman Tj" w:cs="Arial"/>
          <w:color w:val="000000"/>
          <w:sz w:val="36"/>
          <w:szCs w:val="36"/>
          <w:lang w:val="ru-RU"/>
        </w:rPr>
        <w:t>бюджетные средства, предоставляемые бюджету другого уровня бюджетной системы на безвозмездной и безвозвратной основах на покрытие расчетных минимально необходимых текущих расходов без определения конкретных направлений расходов по их видам, при недостаточности у них собственных доходов и отчислений от регулирующих налогов.</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b/>
          <w:bCs/>
          <w:color w:val="000000"/>
          <w:sz w:val="36"/>
          <w:szCs w:val="36"/>
          <w:lang w:val="ru-RU"/>
        </w:rPr>
        <w:t>Субсидии -</w:t>
      </w:r>
      <w:r w:rsidRPr="0088059F">
        <w:rPr>
          <w:rFonts w:ascii="Times New Roman Tj" w:eastAsia="Times New Roman" w:hAnsi="Times New Roman Tj" w:cs="Arial"/>
          <w:color w:val="000000"/>
          <w:sz w:val="36"/>
          <w:szCs w:val="36"/>
        </w:rPr>
        <w:t> </w:t>
      </w:r>
      <w:r w:rsidRPr="0088059F">
        <w:rPr>
          <w:rFonts w:ascii="Times New Roman Tj" w:eastAsia="Times New Roman" w:hAnsi="Times New Roman Tj" w:cs="Arial"/>
          <w:color w:val="000000"/>
          <w:sz w:val="36"/>
          <w:szCs w:val="36"/>
          <w:lang w:val="ru-RU"/>
        </w:rPr>
        <w:t>бюджетные средства, предоставляемые бюджету другого уровня на условиях долевого финансирования целевых расходов. По сравнению с дотациями субсидии являются более гибкой формой и могут использоваться в регулировании инвестиционной бюджетной деятельности местных органов власти. Вместе с тем, поскольку субсидии предусматривают встречное финансирование из региональных и местных бюджетов, то в условиях роста дефицита бюджетов разных уровней они применимы не во всех случаях.</w:t>
      </w:r>
    </w:p>
    <w:p w:rsidR="0088059F" w:rsidRDefault="00BC790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hyperlink r:id="rId6" w:tooltip="Субвенции из федерального бюджета" w:history="1">
        <w:r w:rsidR="0088059F" w:rsidRPr="00B03339">
          <w:rPr>
            <w:rFonts w:ascii="Times New Roman Tj" w:eastAsia="Times New Roman" w:hAnsi="Times New Roman Tj" w:cs="Arial"/>
            <w:b/>
            <w:bCs/>
            <w:color w:val="5A3696"/>
            <w:sz w:val="36"/>
            <w:szCs w:val="36"/>
            <w:lang w:val="ru-RU"/>
          </w:rPr>
          <w:t>Субвенции</w:t>
        </w:r>
      </w:hyperlink>
      <w:r w:rsidR="0088059F" w:rsidRPr="0088059F">
        <w:rPr>
          <w:rFonts w:ascii="Times New Roman Tj" w:eastAsia="Times New Roman" w:hAnsi="Times New Roman Tj" w:cs="Arial"/>
          <w:b/>
          <w:bCs/>
          <w:color w:val="000000"/>
          <w:sz w:val="36"/>
          <w:szCs w:val="36"/>
        </w:rPr>
        <w:t> </w:t>
      </w:r>
      <w:r w:rsidR="0088059F" w:rsidRPr="0088059F">
        <w:rPr>
          <w:rFonts w:ascii="Times New Roman Tj" w:eastAsia="Times New Roman" w:hAnsi="Times New Roman Tj" w:cs="Arial"/>
          <w:b/>
          <w:bCs/>
          <w:color w:val="000000"/>
          <w:sz w:val="36"/>
          <w:szCs w:val="36"/>
          <w:lang w:val="ru-RU"/>
        </w:rPr>
        <w:t>-</w:t>
      </w:r>
      <w:r w:rsidR="0088059F" w:rsidRPr="0088059F">
        <w:rPr>
          <w:rFonts w:ascii="Times New Roman Tj" w:eastAsia="Times New Roman" w:hAnsi="Times New Roman Tj" w:cs="Arial"/>
          <w:color w:val="000000"/>
          <w:sz w:val="36"/>
          <w:szCs w:val="36"/>
        </w:rPr>
        <w:t> </w:t>
      </w:r>
      <w:r w:rsidR="0088059F" w:rsidRPr="0088059F">
        <w:rPr>
          <w:rFonts w:ascii="Times New Roman Tj" w:eastAsia="Times New Roman" w:hAnsi="Times New Roman Tj" w:cs="Arial"/>
          <w:color w:val="000000"/>
          <w:sz w:val="36"/>
          <w:szCs w:val="36"/>
          <w:lang w:val="ru-RU"/>
        </w:rPr>
        <w:t xml:space="preserve">бюджетные средства, предоставляемые бюджету другого уровня на безвозмездной и безвозвратной основах с указанием конкретной цели и на определенный срок. В случае неизрасходования ее в установленный срок или расходования не по назначению соответствующие средства субвенции подлежат возврату в бюджет, из которого они были получены. </w:t>
      </w:r>
    </w:p>
    <w:p w:rsid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Если же субвенция выделяется с указанием и других условий, то она называется</w:t>
      </w:r>
      <w:r w:rsidRPr="0088059F">
        <w:rPr>
          <w:rFonts w:ascii="Times New Roman Tj" w:eastAsia="Times New Roman" w:hAnsi="Times New Roman Tj" w:cs="Arial"/>
          <w:b/>
          <w:bCs/>
          <w:color w:val="000000"/>
          <w:sz w:val="36"/>
          <w:szCs w:val="36"/>
        </w:rPr>
        <w:t> </w:t>
      </w:r>
      <w:r w:rsidRPr="0088059F">
        <w:rPr>
          <w:rFonts w:ascii="Times New Roman Tj" w:eastAsia="Times New Roman" w:hAnsi="Times New Roman Tj" w:cs="Arial"/>
          <w:b/>
          <w:bCs/>
          <w:color w:val="000000"/>
          <w:sz w:val="36"/>
          <w:szCs w:val="36"/>
          <w:lang w:val="ru-RU"/>
        </w:rPr>
        <w:t>обусловленной субвенцией.</w:t>
      </w:r>
      <w:r w:rsidRPr="0088059F">
        <w:rPr>
          <w:rFonts w:ascii="Times New Roman Tj" w:eastAsia="Times New Roman" w:hAnsi="Times New Roman Tj" w:cs="Arial"/>
          <w:color w:val="000000"/>
          <w:sz w:val="36"/>
          <w:szCs w:val="36"/>
        </w:rPr>
        <w:t> </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lastRenderedPageBreak/>
        <w:t>Различают текущие и инвестиционные субвенции в зависимости от их целевого характера и условий предоставления.</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К текущим относят субвенции, направленные на финансирование текущих расходов (расходы на социально-культурные мероприятия, содержание бюджетных организаций и социальную защиту населения, подлежащие первоочередному бюджетному финансированию). К инвестиционным относятся субвенции, связанные с расширенным воспроизводством, финансированием инвестиционной и инновационной деятельности (капитальные вложения на развитие социальной инфраструктуры, охрану окружающей среды, комплексное развитие территории и т.п.).</w:t>
      </w:r>
    </w:p>
    <w:p w:rsidR="0088059F" w:rsidRPr="0088059F" w:rsidRDefault="00BC790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hyperlink r:id="rId7" w:tooltip="Бюджетный кредит" w:history="1">
        <w:r w:rsidR="0088059F" w:rsidRPr="0088059F">
          <w:rPr>
            <w:rFonts w:ascii="Times New Roman Tj" w:eastAsia="Times New Roman" w:hAnsi="Times New Roman Tj" w:cs="Arial"/>
            <w:b/>
            <w:bCs/>
            <w:color w:val="5A3696"/>
            <w:sz w:val="36"/>
            <w:szCs w:val="36"/>
            <w:lang w:val="ru-RU"/>
          </w:rPr>
          <w:t>Бюджетный кредит</w:t>
        </w:r>
      </w:hyperlink>
      <w:r w:rsidR="0088059F" w:rsidRPr="0088059F">
        <w:rPr>
          <w:rFonts w:ascii="Times New Roman Tj" w:eastAsia="Times New Roman" w:hAnsi="Times New Roman Tj" w:cs="Arial"/>
          <w:color w:val="000000"/>
          <w:sz w:val="36"/>
          <w:szCs w:val="36"/>
        </w:rPr>
        <w:t> </w:t>
      </w:r>
      <w:r w:rsidR="0088059F" w:rsidRPr="0088059F">
        <w:rPr>
          <w:rFonts w:ascii="Times New Roman Tj" w:eastAsia="Times New Roman" w:hAnsi="Times New Roman Tj" w:cs="Arial"/>
          <w:color w:val="000000"/>
          <w:sz w:val="36"/>
          <w:szCs w:val="36"/>
          <w:lang w:val="ru-RU"/>
        </w:rPr>
        <w:t>— это сумма денежных средств, выделяемых бюджету другого уровня на возвратной и возмездной основах. Бюджетный кредит как форма выравнивания используется значительно реже, чем другие формы.</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Важную роль в вертикальном выравнивании играют также собственные и регулирующие налоги и доходы.</w:t>
      </w:r>
    </w:p>
    <w:p w:rsidR="0088059F" w:rsidRPr="0088059F" w:rsidRDefault="0088059F" w:rsidP="0088059F">
      <w:pPr>
        <w:ind w:firstLine="720"/>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b/>
          <w:bCs/>
          <w:color w:val="000000"/>
          <w:sz w:val="36"/>
          <w:szCs w:val="36"/>
          <w:lang w:val="ru-RU"/>
        </w:rPr>
        <w:t>Собственные</w:t>
      </w:r>
      <w:r w:rsidRPr="0088059F">
        <w:rPr>
          <w:rFonts w:ascii="Times New Roman Tj" w:eastAsia="Times New Roman" w:hAnsi="Times New Roman Tj" w:cs="Arial"/>
          <w:color w:val="000000"/>
          <w:sz w:val="36"/>
          <w:szCs w:val="36"/>
        </w:rPr>
        <w:t> </w:t>
      </w:r>
      <w:r w:rsidRPr="0088059F">
        <w:rPr>
          <w:rFonts w:ascii="Times New Roman Tj" w:eastAsia="Times New Roman" w:hAnsi="Times New Roman Tj" w:cs="Arial"/>
          <w:color w:val="000000"/>
          <w:sz w:val="36"/>
          <w:szCs w:val="36"/>
          <w:lang w:val="ru-RU"/>
        </w:rPr>
        <w:t>доходы — это налоги или доходы, закрепленные за соответствующим бюджетом полностью или частично (в определенной доле или по разделенной налоговой ставке) на постоянной (долговременной без указания срока) основе в соответствии с действующим законодательством.</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b/>
          <w:bCs/>
          <w:color w:val="000000"/>
          <w:sz w:val="36"/>
          <w:szCs w:val="36"/>
          <w:lang w:val="ru-RU"/>
        </w:rPr>
        <w:t>Регулирующие</w:t>
      </w:r>
      <w:r w:rsidRPr="0088059F">
        <w:rPr>
          <w:rFonts w:ascii="Times New Roman Tj" w:eastAsia="Times New Roman" w:hAnsi="Times New Roman Tj" w:cs="Arial"/>
          <w:color w:val="000000"/>
          <w:sz w:val="36"/>
          <w:szCs w:val="36"/>
        </w:rPr>
        <w:t> </w:t>
      </w:r>
      <w:r w:rsidRPr="0088059F">
        <w:rPr>
          <w:rFonts w:ascii="Times New Roman Tj" w:eastAsia="Times New Roman" w:hAnsi="Times New Roman Tj" w:cs="Arial"/>
          <w:color w:val="000000"/>
          <w:sz w:val="36"/>
          <w:szCs w:val="36"/>
          <w:lang w:val="ru-RU"/>
        </w:rPr>
        <w:t xml:space="preserve">доходы — это доходы или налоги, по которым законодательными (представительными) органами власти вышестоящего территориального уровня, при утверждении бюджета на очередной финансовый год, устанавливаются на временной (не менее чем на год) и на долговременной с указанием срока (не менее трех лет) основе </w:t>
      </w:r>
      <w:r w:rsidRPr="0088059F">
        <w:rPr>
          <w:rFonts w:ascii="Times New Roman Tj" w:eastAsia="Times New Roman" w:hAnsi="Times New Roman Tj" w:cs="Arial"/>
          <w:color w:val="000000"/>
          <w:sz w:val="36"/>
          <w:szCs w:val="36"/>
          <w:lang w:val="ru-RU"/>
        </w:rPr>
        <w:lastRenderedPageBreak/>
        <w:t>нормативы отчислений (в процентах) в бюджеты нижестоящего уровня.</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Выравнивание может осуществляться также за счет предоставления отдельным регионам особого экономического режима. В мировой практике существуют три основных подхода центра к требованиям регионов о предоставлении особого экономического режима.</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Первый — индивидуально-договорный подход, когда центр договаривается с каждым регионом в отдельности о распределении налоговых поступлений или других условиях. Этот подход распространен в некоторых странах, например в Китае.</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Второй подход — это создание специальных бюджетных режимов, в рамках которых отдельным регионам предоставляются особые права в вопросах налогов и расходов. Официально такие режимы для отдельных территорий существуют лишь в нескольких странах — на Филиппинах, в Австралии, Малайзии.</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И третий подход — применение нормативно-расчетной формулы субсидий с целью частичного выравнивания бюджетных условий регионов. Его использует большинство стран для решения проблем вертикального и горизонтального выравнивания между регионами.</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При этом используются два основных способа межбюджетного выравнивания:</w:t>
      </w:r>
    </w:p>
    <w:p w:rsidR="0088059F" w:rsidRPr="0088059F" w:rsidRDefault="0088059F" w:rsidP="0088059F">
      <w:pPr>
        <w:numPr>
          <w:ilvl w:val="0"/>
          <w:numId w:val="1"/>
        </w:numPr>
        <w:shd w:val="clear" w:color="auto" w:fill="FFFFFF"/>
        <w:spacing w:after="0" w:line="240" w:lineRule="auto"/>
        <w:ind w:left="0" w:firstLine="900"/>
        <w:jc w:val="both"/>
        <w:rPr>
          <w:rFonts w:ascii="Times New Roman Tj" w:eastAsia="Times New Roman" w:hAnsi="Times New Roman Tj" w:cs="Arial"/>
          <w:color w:val="000000"/>
          <w:sz w:val="36"/>
          <w:szCs w:val="36"/>
        </w:rPr>
      </w:pPr>
      <w:proofErr w:type="spellStart"/>
      <w:r w:rsidRPr="0088059F">
        <w:rPr>
          <w:rFonts w:ascii="Times New Roman Tj" w:eastAsia="Times New Roman" w:hAnsi="Times New Roman Tj" w:cs="Arial"/>
          <w:color w:val="000000"/>
          <w:sz w:val="36"/>
          <w:szCs w:val="36"/>
        </w:rPr>
        <w:t>Выравнивание</w:t>
      </w:r>
      <w:proofErr w:type="spellEnd"/>
      <w:r w:rsidRPr="0088059F">
        <w:rPr>
          <w:rFonts w:ascii="Times New Roman Tj" w:eastAsia="Times New Roman" w:hAnsi="Times New Roman Tj" w:cs="Arial"/>
          <w:color w:val="000000"/>
          <w:sz w:val="36"/>
          <w:szCs w:val="36"/>
        </w:rPr>
        <w:t xml:space="preserve"> </w:t>
      </w:r>
      <w:proofErr w:type="spellStart"/>
      <w:r w:rsidRPr="0088059F">
        <w:rPr>
          <w:rFonts w:ascii="Times New Roman Tj" w:eastAsia="Times New Roman" w:hAnsi="Times New Roman Tj" w:cs="Arial"/>
          <w:color w:val="000000"/>
          <w:sz w:val="36"/>
          <w:szCs w:val="36"/>
        </w:rPr>
        <w:t>региональных</w:t>
      </w:r>
      <w:proofErr w:type="spellEnd"/>
      <w:r w:rsidRPr="0088059F">
        <w:rPr>
          <w:rFonts w:ascii="Times New Roman Tj" w:eastAsia="Times New Roman" w:hAnsi="Times New Roman Tj" w:cs="Arial"/>
          <w:color w:val="000000"/>
          <w:sz w:val="36"/>
          <w:szCs w:val="36"/>
        </w:rPr>
        <w:t xml:space="preserve"> </w:t>
      </w:r>
      <w:proofErr w:type="spellStart"/>
      <w:r w:rsidRPr="0088059F">
        <w:rPr>
          <w:rFonts w:ascii="Times New Roman Tj" w:eastAsia="Times New Roman" w:hAnsi="Times New Roman Tj" w:cs="Arial"/>
          <w:color w:val="000000"/>
          <w:sz w:val="36"/>
          <w:szCs w:val="36"/>
        </w:rPr>
        <w:t>бюджетных</w:t>
      </w:r>
      <w:proofErr w:type="spellEnd"/>
      <w:r w:rsidRPr="0088059F">
        <w:rPr>
          <w:rFonts w:ascii="Times New Roman Tj" w:eastAsia="Times New Roman" w:hAnsi="Times New Roman Tj" w:cs="Arial"/>
          <w:color w:val="000000"/>
          <w:sz w:val="36"/>
          <w:szCs w:val="36"/>
        </w:rPr>
        <w:t xml:space="preserve"> </w:t>
      </w:r>
      <w:proofErr w:type="spellStart"/>
      <w:r w:rsidRPr="0088059F">
        <w:rPr>
          <w:rFonts w:ascii="Times New Roman Tj" w:eastAsia="Times New Roman" w:hAnsi="Times New Roman Tj" w:cs="Arial"/>
          <w:color w:val="000000"/>
          <w:sz w:val="36"/>
          <w:szCs w:val="36"/>
        </w:rPr>
        <w:t>доходов</w:t>
      </w:r>
      <w:proofErr w:type="spellEnd"/>
      <w:r w:rsidRPr="0088059F">
        <w:rPr>
          <w:rFonts w:ascii="Times New Roman Tj" w:eastAsia="Times New Roman" w:hAnsi="Times New Roman Tj" w:cs="Arial"/>
          <w:color w:val="000000"/>
          <w:sz w:val="36"/>
          <w:szCs w:val="36"/>
        </w:rPr>
        <w:t>.</w:t>
      </w:r>
    </w:p>
    <w:p w:rsidR="0088059F" w:rsidRPr="0088059F" w:rsidRDefault="0088059F" w:rsidP="0088059F">
      <w:pPr>
        <w:numPr>
          <w:ilvl w:val="0"/>
          <w:numId w:val="1"/>
        </w:numPr>
        <w:shd w:val="clear" w:color="auto" w:fill="FFFFFF"/>
        <w:spacing w:after="0" w:line="240" w:lineRule="auto"/>
        <w:ind w:left="0"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Выделение финансовой помощи для покрытия разницы между прогнозным объемом доходов и нормативным объемом расходов.</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Часто первый способ называют доходным, а второй — расходно-доходным выравниванием.</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b/>
          <w:bCs/>
          <w:color w:val="000000"/>
          <w:sz w:val="36"/>
          <w:szCs w:val="36"/>
          <w:lang w:val="ru-RU"/>
        </w:rPr>
        <w:lastRenderedPageBreak/>
        <w:t>Доходное выравнивание</w:t>
      </w:r>
      <w:r w:rsidRPr="0088059F">
        <w:rPr>
          <w:rFonts w:ascii="Times New Roman Tj" w:eastAsia="Times New Roman" w:hAnsi="Times New Roman Tj" w:cs="Arial"/>
          <w:color w:val="000000"/>
          <w:sz w:val="36"/>
          <w:szCs w:val="36"/>
        </w:rPr>
        <w:t> </w:t>
      </w:r>
      <w:r w:rsidRPr="0088059F">
        <w:rPr>
          <w:rFonts w:ascii="Times New Roman Tj" w:eastAsia="Times New Roman" w:hAnsi="Times New Roman Tj" w:cs="Arial"/>
          <w:color w:val="000000"/>
          <w:sz w:val="36"/>
          <w:szCs w:val="36"/>
          <w:lang w:val="ru-RU"/>
        </w:rPr>
        <w:t>традиционно считается самым простым и наиболее прозрачным методом распределения средств федеральной финансовой помощи регионам. Он подразумевает предоставление ресурсов только в зависимости от дифференциации по регионам среднедушевых налоговых доходов (или всех среднедушевых доходов). Такое доходное выравнивание может базироваться на учете отклонения скорректированных отчетных или прогнозных доходов субъекта Федерации от некоторого уровня, например, среднего по стране.</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Альтернативным методом выравнивания может служить перераспределение ресурсов, основывающееся на оценке имеющейся налоговой базы (налогового потенциала), например, при оценке валового регионального продукта, или показателе доходов в регионе, опирающемся на данные сводного финансового баланса. В таком случае федеральная помощь выделяется для выравнивания регионального фискального потенциала. Может иметь место выравнивание доходов регионов в смысле обеспечения каждому из них некоторого минимального уровня доходов. При доходном выравнивании обычно рассчитываются специальные коэффициенты — индекс бюджетных расходов, смысл которого заключается в учете межрегиональной дифференциации стоимости оказания государственных услуг.</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 xml:space="preserve">Принципиальным преимуществом применения на практике методики доходного выравнивания при распределении федеральной финансовой помощи является фактический отказ центральных органов власти от обязательств по финансированию региональных бюджетных расходов. При выравнивании доходных показателей федеральный центр несет ответственность только по обеспечению определенного уровня бюджетных доходов, </w:t>
      </w:r>
      <w:r w:rsidRPr="0088059F">
        <w:rPr>
          <w:rFonts w:ascii="Times New Roman Tj" w:eastAsia="Times New Roman" w:hAnsi="Times New Roman Tj" w:cs="Arial"/>
          <w:color w:val="000000"/>
          <w:sz w:val="36"/>
          <w:szCs w:val="36"/>
          <w:lang w:val="ru-RU"/>
        </w:rPr>
        <w:lastRenderedPageBreak/>
        <w:t>предоставляя право региональным властям самостоятельно определять направления расходования средств и, следовательно, принимать на себя обязательства по их финансированию.</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Второй возможный вариант распределения средств федерального центра регионам основывается на так называемом</w:t>
      </w:r>
      <w:r w:rsidRPr="0088059F">
        <w:rPr>
          <w:rFonts w:ascii="Times New Roman Tj" w:eastAsia="Times New Roman" w:hAnsi="Times New Roman Tj" w:cs="Arial"/>
          <w:b/>
          <w:bCs/>
          <w:color w:val="000000"/>
          <w:sz w:val="36"/>
          <w:szCs w:val="36"/>
        </w:rPr>
        <w:t> </w:t>
      </w:r>
      <w:r w:rsidRPr="0088059F">
        <w:rPr>
          <w:rFonts w:ascii="Times New Roman Tj" w:eastAsia="Times New Roman" w:hAnsi="Times New Roman Tj" w:cs="Arial"/>
          <w:b/>
          <w:bCs/>
          <w:color w:val="000000"/>
          <w:sz w:val="36"/>
          <w:szCs w:val="36"/>
          <w:lang w:val="ru-RU"/>
        </w:rPr>
        <w:t>расходно-доходном выравнивании.</w:t>
      </w:r>
      <w:r w:rsidRPr="0088059F">
        <w:rPr>
          <w:rFonts w:ascii="Times New Roman Tj" w:eastAsia="Times New Roman" w:hAnsi="Times New Roman Tj" w:cs="Arial"/>
          <w:color w:val="000000"/>
          <w:sz w:val="36"/>
          <w:szCs w:val="36"/>
        </w:rPr>
        <w:t> </w:t>
      </w:r>
      <w:r w:rsidRPr="0088059F">
        <w:rPr>
          <w:rFonts w:ascii="Times New Roman Tj" w:eastAsia="Times New Roman" w:hAnsi="Times New Roman Tj" w:cs="Arial"/>
          <w:color w:val="000000"/>
          <w:sz w:val="36"/>
          <w:szCs w:val="36"/>
          <w:lang w:val="ru-RU"/>
        </w:rPr>
        <w:t>В этом случае учитывается потребность региона в осуществлении бюджетных расходов, а главной проблемой становится определение обоснованных расходных потребностей региональных и местных органов власти.</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Среди наиболее простых методов можно выделить выравнивание, учитывающее только численность населения отдельных регионов и его половозрастную структуру, а также выравнивание на основе различий между регионами по стоимости стандартной потребительской корзины или величины прожиточного минимума.</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Существует также методика расходно-доходного выравнивания, основанная на обеспечении минимального уровня регионального дефицита. Она исходит из необходимости довести расчетный уровень дефицита (разрыва между расчетными доходами и расходными потребностями в прогнозном периоде) бюджетов регионов до одного и того же, минимально возможного уровня. Уровень выравнивания в этом случае может быть определен как отношение разрыва между доходами и расходами к расходам бюджета региона.</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 xml:space="preserve">В качестве одного из вариантов расходно-доходного выравнивания можно рассматривать методику, основанную на сопоставлении нормативных расходов региона, рассчитанных на основе государственных стандартов с единым, нормативным уровнем их финансирования, выраженным, </w:t>
      </w:r>
      <w:r w:rsidRPr="0088059F">
        <w:rPr>
          <w:rFonts w:ascii="Times New Roman Tj" w:eastAsia="Times New Roman" w:hAnsi="Times New Roman Tj" w:cs="Arial"/>
          <w:color w:val="000000"/>
          <w:sz w:val="36"/>
          <w:szCs w:val="36"/>
          <w:lang w:val="ru-RU"/>
        </w:rPr>
        <w:lastRenderedPageBreak/>
        <w:t>например, через долю налоговых поступлений в валовом региональном продукте.</w:t>
      </w:r>
    </w:p>
    <w:p w:rsidR="0088059F" w:rsidRPr="0088059F" w:rsidRDefault="0088059F" w:rsidP="0088059F">
      <w:pPr>
        <w:shd w:val="clear" w:color="auto" w:fill="FFFFFF"/>
        <w:spacing w:after="0" w:line="240" w:lineRule="auto"/>
        <w:ind w:firstLine="900"/>
        <w:jc w:val="both"/>
        <w:rPr>
          <w:rFonts w:ascii="Times New Roman Tj" w:eastAsia="Times New Roman" w:hAnsi="Times New Roman Tj" w:cs="Arial"/>
          <w:color w:val="000000"/>
          <w:sz w:val="36"/>
          <w:szCs w:val="36"/>
          <w:lang w:val="ru-RU"/>
        </w:rPr>
      </w:pPr>
      <w:r w:rsidRPr="0088059F">
        <w:rPr>
          <w:rFonts w:ascii="Times New Roman Tj" w:eastAsia="Times New Roman" w:hAnsi="Times New Roman Tj" w:cs="Arial"/>
          <w:color w:val="000000"/>
          <w:sz w:val="36"/>
          <w:szCs w:val="36"/>
          <w:lang w:val="ru-RU"/>
        </w:rPr>
        <w:t>По этой методике оценивается реальная бюджетная обеспеченность регионов на основе индексов бюджетных расходов и налоговых ресурсов. Трансферты из федерального центра распределяются таким образом, чтобы повысилась бюджетная обеспеченность регионов с удельным и (в расчете на душу населения) налоговыми ресурсами ниже среднего по стране уровня, гарантировав наименее развитым территориям минимальный уровень бюджетной обеспеченности. В этой методике учитываются такие показатели, как валовый региональный продукт (объем созданных на определенной территории товаров и услуг), валовые налоговые ресурсы (оценка потенциальных налоговых доходов консолидированного бюджета региона), индекс бюджетных расходов и др.</w:t>
      </w:r>
    </w:p>
    <w:p w:rsidR="00B03339" w:rsidRPr="00B03339" w:rsidRDefault="00B03339" w:rsidP="00BC790F">
      <w:pPr>
        <w:pBdr>
          <w:bottom w:val="dotted" w:sz="24" w:space="4" w:color="EEEEEE"/>
        </w:pBdr>
        <w:shd w:val="clear" w:color="auto" w:fill="FFFFFF"/>
        <w:spacing w:after="0" w:line="300" w:lineRule="atLeast"/>
        <w:outlineLvl w:val="1"/>
        <w:rPr>
          <w:rFonts w:ascii="Times New Roman" w:eastAsia="Times New Roman" w:hAnsi="Times New Roman" w:cs="Times New Roman"/>
          <w:b/>
          <w:bCs/>
          <w:smallCaps/>
          <w:color w:val="000000"/>
          <w:sz w:val="30"/>
          <w:szCs w:val="30"/>
          <w:lang w:val="ru-RU"/>
        </w:rPr>
      </w:pPr>
    </w:p>
    <w:p w:rsidR="00B03339" w:rsidRDefault="00B03339">
      <w:pPr>
        <w:rPr>
          <w:rFonts w:ascii="Times New Roman Tj" w:eastAsia="Times New Roman" w:hAnsi="Times New Roman Tj" w:cs="Times New Roman"/>
          <w:b/>
          <w:bCs/>
          <w:smallCaps/>
          <w:color w:val="000000"/>
          <w:sz w:val="36"/>
          <w:szCs w:val="36"/>
          <w:lang w:val="ru-RU"/>
        </w:rPr>
      </w:pPr>
      <w:r>
        <w:rPr>
          <w:rFonts w:ascii="Times New Roman Tj" w:eastAsia="Times New Roman" w:hAnsi="Times New Roman Tj" w:cs="Times New Roman"/>
          <w:b/>
          <w:bCs/>
          <w:smallCaps/>
          <w:color w:val="000000"/>
          <w:sz w:val="36"/>
          <w:szCs w:val="36"/>
          <w:lang w:val="ru-RU"/>
        </w:rPr>
        <w:br w:type="page"/>
      </w:r>
    </w:p>
    <w:p w:rsidR="00BC790F" w:rsidRPr="00B03339" w:rsidRDefault="00BC790F" w:rsidP="00B03339">
      <w:pPr>
        <w:pBdr>
          <w:bottom w:val="dotted" w:sz="24" w:space="4" w:color="EEEEEE"/>
        </w:pBdr>
        <w:shd w:val="clear" w:color="auto" w:fill="FFFFFF"/>
        <w:spacing w:after="0" w:line="300" w:lineRule="atLeast"/>
        <w:ind w:firstLine="720"/>
        <w:jc w:val="both"/>
        <w:outlineLvl w:val="1"/>
        <w:rPr>
          <w:rFonts w:ascii="Times New Roman Tj" w:eastAsia="Times New Roman" w:hAnsi="Times New Roman Tj" w:cs="Times New Roman"/>
          <w:b/>
          <w:bCs/>
          <w:smallCaps/>
          <w:color w:val="000000"/>
          <w:sz w:val="36"/>
          <w:szCs w:val="36"/>
          <w:lang w:val="ru-RU"/>
        </w:rPr>
      </w:pPr>
      <w:r w:rsidRPr="00B03339">
        <w:rPr>
          <w:rFonts w:ascii="Times New Roman Tj" w:eastAsia="Times New Roman" w:hAnsi="Times New Roman Tj" w:cs="Times New Roman"/>
          <w:b/>
          <w:bCs/>
          <w:smallCaps/>
          <w:color w:val="000000"/>
          <w:sz w:val="36"/>
          <w:szCs w:val="36"/>
          <w:lang w:val="ru-RU"/>
        </w:rPr>
        <w:lastRenderedPageBreak/>
        <w:t>Сбалансированность бюджетной системы РФ</w:t>
      </w:r>
    </w:p>
    <w:p w:rsidR="00BC790F" w:rsidRPr="00B03339" w:rsidRDefault="00BC790F" w:rsidP="00B03339">
      <w:pPr>
        <w:shd w:val="clear" w:color="auto" w:fill="FFFFFF"/>
        <w:spacing w:after="0" w:line="270" w:lineRule="atLeast"/>
        <w:ind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b/>
          <w:bCs/>
          <w:color w:val="000000"/>
          <w:sz w:val="36"/>
          <w:szCs w:val="36"/>
          <w:lang w:val="ru-RU"/>
        </w:rPr>
        <w:t>Вертикальная сбалансированность</w:t>
      </w:r>
      <w:r w:rsidRPr="00B03339">
        <w:rPr>
          <w:rFonts w:ascii="Times New Roman Tj" w:eastAsia="Times New Roman" w:hAnsi="Times New Roman Tj" w:cs="Arial"/>
          <w:color w:val="000000"/>
          <w:sz w:val="36"/>
          <w:szCs w:val="36"/>
        </w:rPr>
        <w:t> </w:t>
      </w:r>
      <w:r w:rsidRPr="00B03339">
        <w:rPr>
          <w:rFonts w:ascii="Times New Roman Tj" w:eastAsia="Times New Roman" w:hAnsi="Times New Roman Tj" w:cs="Arial"/>
          <w:color w:val="000000"/>
          <w:sz w:val="36"/>
          <w:szCs w:val="36"/>
          <w:lang w:val="ru-RU"/>
        </w:rPr>
        <w:t>— процесс устранения несоответствия между объемом обязательств каждого уровня власти по расходам с доходным потенциалом бюджетов всех уровней.</w:t>
      </w:r>
    </w:p>
    <w:p w:rsidR="00BC790F" w:rsidRPr="00B03339" w:rsidRDefault="00BC790F" w:rsidP="00B03339">
      <w:pPr>
        <w:shd w:val="clear" w:color="auto" w:fill="FFFFFF"/>
        <w:spacing w:before="180" w:after="0" w:line="270" w:lineRule="atLeast"/>
        <w:ind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color w:val="000000"/>
          <w:sz w:val="36"/>
          <w:szCs w:val="36"/>
          <w:lang w:val="ru-RU"/>
        </w:rPr>
        <w:t>Основным способом вертикального выравнивания бюджетной системы является законодательное закрепление за каждым бюджетным уровнем финансирования конкретных сфер деятельности, соответствующих разграничени</w:t>
      </w:r>
      <w:bookmarkStart w:id="0" w:name="_GoBack"/>
      <w:bookmarkEnd w:id="0"/>
      <w:r w:rsidRPr="00B03339">
        <w:rPr>
          <w:rFonts w:ascii="Times New Roman Tj" w:eastAsia="Times New Roman" w:hAnsi="Times New Roman Tj" w:cs="Arial"/>
          <w:color w:val="000000"/>
          <w:sz w:val="36"/>
          <w:szCs w:val="36"/>
          <w:lang w:val="ru-RU"/>
        </w:rPr>
        <w:t>ю предметов ведения и полномочий, а также бюджетной ответственности между уровнями власти, что может рассматриваться как исходный пункт создания системы межбюджетных отношений, соответствующих бюджетному федерализму.</w:t>
      </w:r>
    </w:p>
    <w:p w:rsidR="00BC790F" w:rsidRPr="00B03339" w:rsidRDefault="00BC790F" w:rsidP="00B03339">
      <w:pPr>
        <w:shd w:val="clear" w:color="auto" w:fill="FFFFFF"/>
        <w:spacing w:after="0" w:line="270" w:lineRule="atLeast"/>
        <w:ind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color w:val="000000"/>
          <w:sz w:val="36"/>
          <w:szCs w:val="36"/>
          <w:lang w:val="ru-RU"/>
        </w:rPr>
        <w:t>Критерием вертикальной сбалансированности является вертикальный разрыв — разница между доходными источниками и расходными обязательствами без учета финансовой помощи (межбюджетных трансфертов), называемый, как и</w:t>
      </w:r>
      <w:r w:rsidRPr="00B03339">
        <w:rPr>
          <w:rFonts w:ascii="Times New Roman Tj" w:eastAsia="Times New Roman" w:hAnsi="Times New Roman Tj" w:cs="Arial"/>
          <w:color w:val="000000"/>
          <w:sz w:val="36"/>
          <w:szCs w:val="36"/>
        </w:rPr>
        <w:t> </w:t>
      </w:r>
      <w:r w:rsidRPr="00B03339">
        <w:rPr>
          <w:rFonts w:ascii="Times New Roman Tj" w:eastAsia="Times New Roman" w:hAnsi="Times New Roman Tj" w:cs="Arial"/>
          <w:b/>
          <w:bCs/>
          <w:color w:val="000000"/>
          <w:sz w:val="36"/>
          <w:szCs w:val="36"/>
          <w:lang w:val="ru-RU"/>
        </w:rPr>
        <w:t>индекс Хантера</w:t>
      </w:r>
      <w:r w:rsidRPr="00B03339">
        <w:rPr>
          <w:rFonts w:ascii="Times New Roman Tj" w:eastAsia="Times New Roman" w:hAnsi="Times New Roman Tj" w:cs="Arial"/>
          <w:color w:val="000000"/>
          <w:sz w:val="36"/>
          <w:szCs w:val="36"/>
          <w:lang w:val="ru-RU"/>
        </w:rPr>
        <w:t>.</w:t>
      </w:r>
    </w:p>
    <w:p w:rsidR="00BC790F" w:rsidRPr="00B03339" w:rsidRDefault="00BC790F" w:rsidP="00B03339">
      <w:pPr>
        <w:shd w:val="clear" w:color="auto" w:fill="FFFFFF"/>
        <w:spacing w:after="0" w:line="270" w:lineRule="atLeast"/>
        <w:ind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color w:val="000000"/>
          <w:sz w:val="36"/>
          <w:szCs w:val="36"/>
          <w:lang w:val="ru-RU"/>
        </w:rPr>
        <w:t>К</w:t>
      </w:r>
      <w:r w:rsidRPr="00B03339">
        <w:rPr>
          <w:rFonts w:ascii="Times New Roman Tj" w:eastAsia="Times New Roman" w:hAnsi="Times New Roman Tj" w:cs="Arial"/>
          <w:color w:val="000000"/>
          <w:sz w:val="36"/>
          <w:szCs w:val="36"/>
        </w:rPr>
        <w:t> </w:t>
      </w:r>
      <w:r w:rsidRPr="00B03339">
        <w:rPr>
          <w:rFonts w:ascii="Times New Roman Tj" w:eastAsia="Times New Roman" w:hAnsi="Times New Roman Tj" w:cs="Arial"/>
          <w:b/>
          <w:bCs/>
          <w:color w:val="000000"/>
          <w:sz w:val="36"/>
          <w:szCs w:val="36"/>
          <w:lang w:val="ru-RU"/>
        </w:rPr>
        <w:t>инструментам вертикального бюджетного выравнивания</w:t>
      </w:r>
      <w:r w:rsidRPr="00B03339">
        <w:rPr>
          <w:rFonts w:ascii="Times New Roman Tj" w:eastAsia="Times New Roman" w:hAnsi="Times New Roman Tj" w:cs="Arial"/>
          <w:color w:val="000000"/>
          <w:sz w:val="36"/>
          <w:szCs w:val="36"/>
        </w:rPr>
        <w:t> </w:t>
      </w:r>
      <w:r w:rsidRPr="00B03339">
        <w:rPr>
          <w:rFonts w:ascii="Times New Roman Tj" w:eastAsia="Times New Roman" w:hAnsi="Times New Roman Tj" w:cs="Arial"/>
          <w:color w:val="000000"/>
          <w:sz w:val="36"/>
          <w:szCs w:val="36"/>
          <w:lang w:val="ru-RU"/>
        </w:rPr>
        <w:t>относятся закрепление налогов за определенным уровнем бюджетной системы; распределение регулирующих доходов по уровням бюджетной системы по единым нормативам; субвенции из вышестоящего бюджета на исполнение отдельных расходных обязательств.</w:t>
      </w:r>
    </w:p>
    <w:p w:rsidR="00BC790F" w:rsidRPr="00B03339" w:rsidRDefault="00BC790F" w:rsidP="00B03339">
      <w:pPr>
        <w:shd w:val="clear" w:color="auto" w:fill="FFFFFF"/>
        <w:spacing w:after="0" w:line="270" w:lineRule="atLeast"/>
        <w:ind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b/>
          <w:bCs/>
          <w:color w:val="000000"/>
          <w:sz w:val="36"/>
          <w:szCs w:val="36"/>
          <w:lang w:val="ru-RU"/>
        </w:rPr>
        <w:t>Горизонтальная сбалансированность бюджетов</w:t>
      </w:r>
      <w:r w:rsidRPr="00B03339">
        <w:rPr>
          <w:rFonts w:ascii="Times New Roman Tj" w:eastAsia="Times New Roman" w:hAnsi="Times New Roman Tj" w:cs="Arial"/>
          <w:color w:val="000000"/>
          <w:sz w:val="36"/>
          <w:szCs w:val="36"/>
        </w:rPr>
        <w:t> </w:t>
      </w:r>
      <w:r w:rsidRPr="00B03339">
        <w:rPr>
          <w:rFonts w:ascii="Times New Roman Tj" w:eastAsia="Times New Roman" w:hAnsi="Times New Roman Tj" w:cs="Arial"/>
          <w:color w:val="000000"/>
          <w:sz w:val="36"/>
          <w:szCs w:val="36"/>
          <w:lang w:val="ru-RU"/>
        </w:rPr>
        <w:t>(выравнивание) — корректирование (устранение) диспропорций в стоимости и потреблении государственных услуг в различных регионах путем перераспределения доходов между органами власти одного бюджетного уровня (выравнивание налогового потенциала).</w:t>
      </w:r>
    </w:p>
    <w:p w:rsidR="00BC790F" w:rsidRPr="00B03339" w:rsidRDefault="00BC790F" w:rsidP="00B03339">
      <w:pPr>
        <w:shd w:val="clear" w:color="auto" w:fill="FFFFFF"/>
        <w:spacing w:after="0" w:line="270" w:lineRule="atLeast"/>
        <w:ind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b/>
          <w:bCs/>
          <w:color w:val="000000"/>
          <w:sz w:val="36"/>
          <w:szCs w:val="36"/>
          <w:lang w:val="ru-RU"/>
        </w:rPr>
        <w:lastRenderedPageBreak/>
        <w:t>Целью</w:t>
      </w:r>
      <w:r w:rsidRPr="00B03339">
        <w:rPr>
          <w:rFonts w:ascii="Times New Roman Tj" w:eastAsia="Times New Roman" w:hAnsi="Times New Roman Tj" w:cs="Arial"/>
          <w:color w:val="000000"/>
          <w:sz w:val="36"/>
          <w:szCs w:val="36"/>
        </w:rPr>
        <w:t> </w:t>
      </w:r>
      <w:r w:rsidRPr="00B03339">
        <w:rPr>
          <w:rFonts w:ascii="Times New Roman Tj" w:eastAsia="Times New Roman" w:hAnsi="Times New Roman Tj" w:cs="Arial"/>
          <w:color w:val="000000"/>
          <w:sz w:val="36"/>
          <w:szCs w:val="36"/>
          <w:lang w:val="ru-RU"/>
        </w:rPr>
        <w:t>горизонтального бюджетного выравнивания является обеспечение единого стандартного уровня потребления государственных услуг жителями различных регионов страны посредством применения</w:t>
      </w:r>
      <w:r w:rsidRPr="00B03339">
        <w:rPr>
          <w:rFonts w:ascii="Times New Roman Tj" w:eastAsia="Times New Roman" w:hAnsi="Times New Roman Tj" w:cs="Arial"/>
          <w:color w:val="000000"/>
          <w:sz w:val="36"/>
          <w:szCs w:val="36"/>
        </w:rPr>
        <w:t> </w:t>
      </w:r>
      <w:r w:rsidRPr="00B03339">
        <w:rPr>
          <w:rFonts w:ascii="Times New Roman Tj" w:eastAsia="Times New Roman" w:hAnsi="Times New Roman Tj" w:cs="Arial"/>
          <w:b/>
          <w:bCs/>
          <w:color w:val="000000"/>
          <w:sz w:val="36"/>
          <w:szCs w:val="36"/>
          <w:lang w:val="ru-RU"/>
        </w:rPr>
        <w:t>единых формализованных методов распределения федеральной финансовой помощи нижестоящим бюджетам</w:t>
      </w:r>
      <w:r w:rsidRPr="00B03339">
        <w:rPr>
          <w:rFonts w:ascii="Times New Roman Tj" w:eastAsia="Times New Roman" w:hAnsi="Times New Roman Tj" w:cs="Arial"/>
          <w:color w:val="000000"/>
          <w:sz w:val="36"/>
          <w:szCs w:val="36"/>
          <w:lang w:val="ru-RU"/>
        </w:rPr>
        <w:t>.</w:t>
      </w:r>
    </w:p>
    <w:p w:rsidR="00BC790F" w:rsidRPr="00B03339" w:rsidRDefault="00BC790F" w:rsidP="00B03339">
      <w:pPr>
        <w:spacing w:after="0" w:line="240" w:lineRule="auto"/>
        <w:ind w:firstLine="900"/>
        <w:jc w:val="both"/>
        <w:rPr>
          <w:rFonts w:ascii="Times New Roman Tj" w:eastAsia="Times New Roman" w:hAnsi="Times New Roman Tj" w:cs="Times New Roman"/>
          <w:sz w:val="36"/>
          <w:szCs w:val="36"/>
        </w:rPr>
      </w:pPr>
      <w:proofErr w:type="spellStart"/>
      <w:r w:rsidRPr="00B03339">
        <w:rPr>
          <w:rFonts w:ascii="Times New Roman Tj" w:eastAsia="Times New Roman" w:hAnsi="Times New Roman Tj" w:cs="Arial"/>
          <w:b/>
          <w:bCs/>
          <w:color w:val="004080"/>
          <w:sz w:val="36"/>
          <w:szCs w:val="36"/>
          <w:shd w:val="clear" w:color="auto" w:fill="FFFFFF"/>
        </w:rPr>
        <w:t>Критерии</w:t>
      </w:r>
      <w:proofErr w:type="spellEnd"/>
      <w:r w:rsidRPr="00B03339">
        <w:rPr>
          <w:rFonts w:ascii="Times New Roman Tj" w:eastAsia="Times New Roman" w:hAnsi="Times New Roman Tj" w:cs="Arial"/>
          <w:b/>
          <w:bCs/>
          <w:color w:val="004080"/>
          <w:sz w:val="36"/>
          <w:szCs w:val="36"/>
          <w:shd w:val="clear" w:color="auto" w:fill="FFFFFF"/>
        </w:rPr>
        <w:t xml:space="preserve"> (</w:t>
      </w:r>
      <w:proofErr w:type="spellStart"/>
      <w:r w:rsidRPr="00B03339">
        <w:rPr>
          <w:rFonts w:ascii="Times New Roman Tj" w:eastAsia="Times New Roman" w:hAnsi="Times New Roman Tj" w:cs="Arial"/>
          <w:b/>
          <w:bCs/>
          <w:color w:val="004080"/>
          <w:sz w:val="36"/>
          <w:szCs w:val="36"/>
          <w:shd w:val="clear" w:color="auto" w:fill="FFFFFF"/>
        </w:rPr>
        <w:t>показатели</w:t>
      </w:r>
      <w:proofErr w:type="spellEnd"/>
      <w:r w:rsidRPr="00B03339">
        <w:rPr>
          <w:rFonts w:ascii="Times New Roman Tj" w:eastAsia="Times New Roman" w:hAnsi="Times New Roman Tj" w:cs="Arial"/>
          <w:b/>
          <w:bCs/>
          <w:color w:val="004080"/>
          <w:sz w:val="36"/>
          <w:szCs w:val="36"/>
          <w:shd w:val="clear" w:color="auto" w:fill="FFFFFF"/>
        </w:rPr>
        <w:t xml:space="preserve">) </w:t>
      </w:r>
      <w:proofErr w:type="spellStart"/>
      <w:r w:rsidRPr="00B03339">
        <w:rPr>
          <w:rFonts w:ascii="Times New Roman Tj" w:eastAsia="Times New Roman" w:hAnsi="Times New Roman Tj" w:cs="Arial"/>
          <w:b/>
          <w:bCs/>
          <w:color w:val="004080"/>
          <w:sz w:val="36"/>
          <w:szCs w:val="36"/>
          <w:shd w:val="clear" w:color="auto" w:fill="FFFFFF"/>
        </w:rPr>
        <w:t>горизонтальной</w:t>
      </w:r>
      <w:proofErr w:type="spellEnd"/>
      <w:r w:rsidRPr="00B03339">
        <w:rPr>
          <w:rFonts w:ascii="Times New Roman Tj" w:eastAsia="Times New Roman" w:hAnsi="Times New Roman Tj" w:cs="Arial"/>
          <w:b/>
          <w:bCs/>
          <w:color w:val="004080"/>
          <w:sz w:val="36"/>
          <w:szCs w:val="36"/>
          <w:shd w:val="clear" w:color="auto" w:fill="FFFFFF"/>
        </w:rPr>
        <w:t xml:space="preserve"> </w:t>
      </w:r>
      <w:proofErr w:type="spellStart"/>
      <w:r w:rsidRPr="00B03339">
        <w:rPr>
          <w:rFonts w:ascii="Times New Roman Tj" w:eastAsia="Times New Roman" w:hAnsi="Times New Roman Tj" w:cs="Arial"/>
          <w:b/>
          <w:bCs/>
          <w:color w:val="004080"/>
          <w:sz w:val="36"/>
          <w:szCs w:val="36"/>
          <w:shd w:val="clear" w:color="auto" w:fill="FFFFFF"/>
        </w:rPr>
        <w:t>сбалансированности</w:t>
      </w:r>
      <w:proofErr w:type="spellEnd"/>
      <w:r w:rsidRPr="00B03339">
        <w:rPr>
          <w:rFonts w:ascii="Times New Roman Tj" w:eastAsia="Times New Roman" w:hAnsi="Times New Roman Tj" w:cs="Arial"/>
          <w:b/>
          <w:bCs/>
          <w:color w:val="004080"/>
          <w:sz w:val="36"/>
          <w:szCs w:val="36"/>
          <w:shd w:val="clear" w:color="auto" w:fill="FFFFFF"/>
        </w:rPr>
        <w:t>:</w:t>
      </w:r>
    </w:p>
    <w:p w:rsidR="00BC790F" w:rsidRPr="00B03339" w:rsidRDefault="00BC790F" w:rsidP="00B03339">
      <w:pPr>
        <w:numPr>
          <w:ilvl w:val="0"/>
          <w:numId w:val="2"/>
        </w:numPr>
        <w:shd w:val="clear" w:color="auto" w:fill="FFFFFF"/>
        <w:spacing w:after="30" w:line="270" w:lineRule="atLeast"/>
        <w:ind w:left="300"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color w:val="000000"/>
          <w:sz w:val="36"/>
          <w:szCs w:val="36"/>
          <w:lang w:val="ru-RU"/>
        </w:rPr>
        <w:t>горизонтальный разрыв первого порядка — оценивает несбалансированность бюджетной системы после распределения финансовой помощи вышестоящими бюджетами;</w:t>
      </w:r>
    </w:p>
    <w:p w:rsidR="00BC790F" w:rsidRPr="00B03339" w:rsidRDefault="00BC790F" w:rsidP="00B03339">
      <w:pPr>
        <w:numPr>
          <w:ilvl w:val="0"/>
          <w:numId w:val="2"/>
        </w:numPr>
        <w:shd w:val="clear" w:color="auto" w:fill="FFFFFF"/>
        <w:spacing w:after="30" w:line="270" w:lineRule="atLeast"/>
        <w:ind w:left="300"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color w:val="000000"/>
          <w:sz w:val="36"/>
          <w:szCs w:val="36"/>
          <w:lang w:val="ru-RU"/>
        </w:rPr>
        <w:t>горизонтальный разрыв второго порядка — оценивает итоговую несбалансированность бюджетной системы, то есть степень достаточности всех доходных источников и совокупных расходных</w:t>
      </w:r>
    </w:p>
    <w:p w:rsidR="00BC790F" w:rsidRPr="00B03339" w:rsidRDefault="00BC790F" w:rsidP="00B03339">
      <w:pPr>
        <w:shd w:val="clear" w:color="auto" w:fill="FFFFFF"/>
        <w:spacing w:after="0" w:line="270" w:lineRule="atLeast"/>
        <w:ind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color w:val="000000"/>
          <w:sz w:val="36"/>
          <w:szCs w:val="36"/>
          <w:lang w:val="ru-RU"/>
        </w:rPr>
        <w:t>Основным показателем, используемым при горизонтальном бюджетном выравнивании территорий, является</w:t>
      </w:r>
      <w:r w:rsidRPr="00B03339">
        <w:rPr>
          <w:rFonts w:ascii="Times New Roman Tj" w:eastAsia="Times New Roman" w:hAnsi="Times New Roman Tj" w:cs="Arial"/>
          <w:color w:val="000000"/>
          <w:sz w:val="36"/>
          <w:szCs w:val="36"/>
        </w:rPr>
        <w:t> </w:t>
      </w:r>
      <w:r w:rsidRPr="00B03339">
        <w:rPr>
          <w:rFonts w:ascii="Times New Roman Tj" w:eastAsia="Times New Roman" w:hAnsi="Times New Roman Tj" w:cs="Arial"/>
          <w:b/>
          <w:bCs/>
          <w:color w:val="000000"/>
          <w:sz w:val="36"/>
          <w:szCs w:val="36"/>
          <w:lang w:val="ru-RU"/>
        </w:rPr>
        <w:t>уровень расчетной бюджетной обеспеченности</w:t>
      </w:r>
      <w:r w:rsidRPr="00B03339">
        <w:rPr>
          <w:rFonts w:ascii="Times New Roman Tj" w:eastAsia="Times New Roman" w:hAnsi="Times New Roman Tj" w:cs="Arial"/>
          <w:color w:val="000000"/>
          <w:sz w:val="36"/>
          <w:szCs w:val="36"/>
        </w:rPr>
        <w:t> </w:t>
      </w:r>
      <w:r w:rsidRPr="00B03339">
        <w:rPr>
          <w:rFonts w:ascii="Times New Roman Tj" w:eastAsia="Times New Roman" w:hAnsi="Times New Roman Tj" w:cs="Arial"/>
          <w:color w:val="000000"/>
          <w:sz w:val="36"/>
          <w:szCs w:val="36"/>
          <w:lang w:val="ru-RU"/>
        </w:rPr>
        <w:t>субъектов Российской Федерации (МО).</w:t>
      </w:r>
    </w:p>
    <w:p w:rsidR="00BC790F" w:rsidRPr="00B03339" w:rsidRDefault="00BC790F" w:rsidP="00B03339">
      <w:pPr>
        <w:shd w:val="clear" w:color="auto" w:fill="FFFFFF"/>
        <w:spacing w:before="180" w:after="0" w:line="270" w:lineRule="atLeast"/>
        <w:ind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color w:val="000000"/>
          <w:sz w:val="36"/>
          <w:szCs w:val="36"/>
          <w:lang w:val="ru-RU"/>
        </w:rPr>
        <w:t>Уровень расчетной бюджетной обеспеченности субъектов Российской Федерации (МО) до распределения дотаций определяется по формуле:</w:t>
      </w:r>
    </w:p>
    <w:p w:rsidR="00BC790F" w:rsidRPr="00B03339" w:rsidRDefault="00BC790F" w:rsidP="00B03339">
      <w:pPr>
        <w:shd w:val="clear" w:color="auto" w:fill="FFFFFF"/>
        <w:spacing w:before="180" w:after="0" w:line="270" w:lineRule="atLeast"/>
        <w:ind w:firstLine="900"/>
        <w:jc w:val="both"/>
        <w:rPr>
          <w:rFonts w:ascii="Times New Roman Tj" w:eastAsia="Times New Roman" w:hAnsi="Times New Roman Tj" w:cs="Arial"/>
          <w:color w:val="000000"/>
          <w:sz w:val="36"/>
          <w:szCs w:val="36"/>
        </w:rPr>
      </w:pPr>
      <w:r w:rsidRPr="00B03339">
        <w:rPr>
          <w:rFonts w:ascii="Times New Roman Tj" w:eastAsia="Times New Roman" w:hAnsi="Times New Roman Tj" w:cs="Arial"/>
          <w:noProof/>
          <w:color w:val="000000"/>
          <w:sz w:val="36"/>
          <w:szCs w:val="36"/>
        </w:rPr>
        <w:drawing>
          <wp:inline distT="0" distB="0" distL="0" distR="0" wp14:anchorId="18840773" wp14:editId="1C1E81AC">
            <wp:extent cx="1057275" cy="466725"/>
            <wp:effectExtent l="0" t="0" r="9525" b="9525"/>
            <wp:docPr id="1" name="Picture 1" descr="http://www.grandars.ru/images/1/review/id/1562/955d041e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ndars.ru/images/1/review/id/1562/955d041e5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466725"/>
                    </a:xfrm>
                    <a:prstGeom prst="rect">
                      <a:avLst/>
                    </a:prstGeom>
                    <a:noFill/>
                    <a:ln>
                      <a:noFill/>
                    </a:ln>
                  </pic:spPr>
                </pic:pic>
              </a:graphicData>
            </a:graphic>
          </wp:inline>
        </w:drawing>
      </w:r>
    </w:p>
    <w:p w:rsidR="00BC790F" w:rsidRPr="00B03339" w:rsidRDefault="00BC790F" w:rsidP="00B03339">
      <w:pPr>
        <w:numPr>
          <w:ilvl w:val="0"/>
          <w:numId w:val="3"/>
        </w:numPr>
        <w:shd w:val="clear" w:color="auto" w:fill="FFFFFF"/>
        <w:spacing w:after="0" w:line="270" w:lineRule="atLeast"/>
        <w:ind w:left="300"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b/>
          <w:bCs/>
          <w:color w:val="000000"/>
          <w:sz w:val="36"/>
          <w:szCs w:val="36"/>
          <w:lang w:val="ru-RU"/>
        </w:rPr>
        <w:t>БО</w:t>
      </w:r>
      <w:r w:rsidRPr="00B03339">
        <w:rPr>
          <w:rFonts w:ascii="Times New Roman Tj" w:eastAsia="Times New Roman" w:hAnsi="Times New Roman Tj" w:cs="Arial"/>
          <w:b/>
          <w:bCs/>
          <w:color w:val="000000"/>
          <w:sz w:val="36"/>
          <w:szCs w:val="36"/>
          <w:vertAlign w:val="subscript"/>
        </w:rPr>
        <w:t>i</w:t>
      </w:r>
      <w:r w:rsidRPr="00B03339">
        <w:rPr>
          <w:rFonts w:ascii="Times New Roman Tj" w:eastAsia="Times New Roman" w:hAnsi="Times New Roman Tj" w:cs="Arial"/>
          <w:color w:val="000000"/>
          <w:sz w:val="36"/>
          <w:szCs w:val="36"/>
        </w:rPr>
        <w:t> </w:t>
      </w:r>
      <w:r w:rsidRPr="00B03339">
        <w:rPr>
          <w:rFonts w:ascii="Times New Roman Tj" w:eastAsia="Times New Roman" w:hAnsi="Times New Roman Tj" w:cs="Arial"/>
          <w:color w:val="000000"/>
          <w:sz w:val="36"/>
          <w:szCs w:val="36"/>
          <w:lang w:val="ru-RU"/>
        </w:rPr>
        <w:t>— уровень расчетной бюджетной обеспеченности субъекта Российской Федерации до распределения дотаций;</w:t>
      </w:r>
    </w:p>
    <w:p w:rsidR="00BC790F" w:rsidRPr="00B03339" w:rsidRDefault="00BC790F" w:rsidP="00B03339">
      <w:pPr>
        <w:numPr>
          <w:ilvl w:val="0"/>
          <w:numId w:val="3"/>
        </w:numPr>
        <w:shd w:val="clear" w:color="auto" w:fill="FFFFFF"/>
        <w:spacing w:after="0" w:line="270" w:lineRule="atLeast"/>
        <w:ind w:left="300"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b/>
          <w:bCs/>
          <w:color w:val="000000"/>
          <w:sz w:val="36"/>
          <w:szCs w:val="36"/>
          <w:lang w:val="ru-RU"/>
        </w:rPr>
        <w:t>ИНП</w:t>
      </w:r>
      <w:r w:rsidRPr="00B03339">
        <w:rPr>
          <w:rFonts w:ascii="Times New Roman Tj" w:eastAsia="Times New Roman" w:hAnsi="Times New Roman Tj" w:cs="Arial"/>
          <w:b/>
          <w:bCs/>
          <w:color w:val="000000"/>
          <w:sz w:val="36"/>
          <w:szCs w:val="36"/>
          <w:vertAlign w:val="subscript"/>
        </w:rPr>
        <w:t>i</w:t>
      </w:r>
      <w:r w:rsidRPr="00B03339">
        <w:rPr>
          <w:rFonts w:ascii="Times New Roman Tj" w:eastAsia="Times New Roman" w:hAnsi="Times New Roman Tj" w:cs="Arial"/>
          <w:color w:val="000000"/>
          <w:sz w:val="36"/>
          <w:szCs w:val="36"/>
        </w:rPr>
        <w:t> </w:t>
      </w:r>
      <w:r w:rsidRPr="00B03339">
        <w:rPr>
          <w:rFonts w:ascii="Times New Roman Tj" w:eastAsia="Times New Roman" w:hAnsi="Times New Roman Tj" w:cs="Arial"/>
          <w:color w:val="000000"/>
          <w:sz w:val="36"/>
          <w:szCs w:val="36"/>
          <w:lang w:val="ru-RU"/>
        </w:rPr>
        <w:t>— индекс налогового потенциала субъекта Российской Федерации;</w:t>
      </w:r>
    </w:p>
    <w:p w:rsidR="00BC790F" w:rsidRPr="00B03339" w:rsidRDefault="00BC790F" w:rsidP="00B03339">
      <w:pPr>
        <w:numPr>
          <w:ilvl w:val="0"/>
          <w:numId w:val="3"/>
        </w:numPr>
        <w:shd w:val="clear" w:color="auto" w:fill="FFFFFF"/>
        <w:spacing w:after="0" w:line="270" w:lineRule="atLeast"/>
        <w:ind w:left="300"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b/>
          <w:bCs/>
          <w:color w:val="000000"/>
          <w:sz w:val="36"/>
          <w:szCs w:val="36"/>
          <w:lang w:val="ru-RU"/>
        </w:rPr>
        <w:t>ИБР</w:t>
      </w:r>
      <w:r w:rsidRPr="00B03339">
        <w:rPr>
          <w:rFonts w:ascii="Times New Roman Tj" w:eastAsia="Times New Roman" w:hAnsi="Times New Roman Tj" w:cs="Arial"/>
          <w:b/>
          <w:bCs/>
          <w:color w:val="000000"/>
          <w:sz w:val="36"/>
          <w:szCs w:val="36"/>
          <w:vertAlign w:val="subscript"/>
        </w:rPr>
        <w:t>i</w:t>
      </w:r>
      <w:r w:rsidRPr="00B03339">
        <w:rPr>
          <w:rFonts w:ascii="Times New Roman Tj" w:eastAsia="Times New Roman" w:hAnsi="Times New Roman Tj" w:cs="Arial"/>
          <w:color w:val="000000"/>
          <w:sz w:val="36"/>
          <w:szCs w:val="36"/>
        </w:rPr>
        <w:t> </w:t>
      </w:r>
      <w:r w:rsidRPr="00B03339">
        <w:rPr>
          <w:rFonts w:ascii="Times New Roman Tj" w:eastAsia="Times New Roman" w:hAnsi="Times New Roman Tj" w:cs="Arial"/>
          <w:color w:val="000000"/>
          <w:sz w:val="36"/>
          <w:szCs w:val="36"/>
          <w:lang w:val="ru-RU"/>
        </w:rPr>
        <w:t>— индекс бюджетных расходов субъекта Российской Федерации.</w:t>
      </w:r>
    </w:p>
    <w:p w:rsidR="00BC790F" w:rsidRPr="00B03339" w:rsidRDefault="00BC790F" w:rsidP="00B03339">
      <w:pPr>
        <w:shd w:val="clear" w:color="auto" w:fill="FFFFFF"/>
        <w:spacing w:after="0" w:line="270" w:lineRule="atLeast"/>
        <w:ind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b/>
          <w:bCs/>
          <w:color w:val="000000"/>
          <w:sz w:val="36"/>
          <w:szCs w:val="36"/>
          <w:lang w:val="ru-RU"/>
        </w:rPr>
        <w:lastRenderedPageBreak/>
        <w:t>Индекс налогового потенциала</w:t>
      </w:r>
      <w:r w:rsidRPr="00B03339">
        <w:rPr>
          <w:rFonts w:ascii="Times New Roman Tj" w:eastAsia="Times New Roman" w:hAnsi="Times New Roman Tj" w:cs="Arial"/>
          <w:color w:val="000000"/>
          <w:sz w:val="36"/>
          <w:szCs w:val="36"/>
        </w:rPr>
        <w:t> </w:t>
      </w:r>
      <w:r w:rsidRPr="00B03339">
        <w:rPr>
          <w:rFonts w:ascii="Times New Roman Tj" w:eastAsia="Times New Roman" w:hAnsi="Times New Roman Tj" w:cs="Arial"/>
          <w:color w:val="000000"/>
          <w:sz w:val="36"/>
          <w:szCs w:val="36"/>
          <w:lang w:val="ru-RU"/>
        </w:rPr>
        <w:t>— относительная (по сравнению со средним по Российской Федерации уровнем) оценка налоговых доходов консолидированного бюджета субъекта Российской Федерации (МО), определяемая с учетом уровня развития и структуры налоговой базы субъекта Российской Федерации (МО).</w:t>
      </w:r>
    </w:p>
    <w:p w:rsidR="00BC790F" w:rsidRPr="00B03339" w:rsidRDefault="00BC790F" w:rsidP="00B03339">
      <w:pPr>
        <w:shd w:val="clear" w:color="auto" w:fill="FFFFFF"/>
        <w:spacing w:before="180" w:after="0" w:line="270" w:lineRule="atLeast"/>
        <w:ind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color w:val="000000"/>
          <w:sz w:val="36"/>
          <w:szCs w:val="36"/>
          <w:lang w:val="ru-RU"/>
        </w:rPr>
        <w:t>Индекс налогового потенциала применяется для сопоставления уровней расчетной бюджетной обеспеченности субъектов Российской Федерации (МО) и не является прогнозируемой оценкой налоговых доходов субъектов Российской Федерации (МО) в расчете на душу населения или в абсолютном размере.</w:t>
      </w:r>
    </w:p>
    <w:p w:rsidR="00BC790F" w:rsidRPr="00B03339" w:rsidRDefault="00BC790F" w:rsidP="00B03339">
      <w:pPr>
        <w:shd w:val="clear" w:color="auto" w:fill="FFFFFF"/>
        <w:spacing w:after="0" w:line="270" w:lineRule="atLeast"/>
        <w:ind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b/>
          <w:bCs/>
          <w:color w:val="000000"/>
          <w:sz w:val="36"/>
          <w:szCs w:val="36"/>
          <w:lang w:val="ru-RU"/>
        </w:rPr>
        <w:t>Индекс бюджетных расходов</w:t>
      </w:r>
      <w:r w:rsidRPr="00B03339">
        <w:rPr>
          <w:rFonts w:ascii="Times New Roman Tj" w:eastAsia="Times New Roman" w:hAnsi="Times New Roman Tj" w:cs="Arial"/>
          <w:color w:val="000000"/>
          <w:sz w:val="36"/>
          <w:szCs w:val="36"/>
        </w:rPr>
        <w:t> </w:t>
      </w:r>
      <w:r w:rsidRPr="00B03339">
        <w:rPr>
          <w:rFonts w:ascii="Times New Roman Tj" w:eastAsia="Times New Roman" w:hAnsi="Times New Roman Tj" w:cs="Arial"/>
          <w:color w:val="000000"/>
          <w:sz w:val="36"/>
          <w:szCs w:val="36"/>
          <w:lang w:val="ru-RU"/>
        </w:rPr>
        <w:t>— относительная (по сравнению со средним по Российской Федерации уровнем) оценка расходов консолидированного бюджета субъекта Российской Федерации (МО) по предоставлению одинакового объема бюджетных услуг в расчете на душу населения, определяемая с учетом объективных региональных факторов и условий.</w:t>
      </w:r>
    </w:p>
    <w:p w:rsidR="00BC790F" w:rsidRPr="00B03339" w:rsidRDefault="00BC790F" w:rsidP="00B03339">
      <w:pPr>
        <w:shd w:val="clear" w:color="auto" w:fill="FFFFFF"/>
        <w:spacing w:before="180" w:after="0" w:line="270" w:lineRule="atLeast"/>
        <w:ind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color w:val="000000"/>
          <w:sz w:val="36"/>
          <w:szCs w:val="36"/>
          <w:lang w:val="ru-RU"/>
        </w:rPr>
        <w:t>Индекс бюджетных расходов применяется для сопоставления уровней расчетной бюджетной обеспеченности субъектов Российской Федерации (МО) и не является прогнозируемой оценкой расходов субъектов Российской Федерации (МО) в расчете на душу населения или в абсолютном размере.</w:t>
      </w:r>
    </w:p>
    <w:p w:rsidR="00BC790F" w:rsidRPr="00B03339" w:rsidRDefault="00BC790F" w:rsidP="00B03339">
      <w:pPr>
        <w:shd w:val="clear" w:color="auto" w:fill="FFFFFF"/>
        <w:spacing w:before="180" w:after="0" w:line="270" w:lineRule="atLeast"/>
        <w:ind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color w:val="000000"/>
          <w:sz w:val="36"/>
          <w:szCs w:val="36"/>
          <w:lang w:val="ru-RU"/>
        </w:rPr>
        <w:t xml:space="preserve">Указанные показатели используются в практике межбюджетных отношений для определения объема дотаций из Фонда финансовой поддержки регионов (муниципальных образований). Общий объем дотаций определяется исходя из </w:t>
      </w:r>
      <w:r w:rsidRPr="00B03339">
        <w:rPr>
          <w:rFonts w:ascii="Times New Roman Tj" w:eastAsia="Times New Roman" w:hAnsi="Times New Roman Tj" w:cs="Arial"/>
          <w:color w:val="000000"/>
          <w:sz w:val="36"/>
          <w:szCs w:val="36"/>
          <w:lang w:val="ru-RU"/>
        </w:rPr>
        <w:lastRenderedPageBreak/>
        <w:t>необходимости достижения минимального уровня расчетной бюджетной обеспеченности субъекта Российской Федерации.</w:t>
      </w:r>
    </w:p>
    <w:p w:rsidR="00BC790F" w:rsidRPr="00B03339" w:rsidRDefault="00BC790F" w:rsidP="00B03339">
      <w:pPr>
        <w:shd w:val="clear" w:color="auto" w:fill="FFFFFF"/>
        <w:spacing w:after="0" w:line="270" w:lineRule="atLeast"/>
        <w:ind w:firstLine="900"/>
        <w:jc w:val="both"/>
        <w:rPr>
          <w:rFonts w:ascii="Times New Roman Tj" w:eastAsia="Times New Roman" w:hAnsi="Times New Roman Tj" w:cs="Arial"/>
          <w:color w:val="000000"/>
          <w:sz w:val="36"/>
          <w:szCs w:val="36"/>
          <w:lang w:val="ru-RU"/>
        </w:rPr>
      </w:pPr>
      <w:r w:rsidRPr="00B03339">
        <w:rPr>
          <w:rFonts w:ascii="Times New Roman Tj" w:eastAsia="Times New Roman" w:hAnsi="Times New Roman Tj" w:cs="Arial"/>
          <w:b/>
          <w:bCs/>
          <w:color w:val="000000"/>
          <w:sz w:val="36"/>
          <w:szCs w:val="36"/>
          <w:lang w:val="ru-RU"/>
        </w:rPr>
        <w:t>Минимальный уровень расчетной бюджетной обеспеченности</w:t>
      </w:r>
      <w:r w:rsidRPr="00B03339">
        <w:rPr>
          <w:rFonts w:ascii="Times New Roman Tj" w:eastAsia="Times New Roman" w:hAnsi="Times New Roman Tj" w:cs="Arial"/>
          <w:color w:val="000000"/>
          <w:sz w:val="36"/>
          <w:szCs w:val="36"/>
        </w:rPr>
        <w:t> </w:t>
      </w:r>
      <w:r w:rsidRPr="00B03339">
        <w:rPr>
          <w:rFonts w:ascii="Times New Roman Tj" w:eastAsia="Times New Roman" w:hAnsi="Times New Roman Tj" w:cs="Arial"/>
          <w:color w:val="000000"/>
          <w:sz w:val="36"/>
          <w:szCs w:val="36"/>
          <w:lang w:val="ru-RU"/>
        </w:rPr>
        <w:t>субъекта Российской Федерации (МО) с учетом дотаций определяется как среднее арифметическое суммы показателей уровня расчетной бюджетной обеспеченности до распределения дотаций по субъектам Российской Федерации, не входящим в число 10 субъектов Российской Федерации, имеющих самый высокий уровень бюджетной обеспеченности, и 10 субъектов Российской Федерации, имеющих самый низкий уровень бюджетной обеспеченности.</w:t>
      </w:r>
    </w:p>
    <w:p w:rsidR="00D073DC" w:rsidRPr="00B03339" w:rsidRDefault="00D073DC" w:rsidP="00B03339">
      <w:pPr>
        <w:spacing w:after="0" w:line="240" w:lineRule="auto"/>
        <w:ind w:firstLine="900"/>
        <w:jc w:val="both"/>
        <w:rPr>
          <w:rFonts w:ascii="Times New Roman Tj" w:hAnsi="Times New Roman Tj"/>
          <w:sz w:val="36"/>
          <w:szCs w:val="36"/>
          <w:lang w:val="ru-RU"/>
        </w:rPr>
      </w:pPr>
    </w:p>
    <w:sectPr w:rsidR="00D073DC" w:rsidRPr="00B03339" w:rsidSect="0088059F">
      <w:pgSz w:w="12240" w:h="15840"/>
      <w:pgMar w:top="1440" w:right="81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Tj">
    <w:panose1 w:val="02020603050405020304"/>
    <w:charset w:val="CC"/>
    <w:family w:val="roman"/>
    <w:pitch w:val="variable"/>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B6EF5"/>
    <w:multiLevelType w:val="multilevel"/>
    <w:tmpl w:val="F104B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C4DA4"/>
    <w:multiLevelType w:val="multilevel"/>
    <w:tmpl w:val="89A05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CF7C0D"/>
    <w:multiLevelType w:val="multilevel"/>
    <w:tmpl w:val="9594CE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59F"/>
    <w:rsid w:val="006A6947"/>
    <w:rsid w:val="0088059F"/>
    <w:rsid w:val="00B03339"/>
    <w:rsid w:val="00BC790F"/>
    <w:rsid w:val="00D07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0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010859">
      <w:bodyDiv w:val="1"/>
      <w:marLeft w:val="0"/>
      <w:marRight w:val="0"/>
      <w:marTop w:val="0"/>
      <w:marBottom w:val="0"/>
      <w:divBdr>
        <w:top w:val="none" w:sz="0" w:space="0" w:color="auto"/>
        <w:left w:val="none" w:sz="0" w:space="0" w:color="auto"/>
        <w:bottom w:val="none" w:sz="0" w:space="0" w:color="auto"/>
        <w:right w:val="none" w:sz="0" w:space="0" w:color="auto"/>
      </w:divBdr>
    </w:div>
    <w:div w:id="192322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grandars.ru/student/finansy/subvencii-iz-federalnogo-byudzhe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ndars.ru/student/finansy/subvencii-iz-federalnogo-byudzheta.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cp:lastPrinted>2020-04-24T11:16:00Z</cp:lastPrinted>
  <dcterms:created xsi:type="dcterms:W3CDTF">2020-04-22T05:31:00Z</dcterms:created>
  <dcterms:modified xsi:type="dcterms:W3CDTF">2020-04-24T11:16:00Z</dcterms:modified>
</cp:coreProperties>
</file>