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line="360" w:lineRule="auto"/>
        <w:jc w:val="center"/>
      </w:pPr>
      <w:r>
        <w:rPr>
          <w:b/>
          <w:bCs/>
          <w:sz w:val="32"/>
          <w:szCs w:val="32"/>
        </w:rPr>
        <w:t>Этап 3.3 (уточнение). Реализация дробной задержки в NCO: переход от аппроксимации к полнопрофильному делению</w:t>
      </w:r>
    </w:p>
    <w:p>
      <w:pPr>
        <w:spacing w:line="360" w:lineRule="auto"/>
      </w:pPr>
      <w:r>
        <w:rPr>
          <w:b/>
          <w:bCs/>
        </w:rPr>
        <w:t>Назначение раздела</w:t>
      </w:r>
    </w:p>
    <w:p>
      <w:pPr>
        <w:spacing w:line="360" w:lineRule="auto"/>
        <w:ind w:firstLine="720"/>
        <w:jc w:val="both"/>
      </w:pPr>
      <w:r>
        <w:t>В исходной редакции этапа 3.3 настоящего дневника зафиксирована реализация блока расчёта дробной задержки μ через арифметический сдвиг по фиксированному значению 1/W_nom — упрощённая аппроксимация, точная при W = W_nom = 0,5. В разделе «Аппроксимация деления и анализ погрешности» исходной редакции приведена оценка среднеквадратической ошибки μ относительно точного выражения μ = CNT_old / W, составившая приблизительно 41 LSB при W_MU = 12 для установившегося режима и до 0,1–0,25 от полной шкалы μ для переходных режимов на границах CLAMP. Тогда же был зарезервирован архитектурный путь подключения LUT-делителя 1/W для случаев, когда упрощённая аппроксимация окажется недостаточной.</w:t>
      </w:r>
    </w:p>
    <w:p>
      <w:pPr>
        <w:spacing w:line="360" w:lineRule="auto"/>
        <w:ind w:firstLine="720"/>
        <w:jc w:val="both"/>
      </w:pPr>
      <w:r>
        <w:t>По результатам опытной интеграционной верификации (этап 3.9 настоящего дневника), показавшей повышенную чувствительность общего качества петли к точности блока расчёта μ, принято решение перейти от упрощённой аппроксимации к полнопрофильному делению уже в составе текущей реализации, не дожидаясь натурных испытаний по Главе 4. Настоящий раздел фиксирует выполненное изменение, обоснование выбора, новую структуру блока расчёта μ и переоценку соответствующего шумового бюджета петли.</w:t>
      </w:r>
    </w:p>
    <w:p>
      <w:pPr>
        <w:spacing w:line="360" w:lineRule="auto"/>
      </w:pPr>
      <w:r>
        <w:rPr>
          <w:b/>
          <w:bCs/>
        </w:rPr>
        <w:t>Принятое решение</w:t>
      </w:r>
    </w:p>
    <w:p>
      <w:pPr>
        <w:spacing w:line="360" w:lineRule="auto"/>
        <w:ind w:firstLine="720"/>
        <w:jc w:val="both"/>
      </w:pPr>
      <w:r>
        <w:t>Блок расчёта дробной задержки в модуле sync_mod1_nco.v переведён на полнопрофильное вычисление μ = CNT_old / w_step через системный оператор деления «/» Verilog-2001. Реализация описана поведенчески, рассчитана на синтез через автоматическое инстанцирование Vivado-делителя или явное подключение Divider IP при необходимости явного управления конвейером. Интерфейс модуля и его латентность не изменились; параметризация и форматы данных сохранены. Закомментированный архитектурный задел под LUT-делитель в коде сохранён для возможного перехода в дальнейшем без переписывания тела модуля.</w:t>
      </w:r>
    </w:p>
    <w:p>
      <w:pPr>
        <w:spacing w:line="360" w:lineRule="auto"/>
      </w:pPr>
      <w:r>
        <w:rPr>
          <w:b/>
          <w:bCs/>
        </w:rPr>
        <w:t>Новая структура блока расчёта μ</w:t>
      </w:r>
    </w:p>
    <w:p>
      <w:pPr>
        <w:spacing w:line="360" w:lineRule="auto"/>
        <w:ind w:firstLine="720"/>
        <w:jc w:val="both"/>
      </w:pPr>
      <w:r>
        <w:t>Для согласования разрядностей операндов значение cnt_reg, хранящееся в формате Q0.W_CNT беззнаковое, расширяется младшими нулями до разрядности W_CNT + W_MU = 28 бит: cnt_shifted = {cnt_reg, {W_MU{1′b0}}}. Это эквивалентно операции CNT_old · 2^W_MU и приводит делимое и делитель к согласованным форматам. Делитель w_step имеет разрядность W_W = 16 бит. Деление выполняется как cnt_shifted / w_step и даёт результат разрядности W_CNT + W_MU = 28 бит, из которого младшие W_MU = 12 бит интерпретируются как искомое μ в формате Q0.W_MU.</w:t>
      </w:r>
    </w:p>
    <w:p>
      <w:pPr>
        <w:spacing w:line="360" w:lineRule="auto"/>
        <w:ind w:firstLine="720"/>
        <w:jc w:val="both"/>
      </w:pPr>
      <w:r>
        <w:t>Защита от деления на ноль обеспечена явной проверкой w_step != 0: при нулевом шаге выход устанавливается в ноль, что эквивалентно сохранению нулевой дробной задержки до восстановления валидного шага. Это поведение приемлемо в рамках петли символьной синхронизации, поскольку w_step формируется в верхнем модуле как W_nom + v_pi с насыщением v_pi через CLAMP = ±25 % от W_nom; в установившемся и переходном режиме w_step гарантированно лежит в диапазоне приблизительно [0,375; 0,625] от полной шкалы и не достигает нуля.</w:t>
      </w:r>
    </w:p>
    <w:p>
      <w:pPr>
        <w:spacing w:line="360" w:lineRule="auto"/>
      </w:pPr>
      <w:r>
        <w:rPr>
          <w:b/>
          <w:bCs/>
        </w:rPr>
        <w:t>Обоснование перехода</w:t>
      </w:r>
    </w:p>
    <w:p>
      <w:pPr>
        <w:spacing w:line="360" w:lineRule="auto"/>
        <w:ind w:firstLine="720"/>
        <w:jc w:val="both"/>
      </w:pPr>
      <w:r>
        <w:t>Переход от упрощённой аппроксимации к полнопрофильному делению обоснован тремя соображениями.</w:t>
      </w:r>
    </w:p>
    <w:p>
      <w:pPr>
        <w:spacing w:line="360" w:lineRule="auto"/>
        <w:ind w:firstLine="720"/>
        <w:jc w:val="both"/>
      </w:pPr>
      <w:r>
        <w:t>Первое — практическая чувствительность качества петли к точности μ. Упрощённая аппроксимация μ_approx = CNT_old · 2 систематически смещена относительно μ_true = CNT_old / w_step на величину CNT_old · (1/w_step − 2), которая обращается в ноль строго при w_step = W_nom. При работе петли в установившемся режиме w_step отклоняется от W_nom на v_pi ≈ ±0,01 (для выбранных параметров B_n·T = 0,02 и sps_rx = 2), что вносит в μ систематическую ошибку, согласованную по знаку с самой подстраивающей величиной v_pi. Такая корреляция между ошибкой μ и сигналом обратной связи нарушает предположение независимости шума μ от состояния петли, лежащее в основе линейного анализа Райса, и при практической интеграционной верификации проявилась как ограничение high-SNR-потолка качества блока.</w:t>
      </w:r>
    </w:p>
    <w:p>
      <w:pPr>
        <w:spacing w:line="360" w:lineRule="auto"/>
        <w:ind w:firstLine="720"/>
        <w:jc w:val="both"/>
      </w:pPr>
      <w:r>
        <w:t>Второе — отсутствие реальной стоимости перехода в выбранной платформе. Vivado 2023.2 при синтезе поведенческого описания деления автоматически инстанцирует комбинационно-конвейерный делитель на LUT-логике; при разрядности делимого 28 бит и делителя 16 бит расчётная стоимость составляет порядка 200–250 LUT, что менее 0,5 % ресурсов кристалла xc7z020. DSP48E1 не задействуются. Тактовая частота PL-домена 100 МГц с запасом удерживается без расщепления делителя на ступени.</w:t>
      </w:r>
    </w:p>
    <w:p>
      <w:pPr>
        <w:spacing w:line="360" w:lineRule="auto"/>
        <w:ind w:firstLine="720"/>
        <w:jc w:val="both"/>
      </w:pPr>
      <w:r>
        <w:t>Третье — упрощение валидации. Полнопрофильное деление совпадает по поведению с эталонной MATLAB-моделью gardner_canonical_rice, использующей операцию деления с плавающей точкой. Это устраняет дополнительный источник расхождения между Verilog-реализацией и Python/MATLAB-эталоном на этапе bit-accurate сравнения, не оставляя в коде иных аппроксимаций, кроме обусловленных квантованием Q1.15. Анализ погрешности упрощённой аппроксимации, ранее занимавший существенную часть этапа 3.3, после перехода теряет актуальность.</w:t>
      </w:r>
    </w:p>
    <w:p>
      <w:pPr>
        <w:spacing w:line="360" w:lineRule="auto"/>
      </w:pPr>
      <w:r>
        <w:rPr>
          <w:b/>
          <w:bCs/>
        </w:rPr>
        <w:t>Переоценка шумового бюджета блока μ</w:t>
      </w:r>
    </w:p>
    <w:p>
      <w:pPr>
        <w:spacing w:line="360" w:lineRule="auto"/>
        <w:ind w:firstLine="720"/>
        <w:jc w:val="both"/>
      </w:pPr>
      <w:r>
        <w:t>После перехода на полнопрофильное деление систематическая ошибка μ относительно теоретического значения CNT_old / w_step ограничена квантованием результата деления и составляет не более 1 LSB при W_MU = 12, то есть приблизительно 2,4 · 10⁻⁴ от полной шкалы μ. Эта величина на два порядка меньше СКО ошибки упрощённой аппроксимации в установившемся режиме (≈ 41 LSB) и пренебрежимо мала по сравнению с собственным шумом детектора Гарднера на сигнале с реалистичным отношением сигнал/шум. Соответственно, блок расчёта μ перестаёт быть значимым источником шумового бюджета петли; доминирующими источниками остаются собственный шум TED, квантование Q1.15 во входных интерполянтах Фарроу и аддитивный шум канала.</w:t>
      </w:r>
    </w:p>
    <w:p>
      <w:pPr>
        <w:spacing w:line="360" w:lineRule="auto"/>
      </w:pPr>
      <w:r>
        <w:rPr>
          <w:b/>
          <w:bCs/>
        </w:rPr>
        <w:t>Согласованность с этапом 3.7</w:t>
      </w:r>
    </w:p>
    <w:p>
      <w:pPr>
        <w:spacing w:line="360" w:lineRule="auto"/>
        <w:ind w:firstLine="720"/>
        <w:jc w:val="both"/>
      </w:pPr>
      <w:r>
        <w:t>Изменение блока расчёта μ не затрагивает интерфейс модуля sync_mod1_nco, его латентность (1 такт от поднятия in_valid до возможного поднятия strobe) и формат выхода mu_out (Q0.W_MU, валидно одновременно со strobe). Соответственно, формирование шага w_step = reg_w_nom + v_pi_wire в верхнем модуле sync_top, согласование латентности с интерполятором Фарроу через линию задержки strobe и стробирование выходного потока сохраняются без изменений. Этап 3.7 настоящего дневника в части интерфейсов и латентностей подмодулей не требует пересмотра.</w:t>
      </w:r>
    </w:p>
    <w:p>
      <w:pPr>
        <w:spacing w:line="360" w:lineRule="auto"/>
      </w:pPr>
      <w:r>
        <w:rPr>
          <w:b/>
          <w:bCs/>
        </w:rPr>
        <w:t>Контрольный артефакт</w:t>
      </w:r>
    </w:p>
    <w:p>
      <w:pPr>
        <w:spacing w:line="360" w:lineRule="auto"/>
        <w:ind w:firstLine="720"/>
        <w:jc w:val="both"/>
      </w:pPr>
      <w:r>
        <w:t>Контрольный артефакт раздела — обновлённая редакция модуля sync_mod1_nco.v. Описание мотивации перехода, формальное обоснование снижения шумового бюджета блока μ и подтверждение качественного улучшения качества петли в составе интеграционного тестбенча tb_sync_top.v приведено в этапе 3.9 настоящего дневника.</w:t>
      </w:r>
    </w:p>
    <w:p>
      <w:pPr>
        <w:spacing w:line="360" w:lineRule="auto"/>
      </w:pPr>
      <w:r>
        <w:rPr>
          <w:b/>
          <w:bCs/>
        </w:rPr>
        <w:t>Выводы по уточнению этапа 3.3</w:t>
      </w:r>
    </w:p>
    <w:p>
      <w:pPr>
        <w:spacing w:line="360" w:lineRule="auto"/>
        <w:ind w:firstLine="720"/>
        <w:jc w:val="both"/>
      </w:pPr>
      <w:r>
        <w:t>Реализация блока расчёта дробной задержки в Mod-1 NCO переведена с упрощённой аппроксимации μ ≈ CNT_old · 2, точной только при w_step = W_nom, на полнопрофильное деление μ = CNT_old / w_step, корректное во всём рабочем диапазоне w_step. Переход обусловлен экспериментально установленной чувствительностью качества петли к точности μ; стоимость перехода в выбранной платформе пренебрежимо мала; шумовой бюджет блока μ снижен с приблизительно 41 LSB СКО до менее 1 LSB. Интерфейс, латентность и параметризация модуля сохранены; правки в этапе 3.7 не требуются. Архитектурный путь подключения LUT-делителя 1/W сохранён в коде в виде закомментированного задела для возможного перехода в дальнейшем.</w:t>
      </w:r>
    </w:p>
    <w:sectPr>
      <w:pgSz w:w="11906" w:h="16838"/>
      <w:pgMar w:top="1440" w:right="1440" w:bottom="1440" w:left="17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1A3DFC"/>
    <w:multiLevelType w:val="hybridMultilevel"/>
    <w:tmpl w:val="3E8E20AE"/>
    <w:lvl w:ilvl="0" w:tplc="34446832">
      <w:start w:val="1"/>
      <w:numFmt w:val="bullet"/>
      <w:lvlText w:val="●"/>
      <w:lvlJc w:val="left"/>
      <w:pPr>
        <w:ind w:left="720" w:hanging="360"/>
      </w:pPr>
    </w:lvl>
    <w:lvl w:ilvl="1" w:tplc="A2D2CF6E">
      <w:start w:val="1"/>
      <w:numFmt w:val="bullet"/>
      <w:lvlText w:val="○"/>
      <w:lvlJc w:val="left"/>
      <w:pPr>
        <w:ind w:left="1440" w:hanging="360"/>
      </w:pPr>
    </w:lvl>
    <w:lvl w:ilvl="2" w:tplc="699C1E06">
      <w:start w:val="1"/>
      <w:numFmt w:val="bullet"/>
      <w:lvlText w:val="■"/>
      <w:lvlJc w:val="left"/>
      <w:pPr>
        <w:ind w:left="2160" w:hanging="360"/>
      </w:pPr>
    </w:lvl>
    <w:lvl w:ilvl="3" w:tplc="22348D0E">
      <w:start w:val="1"/>
      <w:numFmt w:val="bullet"/>
      <w:lvlText w:val="●"/>
      <w:lvlJc w:val="left"/>
      <w:pPr>
        <w:ind w:left="2880" w:hanging="360"/>
      </w:pPr>
    </w:lvl>
    <w:lvl w:ilvl="4" w:tplc="DA405C78">
      <w:start w:val="1"/>
      <w:numFmt w:val="bullet"/>
      <w:lvlText w:val="○"/>
      <w:lvlJc w:val="left"/>
      <w:pPr>
        <w:ind w:left="3600" w:hanging="360"/>
      </w:pPr>
    </w:lvl>
    <w:lvl w:ilvl="5" w:tplc="BD667F56">
      <w:start w:val="1"/>
      <w:numFmt w:val="bullet"/>
      <w:lvlText w:val="■"/>
      <w:lvlJc w:val="left"/>
      <w:pPr>
        <w:ind w:left="4320" w:hanging="360"/>
      </w:pPr>
    </w:lvl>
    <w:lvl w:ilvl="6" w:tplc="8DDCDBCE">
      <w:start w:val="1"/>
      <w:numFmt w:val="bullet"/>
      <w:lvlText w:val="●"/>
      <w:lvlJc w:val="left"/>
      <w:pPr>
        <w:ind w:left="5040" w:hanging="360"/>
      </w:pPr>
    </w:lvl>
    <w:lvl w:ilvl="7" w:tplc="000C14B4">
      <w:start w:val="1"/>
      <w:numFmt w:val="bullet"/>
      <w:lvlText w:val="●"/>
      <w:lvlJc w:val="left"/>
      <w:pPr>
        <w:ind w:left="5760" w:hanging="360"/>
      </w:pPr>
    </w:lvl>
    <w:lvl w:ilvl="8" w:tplc="AA920CE8">
      <w:start w:val="1"/>
      <w:numFmt w:val="bullet"/>
      <w:lvlText w:val="●"/>
      <w:lvlJc w:val="left"/>
      <w:pPr>
        <w:ind w:left="6480" w:hanging="360"/>
      </w:pPr>
    </w:lvl>
  </w:abstractNum>
  <w:num w:numId="1" w16cid:durableId="15567005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321E"/>
    <w:rsid w:val="00017272"/>
    <w:rsid w:val="000B4977"/>
    <w:rsid w:val="003D321E"/>
    <w:rsid w:val="00402076"/>
    <w:rsid w:val="0066029F"/>
    <w:rsid w:val="00790670"/>
    <w:rsid w:val="0087569F"/>
    <w:rsid w:val="00915BC3"/>
    <w:rsid w:val="00AA7302"/>
    <w:rsid w:val="00CF1C00"/>
    <w:rsid w:val="00DE5138"/>
    <w:rsid w:val="00F70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672C0"/>
  <w15:docId w15:val="{62132C05-BA28-4498-80D2-7BFC11D3B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76</Pages>
  <Words>18142</Words>
  <Characters>103411</Characters>
  <Application>Microsoft Office Word</Application>
  <DocSecurity>0</DocSecurity>
  <Lines>861</Lines>
  <Paragraphs>242</Paragraphs>
  <ScaleCrop>false</ScaleCrop>
  <Company/>
  <LinksUpToDate>false</LinksUpToDate>
  <CharactersWithSpaces>121311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работы по ВКР. Глава 3</dc:title>
  <dc:creator>Кудимов А.А.</dc:creator>
  <dc:description>Аппаратная реализация блока символьной синхронизации</dc:description>
  <cp:lastModifiedBy>Kudimov Timothy</cp:lastModifiedBy>
  <cp:revision>11</cp:revision>
  <dcterms:created xsi:type="dcterms:W3CDTF">2026-05-09T23:00:00Z</dcterms:created>
  <dcterms:modified xsi:type="dcterms:W3CDTF">2026-05-10T22:53:00Z</dcterms:modified>
</cp:coreProperties>
</file>