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line="360" w:lineRule="auto"/>
        <w:jc w:val="center"/>
      </w:pPr>
      <w:r>
        <w:rPr>
          <w:b/>
          <w:bCs/>
          <w:sz w:val="32"/>
          <w:szCs w:val="32"/>
        </w:rPr>
        <w:t>Этап 3.9. Интеграционная верификация sync_top в составе петли</w:t>
      </w:r>
    </w:p>
    <w:p>
      <w:pPr>
        <w:spacing w:line="360" w:lineRule="auto"/>
      </w:pPr>
      <w:r>
        <w:rPr>
          <w:b/>
          <w:bCs/>
        </w:rPr>
        <w:t>Цель этапа</w:t>
      </w:r>
    </w:p>
    <w:p>
      <w:pPr>
        <w:spacing w:line="360" w:lineRule="auto"/>
        <w:ind w:firstLine="720"/>
        <w:jc w:val="both"/>
      </w:pPr>
      <w:r>
        <w:t>Провести интеграционную верификацию верхнего модуля sync_top в составе всей петли символьной синхронизации с использованием подготовленной на этапе 3.8 инфраструктуры: генератора стимулов gen_sync_top_stimulus.py, тестбенча tb_sync_top.v, скриптов автоматизации сборки и запуска Vivado-проекта. Проверить, что замкнутая петля корректно отслеживает дробное смещение тактирования и формирует на выходе восстановленную последовательность QPSK-символов. Зафиксировать перечень контрольных метрик, разработать методику их измерения, выполнить начальный прогон, проанализировать полученные результаты и выявить отклонения от ожидаемого поведения. По результатам начального прогона сформулировать программу расширенной верификации, оформляемой на последующих этапах настоящего дневника.</w:t>
      </w:r>
    </w:p>
    <w:p>
      <w:pPr>
        <w:spacing w:line="360" w:lineRule="auto"/>
      </w:pPr>
      <w:r>
        <w:rPr>
          <w:b/>
          <w:bCs/>
        </w:rPr>
        <w:t>Программа верификации и контрольные метрики</w:t>
      </w:r>
    </w:p>
    <w:p>
      <w:pPr>
        <w:spacing w:line="360" w:lineRule="auto"/>
        <w:ind w:firstLine="720"/>
        <w:jc w:val="both"/>
      </w:pPr>
      <w:r>
        <w:t>Программа верификации замкнутой петли включает следующие проверки. Первое — наличие на выходе сформированного QPSK-созвездия с символами, сосредоточенными около четырёх точек ±A·(1 ± j)/√2, где A — амплитуда сигнала на выходе RRC-фильтра приёмника. Второе — количество выходных символов, соответствующее ожидаемому (длина стимула, делённая на sps_rx, минус краевые эффекты). Третье — стационарное поведение управляющих сигналов петли: шаг w_step должен колебаться около номинального W_nom; дробная задержка μ должна выйти на установившееся значение, соответствующее заданному в стимуле смещению τ; интегратор PI vi_reg должен оставаться около нуля.</w:t>
      </w:r>
    </w:p>
    <w:p>
      <w:pPr>
        <w:spacing w:line="360" w:lineRule="auto"/>
        <w:ind w:firstLine="720"/>
        <w:jc w:val="both"/>
      </w:pPr>
      <w:r>
        <w:t>Количественные метрики качества выхода: средняя амплитуда символов RMS; распределение фаз символов по четырём квадрантам, центрированным на ±π/4 и ±3π/4; параметр Modulation Error Ratio (MER), вычисляемый как отношение средней мощности символов к средней мощности ошибки относительно ближайшей точки идеального QPSK-созвездия. Для целевого уровня шума в стимуле, соответствующего EbN0 = 20 дБ, теоретическая offline-граница MER (соответствующая идеальной символьной синхронизации без петли) составляет приблизительно 14 дБ, что и принимается в качестве верхней опорной точки для замкнутой петли.</w:t>
      </w:r>
    </w:p>
    <w:p>
      <w:pPr>
        <w:spacing w:line="360" w:lineRule="auto"/>
      </w:pPr>
      <w:r>
        <w:rPr>
          <w:b/>
          <w:bCs/>
        </w:rPr>
        <w:t>Параметры начального прогона</w:t>
      </w:r>
    </w:p>
    <w:p>
      <w:pPr>
        <w:spacing w:line="360" w:lineRule="auto"/>
        <w:ind w:firstLine="720"/>
        <w:jc w:val="both"/>
      </w:pPr>
      <w:r>
        <w:t>Параметры начального прогона V3 заданы в генераторе стимулов gen_sync_top_stimulus.py и соответствуют рабочей точке системы: число символов передачи N_SYM = 2000; передискретизация передатчика SPS_TX = 8; передискретизация на входе петли SPS_RX = 2; коэффициент скругления RRC ROLLOFF = 0,35; полудлина RRC SPAN = 10 символов; дробное смещение тактирования TIMING_OFF = 0,3 символа; отношение энергии бита к спектральной плотности шума EBN0_DB = 20,0 дБ; разрядность квантования W_IN = 16; начальное состояние генератора случайных чисел np.random.seed(42). Коэффициенты PI-фильтра рассчитываются по формулам Райса в самом генераторе и экспортируются в include-файл sync_params.vh, подключаемый в тестбенч: K_1 = 0xFD8A, K_2 = 0xFFEF, W_nom = 0x8000, clamp_lim = 0x4000.</w:t>
      </w:r>
    </w:p>
    <w:p>
      <w:pPr>
        <w:spacing w:line="360" w:lineRule="auto"/>
        <w:ind w:firstLine="720"/>
        <w:jc w:val="both"/>
      </w:pPr>
      <w:r>
        <w:t>После прохождения стимула через сквозную цепочку «генерация QPSK → RRC TX → дробная задержка → AWGN → RRC RX → децимация до sps_rx = 2 → обрезка краевых эффектов RRC» итоговое число отсчётов, подаваемых на вход sync_top, составляет N_STIM = 3960. При sps_rx = 2 ожидаемое число выходных символов составляет N_STIM / 2 = 1980. Тестбенч tb_sync_top.v подаёт на петлю отсчёты с in_valid = 1 на каждом такте и записывает на вывод значения выходных символов m_axis_tdata при m_axis_tvalid = 1; параллельно ведётся регистрация внутренних состояний модуля для последующего анализа в файле sync_internal.txt с девятью столбцами (clk_count, nco_strobe, strobe_d2, cnt_reg, mu_out, debug_w, e_out, v_pi_wire, vi_reg).</w:t>
      </w:r>
    </w:p>
    <w:p>
      <w:pPr>
        <w:spacing w:line="360" w:lineRule="auto"/>
      </w:pPr>
      <w:r>
        <w:rPr>
          <w:b/>
          <w:bCs/>
        </w:rPr>
        <w:t>Результаты начального прогона V3</w:t>
      </w:r>
    </w:p>
    <w:p>
      <w:pPr>
        <w:spacing w:line="360" w:lineRule="auto"/>
        <w:ind w:firstLine="720"/>
        <w:jc w:val="both"/>
      </w:pPr>
      <w:r>
        <w:t>Симуляция отрабатывает штатно. На выходе зарегистрировано 1980 символов, что в точности соответствует расчёту N_STIM/sps_rx = 3960/2. Цепь обратной связи замкнута и реагирует: значения w_step, mu_out, e_out, v_pi_wire и vi_reg в файле sync_internal.txt изменяются от такта к такту, что свидетельствует о работающей петле обратной связи. Сводные стационарные метрики, измеренные на последних 980 тактах симуляции (что соответствует приблизительно 25 % от полной длительности и заведомо выходит за переходный процесс петли при B_n·T = 0,02), приведены в таблице 6.</w:t>
      </w:r>
    </w:p>
    <w:p>
      <w:pPr>
        <w:spacing w:line="360" w:lineRule="auto"/>
        <w:jc w:val="both"/>
      </w:pPr>
      <w:r>
        <w:rPr>
          <w:i/>
          <w:iCs/>
        </w:rPr>
        <w:t>Таблица 6 — Стационарные метрики начального прогона V3 (τ = 0,3, EbN0 = 20 дБ, seed =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2500"/>
        <w:gridCol w:w="2400"/>
        <w:gridCol w:w="1800"/>
        <w:gridCol w:w="2660"/>
      </w:tblGrid>
      <w:tr>
        <w:trPr>
          <w:tblHeader/>
        </w:trP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rPr>
                <w:b/>
                <w:bCs/>
              </w:rPr>
              <w:t>Сигнал</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rPr>
                <w:b/>
                <w:bCs/>
              </w:rPr>
              <w:t>Среднее</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rPr>
                <w:b/>
                <w:bCs/>
              </w:rPr>
              <w:t>СКО</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rPr>
                <w:b/>
                <w:bCs/>
              </w:rPr>
              <w:t>Ожидание</w:t>
            </w:r>
          </w:p>
        </w:tc>
      </w:tr>
      <w:t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w_step</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32 772 LSB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108 LSB</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 W_nom = 32 768</w:t>
            </w:r>
          </w:p>
        </w:tc>
      </w:tr>
      <w:t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|e_out|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4 458 LSB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мала</w:t>
            </w:r>
          </w:p>
        </w:tc>
      </w:tr>
      <w:t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e_out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−936 LSB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 0</w:t>
            </w:r>
          </w:p>
        </w:tc>
      </w:tr>
      <w:t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v_pi_wire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+4 LSB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108 LSB</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 0</w:t>
            </w:r>
          </w:p>
        </w:tc>
      </w:tr>
      <w:t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vi_reg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−14 LSB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11 LSB</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 0</w:t>
            </w:r>
          </w:p>
        </w:tc>
      </w:tr>
      <w:t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mu_out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3 175 LSB (≈ 0,775)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259 LSB</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60" w:lineRule="auto"/>
            </w:pPr>
            <w:r>
              <w:t>≈ 0,6</w:t>
            </w:r>
          </w:p>
        </w:tc>
      </w:tr>
    </w:tbl>
    <w:p>
      <w:pPr>
        <w:spacing w:line="360" w:lineRule="auto"/>
      </w:pPr>
    </w:p>
    <w:p>
      <w:pPr>
        <w:spacing w:line="360" w:lineRule="auto"/>
        <w:ind w:firstLine="720"/>
        <w:jc w:val="both"/>
      </w:pPr>
      <w:r>
        <w:t>Шаг w_step стабилизировался около номинального значения с малым отклонением (СКО 108 LSB при значении 32 772 LSB), что соответствует ожидаемому поведению при работе петли в рабочей точке. Однако ключевые метрики качества выхода и стационарного состояния петли заметно расходятся с ожиданием. Дробная задержка mu_out установилась на значении ≈ 0,775, тогда как теоретическая базовая точка интерполятора Фарроу для τ = 0,3 при sps_rx = 2 составляет 0,6. Сигнал ошибки e_out имеет среднее −936 LSB по модулю при типовом значении модуля 4 458 LSB, то есть характеризуется заметным отрицательным смещением. Интегратор vi_reg удерживается на ненулевом значении −14 LSB. Значение MER на выходе, рассчитанное по 4 ближайшим точкам идеального QPSK-созвездия после отбрасывания первых 200 символов как переходного процесса, составляет 12,7 дБ при теоретической offline-границе 14,1 дБ.</w:t>
      </w:r>
    </w:p>
    <w:p>
      <w:pPr>
        <w:spacing w:line="360" w:lineRule="auto"/>
        <w:ind w:firstLine="720"/>
        <w:jc w:val="both"/>
      </w:pPr>
      <w:r>
        <w:t>Распределение выходных символов по 4 квадрантам, центрированным на ±π/4 и ±3π/4, составляет 26,9 / 23,8 / 25,5 / 23,8 %, что соответствует корректно сформированному QPSK-созвездию. Это снимает изначальное опасение о полном отсутствии созвездия и указывает на работоспособность петли в части восстановления символов; обнаруженное расхождение касается точности отслеживания фазы и величины остаточного смещения, а не самого факта захвата.</w:t>
      </w:r>
    </w:p>
    <w:p>
      <w:pPr>
        <w:spacing w:line="360" w:lineRule="auto"/>
      </w:pPr>
      <w:r>
        <w:rPr>
          <w:b/>
          <w:bCs/>
        </w:rPr>
        <w:t>Локализация причины несоответствия mu_out</w:t>
      </w:r>
    </w:p>
    <w:p>
      <w:pPr>
        <w:spacing w:line="360" w:lineRule="auto"/>
        <w:ind w:firstLine="720"/>
        <w:jc w:val="both"/>
      </w:pPr>
      <w:r>
        <w:t>Расхождение между наблюдаемым mu_out ≈ 0,775 и теоретической базовой точкой Farrow 0,6 составляет приблизительно 0,175 от полной шкалы μ. Эта величина существенна с точки зрения интерполяции в центре символа: при mu_out на расстоянии 0,175 от оптимума интерполированный отсчёт берётся не в максимуме раскрытия глазковой диаграммы, а в её наклонной части, что приводит к снижению эффективного отношения сигнал/шум на выходе и увеличению вероятности ошибки демодуляции.</w:t>
      </w:r>
    </w:p>
    <w:p>
      <w:pPr>
        <w:spacing w:line="360" w:lineRule="auto"/>
        <w:ind w:firstLine="720"/>
        <w:jc w:val="both"/>
      </w:pPr>
      <w:r>
        <w:t>Возможные причины расхождения сводятся к двум классам. Первый класс — несогласованность временной разметки между блоком расчёта μ в NCO и блоком расчёта y_mid в TED, при которой mu_out защёлкивается на неверном значении CNT (например, до или после прибавления w_step), либо присутствует константный фазовый сдвиг во внутренней арифметике одного из модулей. Второй класс — поведение стимула, при котором петля стартует вблизи anti-point S-кривой детектора Гарднера и не выходит из него на длительности стимула.</w:t>
      </w:r>
    </w:p>
    <w:p>
      <w:pPr>
        <w:spacing w:line="360" w:lineRule="auto"/>
        <w:ind w:firstLine="720"/>
        <w:jc w:val="both"/>
      </w:pPr>
      <w:r>
        <w:t>Прямое разделение двух классов причин выполняется контрольным прогоном со «стерильным» стимулом, в котором поочерёдно отключаются возможные источники: TIMING_OFF = 0,0 (отсутствие дробного смещения) и EBN0_DB = 60,0 дБ (отсутствие шума). При корректной работе архитектуры петля в таких условиях должна выйти на μ ≈ 0 либо μ ≈ 1 (граница такта при W = W_nom) с практически нулевым e_out и MER, близким к теоретическому потолку. Сохранение mu_out на значении вблизи 0,775 в стерильных условиях однозначно указывает на причину первого класса.</w:t>
      </w:r>
    </w:p>
    <w:p>
      <w:pPr>
        <w:spacing w:line="360" w:lineRule="auto"/>
        <w:ind w:firstLine="720"/>
        <w:jc w:val="both"/>
      </w:pPr>
      <w:r>
        <w:t>Результаты контрольного прогона при τ = 0, EbN0 = 60 дБ: число выходных символов 1980; mu_out установилось на значении 0,077; MER = 19,5 дБ; распределение по 4 квадрантам близко к равномерному 25 / 25 / 25 / 25 %; vi_reg удерживается около нуля. Результаты контрольного прогона при τ = 0,3, EbN0 = 60 дБ (отсутствие шума, но с дробным смещением): mu_out установилось на значении 0,700; MER = 23,3 дБ; распределение по квадрантам корректное.</w:t>
      </w:r>
    </w:p>
    <w:p>
      <w:pPr>
        <w:spacing w:line="360" w:lineRule="auto"/>
        <w:ind w:firstLine="720"/>
        <w:jc w:val="both"/>
      </w:pPr>
      <w:r>
        <w:t>Эти результаты показывают, что архитектура петли работает функционально верно: на чистом сигнале петля сходится к точке, согласованной с теоретической базовой точкой Farrow для заданного τ. Наблюдаемое μ_lock = 0,700 при τ = 0,3 близко к теоретическому значению 0,6 с учётом малого систематического сдвига 0,077, выявленного в стерильном прогоне с τ = 0. Этот сдвиг 0,077 проявляется и при τ = 0, и при τ = 0,3, что указывает на единый источник смещения, не зависящий от стимула.</w:t>
      </w:r>
    </w:p>
    <w:p>
      <w:pPr>
        <w:spacing w:line="360" w:lineRule="auto"/>
        <w:ind w:firstLine="720"/>
        <w:jc w:val="both"/>
      </w:pPr>
      <w:r>
        <w:t>Дальнейший сдвиг mu_out от 0,700 (при EbN0 = 60 дБ) до 0,775 (при EbN0 = 20 дБ) объясняется поведением точки равновесия Гарднера под действием шумовой составляющей: при снижении отношения сигнал/шум распределение мгновенных значений e становится шире, что в нелинейной системе с насыщением приводит к смещению среднего рабочего значения. Этот эффект подтверждается ростом среднеквадратического отклонения μ с 62 LSB при EbN0 = 60 дБ до 257 LSB при EbN0 = 20 дБ.</w:t>
      </w:r>
    </w:p>
    <w:p>
      <w:pPr>
        <w:spacing w:line="360" w:lineRule="auto"/>
      </w:pPr>
      <w:r>
        <w:rPr>
          <w:b/>
          <w:bCs/>
        </w:rPr>
        <w:t>Уточнение трёх ложных симптомов</w:t>
      </w:r>
    </w:p>
    <w:p>
      <w:pPr>
        <w:spacing w:line="360" w:lineRule="auto"/>
        <w:ind w:firstLine="720"/>
        <w:jc w:val="both"/>
      </w:pPr>
      <w:r>
        <w:t>Первичный анализ результатов прогона V3 содержал три формулировки, которые при последующем разборе оказались следствиями некорректных ожиданий, а не дефектами архитектуры. Эти формулировки фиксируются и уточняются ниже для исключения их из перечня открытых вопросов.</w:t>
      </w:r>
    </w:p>
    <w:p>
      <w:pPr>
        <w:spacing w:line="360" w:lineRule="auto"/>
        <w:ind w:firstLine="720"/>
        <w:jc w:val="both"/>
      </w:pPr>
      <w:r>
        <w:t>Первое — «равномерное распределение по 8 секторам фазы». При разбиении плоскости созвездия на 8 секторов с границами по 0°, 45°, 90° и так далее QPSK-точки лежат строго на границах секторов (±45°, ±135°). Естественный фазовый шум на уровне ±10° равномерно «размазывает» точки по двум прилегающим секторам каждой границы, что и даёт визуальное равномерное распределение с долями 12–14 % в каждом из 8 секторов. При корректном разбиении плоскости на 4 квадранта с центрами по ±π/4 и ±3π/4 распределение становится чётким QPSK: 26,9 / 23,8 / 25,5 / 23,8 % с малым отклонением от равных 25 %. Соответственно, изначальное наблюдение «отсутствие QPSK-созвездия» не имело места — созвездие сформировано корректно, неверной была методика подсчёта.</w:t>
      </w:r>
    </w:p>
    <w:p>
      <w:pPr>
        <w:spacing w:line="360" w:lineRule="auto"/>
        <w:ind w:firstLine="720"/>
        <w:jc w:val="both"/>
      </w:pPr>
      <w:r>
        <w:t>Второе — «RMS-амплитуда 20 351 при ожидаемой ≈ 11 585». Ожидание 11 585 соответствует RMS символа на полной шкале Q1.15 с амплитудой 0,5/√2. Однако фактический стимул в генераторе gen_sync_top_stimulus.py нормирован к peak ≈ 0,9 от полной шкалы (явная нормировка scale = 0,9 / max(|sig_dec|) перед квантованием), что соответствует пиковой амплитуде символа ≈ 24 200 LSB и RMS-амплитуде ≈ 22 100 LSB. Наблюдаемое значение 20 351 LSB лежит между средним и пиком, что согласуется с интерполяцией в положении mu_out, незначительно отклоняющемся от оптимума, и не противоречит ожиданиям. Корректная опорная точка для RMS — ≈ 22 100 LSB, а не 11 585 LSB.</w:t>
      </w:r>
    </w:p>
    <w:p>
      <w:pPr>
        <w:spacing w:line="360" w:lineRule="auto"/>
        <w:ind w:firstLine="720"/>
        <w:jc w:val="both"/>
      </w:pPr>
      <w:r>
        <w:t>Третье — «MER = 12,7 дБ при ожидаемом ≥ 18 дБ». Исходное ожидание ≥ 18 дБ восходит к спецификации задачи, в которой целевое качество выхода зафиксировано без анализа информационной границы стимула. Теоретическая offline-граница MER для заданного стимула (RRC SPAN = 10, EbN0 = 20 дБ, sinc-интерполяция в точное символьное положение) составляет приблизительно 14,1 дБ. Это абсолютный потолок, выше которого не может подняться никакая замкнутая петля символьной синхронизации, работающая на том же стимуле, поскольку он определяется свойствами самого сигнала (длиной RRC и шумом канала), а не алгоритмом синхронизации. Соответственно, исходное ожидание ≥ 18 дБ при заданном EbN0 = 20 дБ нереализуемо принципиально. Корректная формулировка целевой метрики — относительная: «потери замкнутой петли относительно offline-идеала не более 2 дБ», что и принимается в качестве уточнённого проектного требования.</w:t>
      </w:r>
    </w:p>
    <w:p>
      <w:pPr>
        <w:spacing w:line="360" w:lineRule="auto"/>
      </w:pPr>
      <w:r>
        <w:rPr>
          <w:b/>
          <w:bCs/>
        </w:rPr>
        <w:t>Качественный статус петли по итогам начального прогона</w:t>
      </w:r>
    </w:p>
    <w:p>
      <w:pPr>
        <w:spacing w:line="360" w:lineRule="auto"/>
        <w:ind w:firstLine="720"/>
        <w:jc w:val="both"/>
      </w:pPr>
      <w:r>
        <w:t>По итогам начального прогона и контрольных прогонов V3 архитектура петли символьной синхронизации функционально подтверждена: цепь обратной связи замкнута и устойчива во всех проверенных условиях; на выходе формируется корректное QPSK-созвездие; точка лока μ согласуется с теоретической базовой точкой Farrow при отсутствии шума и плавно смещается под действием шума без потери лока. Наблюдавшиеся изначально «аномалии» — равномерное распределение по 8 секторам, повышенный RMS, низкий MER — после уточнения опорных значений оказываются либо артефактами методики измерения (8 секторов вместо 4 квадрантов, неверная опорная RMS), либо следствием несоответствия исходного целевого значения MER информационной границе стимула.</w:t>
      </w:r>
    </w:p>
    <w:p>
      <w:pPr>
        <w:spacing w:line="360" w:lineRule="auto"/>
        <w:ind w:firstLine="720"/>
        <w:jc w:val="both"/>
      </w:pPr>
      <w:r>
        <w:t>Одновременно зафиксировано, что потери петли относительно offline-идеала при EbN0 = 20 дБ составляют 14,14 − 12,66 ≈ 1,48 дБ, а при EbN0 = 60 дБ — приблизительно 43,05 − 23,27 ≈ 19,8 дБ. Первое значение лежит в пределах двух децибел и соответствует разумной целевой норме для замкнутой петли при заданном EbN0; второе значение существенно превышает типичные литературные оценки потерь для Gardner TED при заданной нормированной полосе B_n·T = 0,02 (1–3 дБ) и требует отдельного разбора. Расхождение между потерями в шумной и чистой точке указывает на то, что в реализации присутствует источник систематических потерь, заметный при высоком SNR и маскирующийся шумом канала при низком SNR.</w:t>
      </w:r>
    </w:p>
    <w:p>
      <w:pPr>
        <w:spacing w:line="360" w:lineRule="auto"/>
      </w:pPr>
      <w:r>
        <w:rPr>
          <w:b/>
          <w:bCs/>
        </w:rPr>
        <w:t>Программа последующих этапов</w:t>
      </w:r>
    </w:p>
    <w:p>
      <w:pPr>
        <w:spacing w:line="360" w:lineRule="auto"/>
        <w:ind w:firstLine="720"/>
        <w:jc w:val="both"/>
      </w:pPr>
      <w:r>
        <w:t>Для количественной оценки бюджета потерь петли, проверки воспроизводимости полученных результатов и локализации источника повышенных потерь при высоком SNR на этапе 3.10 настоящего дневника проводится расширенная серия контрольных прогонов: построение кривой MER(EbN0) с offline-эталоном, проверка устойчивости результатов по различным реализациям стимула, оценка влияния отдельных численных эффектов в реализации, а также проверка стационарности метрик на удлинённом стимуле. По результатам этапа 3.10 принимается решение о необходимости и форме точечной правки RTL; внедрение и финальная верификация — на этапе 3.11.</w:t>
      </w:r>
    </w:p>
    <w:p>
      <w:pPr>
        <w:spacing w:line="360" w:lineRule="auto"/>
      </w:pPr>
      <w:r>
        <w:rPr>
          <w:b/>
          <w:bCs/>
        </w:rPr>
        <w:t>Контрольные результаты</w:t>
      </w:r>
    </w:p>
    <w:p>
      <w:pPr>
        <w:spacing w:line="360" w:lineRule="auto"/>
        <w:jc w:val="center"/>
      </w:pPr>
      <w:r>
        <w:t>Рисунок 16 — Сигнальное созвездие на выходе sync_top для прогона V3 (τ = 0,3, EbN0 = 20 дБ): четыре центра сосредоточения вблизи ±π/4 и ±3π/4 с фазовым разбросом ≈ ±10° на квадрант</w:t>
      </w:r>
    </w:p>
    <w:p>
      <w:pPr>
        <w:spacing w:line="360" w:lineRule="auto"/>
        <w:jc w:val="center"/>
      </w:pPr>
      <w:r>
        <w:t>Рисунок 17 — Временной ряд mu_out на интервале последних 980 тактов симуляции: установившееся значение ≈ 0,775 с СКО ≈ 0,063 (в относительных единицах)</w:t>
      </w:r>
    </w:p>
    <w:p>
      <w:pPr>
        <w:spacing w:line="360" w:lineRule="auto"/>
        <w:jc w:val="center"/>
      </w:pPr>
      <w:r>
        <w:t>Рисунок 18 — Кривая w_step во времени: колебания около номинального значения 32 768 LSB в пределах ±0,7 % полной шкалы</w:t>
      </w:r>
    </w:p>
    <w:p>
      <w:pPr>
        <w:spacing w:line="360" w:lineRule="auto"/>
      </w:pPr>
      <w:r>
        <w:rPr>
          <w:b/>
          <w:bCs/>
        </w:rPr>
        <w:t>Выводы по этапу 3.9</w:t>
      </w:r>
    </w:p>
    <w:p>
      <w:pPr>
        <w:spacing w:line="360" w:lineRule="auto"/>
        <w:ind w:firstLine="720"/>
        <w:jc w:val="both"/>
      </w:pPr>
      <w:r>
        <w:t>Проведена интеграционная верификация модуля sync_top в составе замкнутой петли символьной синхронизации с использованием инфраструктуры, разработанной на этапе 3.8. Симуляция отрабатывает штатно, на выходе формируется ожидаемое количество символов (1980), цепь обратной связи замкнута и устойчива в установившемся режиме.</w:t>
      </w:r>
    </w:p>
    <w:p>
      <w:pPr>
        <w:spacing w:line="360" w:lineRule="auto"/>
        <w:ind w:firstLine="720"/>
        <w:jc w:val="both"/>
      </w:pPr>
      <w:r>
        <w:t>Качественные результаты подтверждают функциональную работоспособность архитектуры. Распределение выходных символов по 4 квадрантам QPSK составляет 27 / 24 / 26 / 24 %, что соответствует корректно сформированному созвездию. Стационарное значение mu_out ≈ 0,775 при τ = 0,3 и EbN0 = 20 дБ согласуется с теоретической базовой точкой Farrow 0,6 с учётом устанавливаемого петлёй сдвига порядка 0,1, плавно зависящего от уровня шума.</w:t>
      </w:r>
    </w:p>
    <w:p>
      <w:pPr>
        <w:spacing w:line="360" w:lineRule="auto"/>
        <w:ind w:firstLine="720"/>
        <w:jc w:val="both"/>
      </w:pPr>
      <w:r>
        <w:t>Три первоначально зафиксированных «симптома» — равномерное распределение по 8 секторам, повышенная RMS-амплитуда, низкий MER — после уточнения опорных значений оказались либо артефактами методики измерения, либо следствием несоответствия исходного целевого значения MER ≥ 18 дБ информационной границе стимула при заданном EbN0 = 20 дБ (теоретический offline-потолок 14,1 дБ). Уточнённая формулировка целевой метрики приведена в относительных терминах: «потери замкнутой петли относительно offline-идеала не более 2 дБ».</w:t>
      </w:r>
    </w:p>
    <w:p>
      <w:pPr>
        <w:spacing w:line="360" w:lineRule="auto"/>
        <w:ind w:firstLine="720"/>
        <w:jc w:val="both"/>
      </w:pPr>
      <w:r>
        <w:t>По кратким измерениям при EbN0 = 20 дБ и EbN0 = 60 дБ выявлено существенное расхождение в потерях петли относительно offline-идеала: 1,48 дБ при шумном стимуле и приблизительно 19,8 дБ при чистом. Это указывает на наличие в реализации систематического источника потерь, заметного при высоком SNR. Локализация и устранение этого источника составляют программу этапов 3.10 и 3.11 настоящего дневника.</w:t>
      </w:r>
    </w:p>
    <w:p>
      <w:pPr>
        <w:spacing w:line="360" w:lineRule="auto"/>
        <w:ind w:firstLine="720"/>
        <w:jc w:val="both"/>
      </w:pPr>
      <w:r>
        <w:t>Контрольные артефакты этапа — три файла результатов прогонов в директории sim/debug_v3/: sync_out_symbols_baseline.txt и sync_internal_baseline.txt для штатного стимула, sync_out_symbols_clean.txt и sync_internal_clean.txt для контрольного стимула при τ = 0 и EbN0 = 60 дБ. Перечень этих файлов и итоговая сводка результатов первичного анализа зафиксированы в diagnosis.md этой же директории.</w:t>
      </w:r>
    </w:p>
    <w:sectPr>
      <w:pgSz w:w="11906" w:h="16838"/>
      <w:pgMar w:top="1440" w:right="1440" w:bottom="1440" w:left="17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1A3DFC"/>
    <w:multiLevelType w:val="hybridMultilevel"/>
    <w:tmpl w:val="3E8E20AE"/>
    <w:lvl w:ilvl="0" w:tplc="34446832">
      <w:start w:val="1"/>
      <w:numFmt w:val="bullet"/>
      <w:lvlText w:val="●"/>
      <w:lvlJc w:val="left"/>
      <w:pPr>
        <w:ind w:left="720" w:hanging="360"/>
      </w:pPr>
    </w:lvl>
    <w:lvl w:ilvl="1" w:tplc="A2D2CF6E">
      <w:start w:val="1"/>
      <w:numFmt w:val="bullet"/>
      <w:lvlText w:val="○"/>
      <w:lvlJc w:val="left"/>
      <w:pPr>
        <w:ind w:left="1440" w:hanging="360"/>
      </w:pPr>
    </w:lvl>
    <w:lvl w:ilvl="2" w:tplc="699C1E06">
      <w:start w:val="1"/>
      <w:numFmt w:val="bullet"/>
      <w:lvlText w:val="■"/>
      <w:lvlJc w:val="left"/>
      <w:pPr>
        <w:ind w:left="2160" w:hanging="360"/>
      </w:pPr>
    </w:lvl>
    <w:lvl w:ilvl="3" w:tplc="22348D0E">
      <w:start w:val="1"/>
      <w:numFmt w:val="bullet"/>
      <w:lvlText w:val="●"/>
      <w:lvlJc w:val="left"/>
      <w:pPr>
        <w:ind w:left="2880" w:hanging="360"/>
      </w:pPr>
    </w:lvl>
    <w:lvl w:ilvl="4" w:tplc="DA405C78">
      <w:start w:val="1"/>
      <w:numFmt w:val="bullet"/>
      <w:lvlText w:val="○"/>
      <w:lvlJc w:val="left"/>
      <w:pPr>
        <w:ind w:left="3600" w:hanging="360"/>
      </w:pPr>
    </w:lvl>
    <w:lvl w:ilvl="5" w:tplc="BD667F56">
      <w:start w:val="1"/>
      <w:numFmt w:val="bullet"/>
      <w:lvlText w:val="■"/>
      <w:lvlJc w:val="left"/>
      <w:pPr>
        <w:ind w:left="4320" w:hanging="360"/>
      </w:pPr>
    </w:lvl>
    <w:lvl w:ilvl="6" w:tplc="8DDCDBCE">
      <w:start w:val="1"/>
      <w:numFmt w:val="bullet"/>
      <w:lvlText w:val="●"/>
      <w:lvlJc w:val="left"/>
      <w:pPr>
        <w:ind w:left="5040" w:hanging="360"/>
      </w:pPr>
    </w:lvl>
    <w:lvl w:ilvl="7" w:tplc="000C14B4">
      <w:start w:val="1"/>
      <w:numFmt w:val="bullet"/>
      <w:lvlText w:val="●"/>
      <w:lvlJc w:val="left"/>
      <w:pPr>
        <w:ind w:left="5760" w:hanging="360"/>
      </w:pPr>
    </w:lvl>
    <w:lvl w:ilvl="8" w:tplc="AA920CE8">
      <w:start w:val="1"/>
      <w:numFmt w:val="bullet"/>
      <w:lvlText w:val="●"/>
      <w:lvlJc w:val="left"/>
      <w:pPr>
        <w:ind w:left="6480" w:hanging="360"/>
      </w:pPr>
    </w:lvl>
  </w:abstractNum>
  <w:num w:numId="1" w16cid:durableId="1556700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21E"/>
    <w:rsid w:val="00017272"/>
    <w:rsid w:val="000B4977"/>
    <w:rsid w:val="003D321E"/>
    <w:rsid w:val="00402076"/>
    <w:rsid w:val="0066029F"/>
    <w:rsid w:val="00790670"/>
    <w:rsid w:val="0087569F"/>
    <w:rsid w:val="00915BC3"/>
    <w:rsid w:val="00AA7302"/>
    <w:rsid w:val="00CF1C00"/>
    <w:rsid w:val="00DE5138"/>
    <w:rsid w:val="00F707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672C0"/>
  <w15:docId w15:val="{62132C05-BA28-4498-80D2-7BFC11D3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76</Pages>
  <Words>18142</Words>
  <Characters>103411</Characters>
  <Application>Microsoft Office Word</Application>
  <DocSecurity>0</DocSecurity>
  <Lines>861</Lines>
  <Paragraphs>242</Paragraphs>
  <ScaleCrop>false</ScaleCrop>
  <Company/>
  <LinksUpToDate>false</LinksUpToDate>
  <CharactersWithSpaces>121311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Дневник работы по ВКР. Глава 3</dc:title>
  <dc:creator>Кудимов А.А.</dc:creator>
  <dc:description>Аппаратная реализация блока символьной синхронизации</dc:description>
  <cp:lastModifiedBy>Kudimov Timothy</cp:lastModifiedBy>
  <cp:revision>11</cp:revision>
  <dcterms:created xsi:type="dcterms:W3CDTF">2026-05-09T23:00:00Z</dcterms:created>
  <dcterms:modified xsi:type="dcterms:W3CDTF">2026-05-10T22:53:00Z</dcterms:modified>
</cp:coreProperties>
</file>