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360" w:line="360"/>
        <w:jc w:val="center"/>
      </w:pPr>
      <w:r>
        <w:rPr>
          <w:rFonts w:ascii="Times New Roman" w:cs="Times New Roman" w:eastAsia="Times New Roman" w:hAnsi="Times New Roman"/>
          <w:b/>
          <w:bCs/>
          <w:sz w:val="32"/>
          <w:szCs w:val="32"/>
        </w:rPr>
        <w:t xml:space="preserve">Глава 2. Моделирование блока символьной синхронизации в среде MATLAB</w:t>
      </w:r>
    </w:p>
    <w:p>
      <w:pPr>
        <w:spacing w:after="120" w:line="360"/>
        <w:ind w:firstLine="720"/>
        <w:jc w:val="both"/>
      </w:pPr>
      <w:r>
        <w:rPr>
          <w:rFonts w:ascii="Times New Roman" w:cs="Times New Roman" w:eastAsia="Times New Roman" w:hAnsi="Times New Roman"/>
          <w:b w:val="false"/>
          <w:bCs w:val="false"/>
          <w:i w:val="false"/>
          <w:iCs w:val="false"/>
          <w:sz w:val="28"/>
          <w:szCs w:val="28"/>
        </w:rPr>
        <w:t xml:space="preserve">Прежде чем переходить к аппаратной реализации блока символьной синхронизации на ПЛИС, выбранная в первой главе архитектура нуждается в проверке средствами высокоуровневого моделирования. Без такой проверки риск обнаружить алгоритмические ошибки уже на этапе синтеза HDL-кода становится неприемлемо большим — отладка на железе на порядки дороже отладки в MATLAB. Кроме того, плавающая модель служит эталоном, относительно которого проверяются все последующие реализации: с фиксированной точкой, на языках описания аппаратуры, на реальном кристалле.</w:t>
      </w:r>
    </w:p>
    <w:p>
      <w:pPr>
        <w:spacing w:after="120" w:line="360"/>
        <w:ind w:firstLine="720"/>
        <w:jc w:val="both"/>
      </w:pPr>
      <w:r>
        <w:rPr>
          <w:rFonts w:ascii="Times New Roman" w:cs="Times New Roman" w:eastAsia="Times New Roman" w:hAnsi="Times New Roman"/>
          <w:b w:val="false"/>
          <w:bCs w:val="false"/>
          <w:i w:val="false"/>
          <w:iCs w:val="false"/>
          <w:sz w:val="28"/>
          <w:szCs w:val="28"/>
        </w:rPr>
        <w:t xml:space="preserve">В настоящей главе изложены результаты моделирования. Описана сборка приёмопередающей цепочки, исследована помехоустойчивость собранной модели, динамика переходного процесса петли синхронизации, устойчивость к расхождению тактовых частот и влияние квантования входных данных. После этого представлены две собственные реализации алгоритма Гарднера, отличающиеся способом подстройки фазы стробирования, и проведён их сравнительный анализ. Завершает главу описание разработанной инфраструктуры обмена данными с HDL-симулятором и финальная валидация моделей на сигнале с действующего аппаратного модема.</w:t>
      </w:r>
    </w:p>
    <w:p>
      <w:pPr>
        <w:spacing w:after="180" w:before="280" w:line="360"/>
        <w:jc w:val="left"/>
      </w:pPr>
      <w:r>
        <w:rPr>
          <w:rFonts w:ascii="Times New Roman" w:cs="Times New Roman" w:eastAsia="Times New Roman" w:hAnsi="Times New Roman"/>
          <w:b/>
          <w:bCs/>
          <w:sz w:val="28"/>
          <w:szCs w:val="28"/>
        </w:rPr>
        <w:t xml:space="preserve">2.1 Постановка задачи моделирования</w:t>
      </w:r>
    </w:p>
    <w:p>
      <w:pPr>
        <w:spacing w:after="120" w:line="360"/>
        <w:ind w:firstLine="720"/>
        <w:jc w:val="both"/>
      </w:pPr>
      <w:r>
        <w:rPr>
          <w:rFonts w:ascii="Times New Roman" w:cs="Times New Roman" w:eastAsia="Times New Roman" w:hAnsi="Times New Roman"/>
          <w:b w:val="false"/>
          <w:bCs w:val="false"/>
          <w:i w:val="false"/>
          <w:iCs w:val="false"/>
          <w:sz w:val="28"/>
          <w:szCs w:val="28"/>
        </w:rPr>
        <w:t xml:space="preserve">Цель моделирования двойная. С одной стороны, необходимо подтвердить работоспособность выбранного в Главе 1 комплекса решений (детектор Гарднера, кусочно-параболический интерполятор Фарроу, PI-фильтр второго порядка, NCO в виде вычитающего счётчика по модулю 1) на полной приёмопередающей цепочке. С другой — получить эталонную модель в плавающей точке, которая в дальнейшем будет служить опорой при разработке аппаратной реализации.</w:t>
      </w:r>
    </w:p>
    <w:p>
      <w:pPr>
        <w:spacing w:after="120" w:line="360"/>
        <w:ind w:firstLine="720"/>
        <w:jc w:val="both"/>
      </w:pPr>
      <w:r>
        <w:rPr>
          <w:rFonts w:ascii="Times New Roman" w:cs="Times New Roman" w:eastAsia="Times New Roman" w:hAnsi="Times New Roman"/>
          <w:b w:val="false"/>
          <w:bCs w:val="false"/>
          <w:i w:val="false"/>
          <w:iCs w:val="false"/>
          <w:sz w:val="28"/>
          <w:szCs w:val="28"/>
        </w:rPr>
        <w:t xml:space="preserve">Параметры моделируемой системы выбраны исходя из задач выпускной работы и возможностей платформы Xilinx Zynq-7000 + Analog Devices AD9361. Символьная скорость Rs = 1 МГц соответствует среднему диапазону скоростей, типичному для гражданских SDR-применений. Модуляция QPSK с кодированием Грея — базовая для исследовательских модемов и простейшая из тех, на которых работает алгоритм Гарднера. Формирующий и согласованный фильтры выбраны в виде корня из приподнятого косинуса (RRC) с коэффициентом скругления α = 0,35 и длиной 10 символов — стандартное сочетание, обеспечивающее компромисс между занимаемой полосой и амплитудными выбросами огибающей. Передискретизация на выходе передатчика sps_tx = 8, на входе петли синхронизации после согласованного фильтра sps_rx = 2, что точно соответствует требованию алгоритма Гарднера и не оставляет избыточного объёма данных в петле обратной связи.</w:t>
      </w:r>
    </w:p>
    <w:p>
      <w:pPr>
        <w:spacing w:after="120" w:line="360"/>
        <w:ind w:firstLine="720"/>
        <w:jc w:val="both"/>
      </w:pPr>
      <w:r>
        <w:rPr>
          <w:rFonts w:ascii="Times New Roman" w:cs="Times New Roman" w:eastAsia="Times New Roman" w:hAnsi="Times New Roman"/>
          <w:b w:val="false"/>
          <w:bCs w:val="false"/>
          <w:i w:val="false"/>
          <w:iCs w:val="false"/>
          <w:sz w:val="28"/>
          <w:szCs w:val="28"/>
        </w:rPr>
        <w:t xml:space="preserve">Параметры самой петли вытекают из материала Главы 1 и составляют: нормированная шумовая полоса B_n·T = 0,02 (середина рекомендуемого Райсом диапазона 0,01…0,05), коэффициент затухания ζ = 1/√2 ≈ 0,707 (критическое затухание, минимизирующее перерегулирование), коэффициент усиления детектора K_p = 2,7 — рекомендуемое для алгоритма Гарднера значение при работе с RRC-импульсами и α = 0,35. Дробное смещение моментов дискретизации, имитируемое в канале, выбрано равным 0,3·T_s — заведомо ненулевое значение, существенно отличное от целого числа отсчётов, чтобы петля при захвате выполняла нетривиальную работу.</w:t>
      </w:r>
    </w:p>
    <w:p>
      <w:pPr>
        <w:spacing w:after="120" w:line="360"/>
        <w:ind w:firstLine="720"/>
        <w:jc w:val="both"/>
      </w:pPr>
      <w:r>
        <w:rPr>
          <w:rFonts w:ascii="Times New Roman" w:cs="Times New Roman" w:eastAsia="Times New Roman" w:hAnsi="Times New Roman"/>
          <w:b w:val="false"/>
          <w:bCs w:val="false"/>
          <w:i w:val="false"/>
          <w:iCs w:val="false"/>
          <w:sz w:val="28"/>
          <w:szCs w:val="28"/>
        </w:rPr>
        <w:t xml:space="preserve">Все параметры собраны в одном MATLAB-скрипте params_vkr.m, который запускается перед открытием Simulink-модели или любого вычислительного скрипта. Такая организация исключает рассогласование значений при редактировании отдельных файлов и позволяет менять параметры эксперимента в одной точке.</w:t>
      </w:r>
    </w:p>
    <w:p>
      <w:pPr>
        <w:spacing w:after="180" w:before="280" w:line="360"/>
        <w:jc w:val="left"/>
      </w:pPr>
      <w:r>
        <w:rPr>
          <w:rFonts w:ascii="Times New Roman" w:cs="Times New Roman" w:eastAsia="Times New Roman" w:hAnsi="Times New Roman"/>
          <w:b/>
          <w:bCs/>
          <w:sz w:val="28"/>
          <w:szCs w:val="28"/>
        </w:rPr>
        <w:t xml:space="preserve">2.2 Сборка эталонной модели приёмопередающей цепочки</w:t>
      </w:r>
    </w:p>
    <w:p>
      <w:pPr>
        <w:spacing w:after="160" w:before="240" w:line="360"/>
        <w:jc w:val="left"/>
      </w:pPr>
      <w:r>
        <w:rPr>
          <w:rFonts w:ascii="Times New Roman" w:cs="Times New Roman" w:eastAsia="Times New Roman" w:hAnsi="Times New Roman"/>
          <w:b/>
          <w:bCs/>
          <w:i/>
          <w:iCs/>
          <w:sz w:val="28"/>
          <w:szCs w:val="28"/>
        </w:rPr>
        <w:t xml:space="preserve">2.2.1 Передатчик и канал</w:t>
      </w:r>
    </w:p>
    <w:p>
      <w:pPr>
        <w:spacing w:after="120" w:line="360"/>
        <w:ind w:firstLine="720"/>
        <w:jc w:val="both"/>
      </w:pPr>
      <w:r>
        <w:rPr>
          <w:rFonts w:ascii="Times New Roman" w:cs="Times New Roman" w:eastAsia="Times New Roman" w:hAnsi="Times New Roman"/>
          <w:b w:val="false"/>
          <w:bCs w:val="false"/>
          <w:i w:val="false"/>
          <w:iCs w:val="false"/>
          <w:sz w:val="28"/>
          <w:szCs w:val="28"/>
        </w:rPr>
        <w:t xml:space="preserve">Передающая часть цепочки построена в среде Simulink из трёх стандартных блоков библиотеки Communications Toolbox: Bernoulli Binary Generator (источник псевдослучайного битового потока), QPSK Modulator Baseband (отображение пар бит в комплексные символы по правилу Грея) и Raised Cosine Transmit Filter (формирующий RRC-фильтр с передискретизацией в 8 раз). Цепочка работает в трёх различных частотах дискретизации: символьной 1 МГц на входе модулятора, многоскоростной переход на формирующем фильтре, частоте отсчётов АЦП 8 МГц на выходе. Раскраска блоков в режиме Sample Time Colors визуально подтверждает корректность согласования частот.</w:t>
      </w:r>
    </w:p>
    <w:p>
      <w:pPr>
        <w:spacing w:after="120" w:line="360"/>
        <w:ind w:firstLine="720"/>
        <w:jc w:val="both"/>
      </w:pPr>
      <w:r>
        <w:rPr>
          <w:rFonts w:ascii="Times New Roman" w:cs="Times New Roman" w:eastAsia="Times New Roman" w:hAnsi="Times New Roman"/>
          <w:b w:val="false"/>
          <w:bCs w:val="false"/>
          <w:i w:val="false"/>
          <w:iCs w:val="false"/>
          <w:sz w:val="28"/>
          <w:szCs w:val="28"/>
        </w:rPr>
        <w:t xml:space="preserve">В модель канала включены два искажающих фактора, наиболее существенных для работы блока символьной синхронизации: дробная задержка моментов дискретизации (блок Variable Fractional Delay из DSP System Toolbox в режиме FIR-интерполяции с длиной фильтра 8) и аддитивный белый гауссов шум (блок AWGN Channel в режиме «Signal to noise ratio (Eb/No)» с указанием числа отсчётов на символ). Частотный сдвиг несущей в канал не вводится: алгоритм Гарднера инвариантен к фазе несущей по построению, и эта инвариантность отдельно проверяется в подразделе 2.5.</w:t>
      </w:r>
    </w:p>
    <w:p>
      <w:pPr>
        <w:spacing w:after="160" w:before="240" w:line="360"/>
        <w:jc w:val="left"/>
      </w:pPr>
      <w:r>
        <w:rPr>
          <w:rFonts w:ascii="Times New Roman" w:cs="Times New Roman" w:eastAsia="Times New Roman" w:hAnsi="Times New Roman"/>
          <w:b/>
          <w:bCs/>
          <w:i/>
          <w:iCs/>
          <w:sz w:val="28"/>
          <w:szCs w:val="28"/>
        </w:rPr>
        <w:t xml:space="preserve">2.2.2 Приёмный согласованный фильтр и эталонная петля</w:t>
      </w:r>
    </w:p>
    <w:p>
      <w:pPr>
        <w:spacing w:after="120" w:line="360"/>
        <w:ind w:firstLine="720"/>
        <w:jc w:val="both"/>
      </w:pPr>
      <w:r>
        <w:rPr>
          <w:rFonts w:ascii="Times New Roman" w:cs="Times New Roman" w:eastAsia="Times New Roman" w:hAnsi="Times New Roman"/>
          <w:b w:val="false"/>
          <w:bCs w:val="false"/>
          <w:i w:val="false"/>
          <w:iCs w:val="false"/>
          <w:sz w:val="28"/>
          <w:szCs w:val="28"/>
        </w:rPr>
        <w:t xml:space="preserve">На входе приёмной части цепочки стоит согласованный RRC-фильтр (Raised Cosine Receive Filter) с теми же параметрами скругления и длины, что и формирующий, но с децимацией в 4 раза. На его выходе сигнал имеет частоту дискретизации 2 МГц и содержит ровно два отсчёта на символ — минимально необходимое количество для алгоритма Гарднера. Совместная характеристика «формирующий RRC × согласованный RRC» равна полной приподнятой косинусной функции, удовлетворяющей критерию Найквиста, что обеспечивает отсутствие межсимвольной интерференции в моменты центров символов.</w:t>
      </w:r>
    </w:p>
    <w:p>
      <w:pPr>
        <w:spacing w:after="120" w:line="360"/>
        <w:ind w:firstLine="720"/>
        <w:jc w:val="both"/>
      </w:pPr>
      <w:r>
        <w:rPr>
          <w:rFonts w:ascii="Times New Roman" w:cs="Times New Roman" w:eastAsia="Times New Roman" w:hAnsi="Times New Roman"/>
          <w:b w:val="false"/>
          <w:bCs w:val="false"/>
          <w:i w:val="false"/>
          <w:iCs w:val="false"/>
          <w:sz w:val="28"/>
          <w:szCs w:val="28"/>
        </w:rPr>
        <w:t xml:space="preserve">Эталонная петля символьной синхронизации в первой версии модели реализована блоком Symbol Synchronizer из Communications Toolbox в режиме Gardner (non-data-aided) с описанными выше параметрами петли. Этот блок использует внутреннюю реализацию полного цикла «интерполятор → детектор → петлевой фильтр → NCO» в плавающей точке и служит одновременно сравнительным образцом и контрольным инструментом для собственных реализаций, которые будут разработаны позднее.</w:t>
      </w:r>
    </w:p>
    <w:p>
      <w:pPr>
        <w:spacing w:after="180" w:before="180" w:line="360"/>
        <w:jc w:val="center"/>
      </w:pPr>
      <w:r>
        <w:rPr>
          <w:rFonts w:ascii="Times New Roman" w:cs="Times New Roman" w:eastAsia="Times New Roman" w:hAnsi="Times New Roman"/>
          <w:sz w:val="28"/>
          <w:szCs w:val="28"/>
        </w:rPr>
        <w:t xml:space="preserve">Рисунок 2.1 — Структурная схема приёмопередающей цепочки в среде Simulink</w:t>
      </w:r>
    </w:p>
    <w:p>
      <w:pPr>
        <w:spacing w:after="120" w:line="360"/>
        <w:ind w:firstLine="720"/>
        <w:jc w:val="both"/>
      </w:pPr>
      <w:r>
        <w:rPr>
          <w:rFonts w:ascii="Times New Roman" w:cs="Times New Roman" w:eastAsia="Times New Roman" w:hAnsi="Times New Roman"/>
          <w:b w:val="false"/>
          <w:bCs w:val="false"/>
          <w:i w:val="false"/>
          <w:iCs w:val="false"/>
          <w:sz w:val="28"/>
          <w:szCs w:val="28"/>
        </w:rPr>
        <w:t xml:space="preserve">Эталонная цепочка собрана и проверена на парадных условиях: при отношении энергии бита к спектральной плотности шума E_b/N_0 = 30 дБ восстановленное на выходе петли созвездие представляет собой четыре чётких кластера в углах квадрата (±1/√2, ±1/√2), визуально совпадающих с эталонным созвездием на выходе модулятора. Это качественное сравнение подтверждает работоспособность собранной модели и даёт основание переходить к количественным исследованиям.</w:t>
      </w:r>
    </w:p>
    <w:p>
      <w:pPr>
        <w:spacing w:after="180" w:before="280" w:line="360"/>
        <w:jc w:val="left"/>
      </w:pPr>
      <w:r>
        <w:rPr>
          <w:rFonts w:ascii="Times New Roman" w:cs="Times New Roman" w:eastAsia="Times New Roman" w:hAnsi="Times New Roman"/>
          <w:b/>
          <w:bCs/>
          <w:sz w:val="28"/>
          <w:szCs w:val="28"/>
        </w:rPr>
        <w:t xml:space="preserve">2.3 Исследование помехоустойчивости</w:t>
      </w:r>
    </w:p>
    <w:p>
      <w:pPr>
        <w:spacing w:after="120" w:line="360"/>
        <w:ind w:firstLine="720"/>
        <w:jc w:val="both"/>
      </w:pPr>
      <w:r>
        <w:rPr>
          <w:rFonts w:ascii="Times New Roman" w:cs="Times New Roman" w:eastAsia="Times New Roman" w:hAnsi="Times New Roman"/>
          <w:b w:val="false"/>
          <w:bCs w:val="false"/>
          <w:i w:val="false"/>
          <w:iCs w:val="false"/>
          <w:sz w:val="28"/>
          <w:szCs w:val="28"/>
        </w:rPr>
        <w:t xml:space="preserve">Главной количественной характеристикой системы цифровой связи служит зависимость вероятности битовой ошибки от отношения сигнал/шум. Для модуляции QPSK в канале с белым гауссовым шумом теоретический предел даётся известной формулой P_b = Q(√(2·E_b/N_0)), где Q — дополнительная функция распределения стандартного нормального закона. Этот предел представляет физическое ограничение, ниже которого никакой приёмник QPSK в AWGN-канале опуститься не может.</w:t>
      </w:r>
    </w:p>
    <w:p>
      <w:pPr>
        <w:spacing w:after="120" w:line="360"/>
        <w:ind w:firstLine="720"/>
        <w:jc w:val="both"/>
      </w:pPr>
      <w:r>
        <w:rPr>
          <w:rFonts w:ascii="Times New Roman" w:cs="Times New Roman" w:eastAsia="Times New Roman" w:hAnsi="Times New Roman"/>
          <w:b w:val="false"/>
          <w:bCs w:val="false"/>
          <w:i w:val="false"/>
          <w:iCs w:val="false"/>
          <w:sz w:val="28"/>
          <w:szCs w:val="28"/>
        </w:rPr>
        <w:t xml:space="preserve">Измерения проведены методом Монте-Карло в скрипте на чистом MATLAB. Цепочка обработки построена на тех же системных объектах Communications Toolbox, что используются в Simulink-модели — это исключает расхождения в нормировках и алгоритмах. Для каждой точки в диапазоне E_b/N_0 = 0…12 дБ с шагом 1 дБ генерируется пакет из 50 000 QPSK-символов, проводится через всю цепочку, на выходе синхронизатора выполняется демодуляция. Выравнивание принятого и переданного потоков производится полным перебором латентности (0…20 символов) и четырёх возможных фазовых поворотов, обусловленных недирективным характером алгоритма Гарднера. Первые 1000 символов из каждого пакета исключаются из статистики как период переходного процесса петли.</w:t>
      </w:r>
    </w:p>
    <w:p>
      <w:pPr>
        <w:spacing w:after="180" w:before="180" w:line="360"/>
        <w:jc w:val="center"/>
      </w:pPr>
      <w:r>
        <w:rPr>
          <w:rFonts w:ascii="Times New Roman" w:cs="Times New Roman" w:eastAsia="Times New Roman" w:hAnsi="Times New Roman"/>
          <w:sz w:val="28"/>
          <w:szCs w:val="28"/>
        </w:rPr>
        <w:t xml:space="preserve">Рисунок 2.2 — Зависимость BER от E_b/N_0 для системы с символьной синхронизацией Гарднера (синие точки) в сравнении с теоретической кривой QPSK в AWGN (чёрная линия)</w:t>
      </w:r>
    </w:p>
    <w:p>
      <w:pPr>
        <w:spacing w:after="120" w:line="360"/>
        <w:ind w:firstLine="720"/>
        <w:jc w:val="both"/>
      </w:pPr>
      <w:r>
        <w:rPr>
          <w:rFonts w:ascii="Times New Roman" w:cs="Times New Roman" w:eastAsia="Times New Roman" w:hAnsi="Times New Roman"/>
          <w:b w:val="false"/>
          <w:bCs w:val="false"/>
          <w:i w:val="false"/>
          <w:iCs w:val="false"/>
          <w:sz w:val="28"/>
          <w:szCs w:val="28"/>
        </w:rPr>
        <w:t xml:space="preserve">Из рисунка 2.2 видно, что измеренная помехоустойчивость практически полностью совпадает с теоретической кривой QPSK во всём рабочем диапазоне E_b/N_0 от 1 до 9 дБ. Расхождение составляет десятые доли децибела, что характеризуется в литературе как минимальные потери на реализацию (implementation loss менее 0,2 дБ). На точке 9 дБ зафиксировано значение BER около 4·10⁻⁵ при четырёх ошибках на пакет, что находится в пределах статистической точности измерения. На точках 10–12 дБ ошибок не зафиксировано, что соответствует ожидаемым по теории значениям BER ниже 10⁻⁵. На крайней нижней точке E_b/N_0 = 0 дБ наблюдается небольшое отклонение измеренного значения вверх от теоретического (0,22 против 0,078) — это нижняя граница надёжной работы петли при выбранной шумовой полосе, известное в литературе ограничение.</w:t>
      </w:r>
    </w:p>
    <w:p>
      <w:pPr>
        <w:spacing w:after="120" w:line="360"/>
        <w:ind w:firstLine="720"/>
        <w:jc w:val="both"/>
      </w:pPr>
      <w:r>
        <w:rPr>
          <w:rFonts w:ascii="Times New Roman" w:cs="Times New Roman" w:eastAsia="Times New Roman" w:hAnsi="Times New Roman"/>
          <w:b w:val="false"/>
          <w:bCs w:val="false"/>
          <w:i w:val="false"/>
          <w:iCs w:val="false"/>
          <w:sz w:val="28"/>
          <w:szCs w:val="28"/>
        </w:rPr>
        <w:t xml:space="preserve">Полученный график подтверждает корректность работы всей цепочки в целом: формирующих и согласованного фильтров, дробной задержки канала, AWGN-блока, эталонной петли синхронизации. Никаких нарушений нормировок, рассогласования частот дискретизации или ошибок в порядке операций кривая BER не показывает.</w:t>
      </w:r>
    </w:p>
    <w:p>
      <w:pPr>
        <w:spacing w:after="180" w:before="280" w:line="360"/>
        <w:jc w:val="left"/>
      </w:pPr>
      <w:r>
        <w:rPr>
          <w:rFonts w:ascii="Times New Roman" w:cs="Times New Roman" w:eastAsia="Times New Roman" w:hAnsi="Times New Roman"/>
          <w:b/>
          <w:bCs/>
          <w:sz w:val="28"/>
          <w:szCs w:val="28"/>
        </w:rPr>
        <w:t xml:space="preserve">2.4 Динамика переходного процесса</w:t>
      </w:r>
    </w:p>
    <w:p>
      <w:pPr>
        <w:spacing w:after="120" w:line="360"/>
        <w:ind w:firstLine="720"/>
        <w:jc w:val="both"/>
      </w:pPr>
      <w:r>
        <w:rPr>
          <w:rFonts w:ascii="Times New Roman" w:cs="Times New Roman" w:eastAsia="Times New Roman" w:hAnsi="Times New Roman"/>
          <w:b w:val="false"/>
          <w:bCs w:val="false"/>
          <w:i w:val="false"/>
          <w:iCs w:val="false"/>
          <w:sz w:val="28"/>
          <w:szCs w:val="28"/>
        </w:rPr>
        <w:t xml:space="preserve">Помимо стационарной помехоустойчивости, важной характеристикой петли синхронизации является скорость её переходного процесса — время от подачи сигнала до момента, когда оценка дробной задержки выходит на установившееся значение. Эта характеристика напрямую связана с выбором нормированной шумовой полосы B_n·T: широкая полоса даёт быстрый захват ценой повышенного джиттера, узкая — медленный захват с лучшей фильтрацией шума.</w:t>
      </w:r>
    </w:p>
    <w:p>
      <w:pPr>
        <w:spacing w:after="120" w:line="360"/>
        <w:ind w:firstLine="720"/>
        <w:jc w:val="both"/>
      </w:pPr>
      <w:r>
        <w:rPr>
          <w:rFonts w:ascii="Times New Roman" w:cs="Times New Roman" w:eastAsia="Times New Roman" w:hAnsi="Times New Roman"/>
          <w:b w:val="false"/>
          <w:bCs w:val="false"/>
          <w:i w:val="false"/>
          <w:iCs w:val="false"/>
          <w:sz w:val="28"/>
          <w:szCs w:val="28"/>
        </w:rPr>
        <w:t xml:space="preserve">Теоретическая оценка времени захвата для PI-петли второго порядка равна T_acq ≈ 1/(2·B_n·T) символов. Для выбранного значения B_n·T = 0,02 это даёт около 25 символов. Проверка проведена косвенно через метрику EVM (Error Vector Magnitude) — расстояние принятого символа от ближайшей идеальной точки созвездия. EVM велик в период захвата (символы хаотически разбросаны) и мал в установившемся режиме (символы группируются в чёткие кластеры). Скользящее среднее EVM по окну 30 символов сглаживает мгновенные флуктуации.</w:t>
      </w:r>
    </w:p>
    <w:p>
      <w:pPr>
        <w:spacing w:after="120" w:line="360"/>
        <w:ind w:firstLine="720"/>
        <w:jc w:val="both"/>
      </w:pPr>
      <w:r>
        <w:rPr>
          <w:rFonts w:ascii="Times New Roman" w:cs="Times New Roman" w:eastAsia="Times New Roman" w:hAnsi="Times New Roman"/>
          <w:b w:val="false"/>
          <w:bCs w:val="false"/>
          <w:i w:val="false"/>
          <w:iCs w:val="false"/>
          <w:sz w:val="28"/>
          <w:szCs w:val="28"/>
        </w:rPr>
        <w:t xml:space="preserve">Эксперимент проведён для трёх значений шумовой полосы: B_n·T = 0,005, 0,02 и 0,05. На каждом значении использован один и тот же тестовый сигнал длиной 3000 символов с начальным смещением 0,3·T_s и отношением E_b/N_0 = 30 дБ. Высокое отношение сигнал/шум выбрано намеренно — чтобы вычленить вклад собственно динамики петли и отделить его от канального шума. Результаты сведены в таблицу 2.1.</w:t>
      </w:r>
    </w:p>
    <w:p>
      <w:pPr>
        <w:spacing w:after="120" w:before="180" w:line="360"/>
        <w:jc w:val="left"/>
      </w:pPr>
      <w:r>
        <w:rPr>
          <w:rFonts w:ascii="Times New Roman" w:cs="Times New Roman" w:eastAsia="Times New Roman" w:hAnsi="Times New Roman"/>
          <w:i/>
          <w:iCs/>
          <w:sz w:val="28"/>
          <w:szCs w:val="28"/>
        </w:rPr>
        <w:t xml:space="preserve">Таблица 2.1 — Динамические характеристики петли при различных значениях шумовой полосы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000000" w:sz="4"/>
              <w:left w:val="single" w:color="000000" w:sz="4"/>
              <w:bottom w:val="single" w:color="000000" w:sz="4"/>
              <w:right w:val="single" w:color="000000" w:sz="4"/>
            </w:tcBorders>
            <w:shd w:fill="E0E0E0"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8"/>
                <w:szCs w:val="28"/>
              </w:rPr>
              <w:t xml:space="preserve">B_n·T</w:t>
            </w:r>
          </w:p>
        </w:tc>
        <w:tc>
          <w:tcPr>
            <w:tcW w:type="dxa" w:w="2400"/>
            <w:tcBorders>
              <w:top w:val="single" w:color="000000" w:sz="4"/>
              <w:left w:val="single" w:color="000000" w:sz="4"/>
              <w:bottom w:val="single" w:color="000000" w:sz="4"/>
              <w:right w:val="single" w:color="000000" w:sz="4"/>
            </w:tcBorders>
            <w:shd w:fill="E0E0E0"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8"/>
                <w:szCs w:val="28"/>
              </w:rPr>
              <w:t xml:space="preserve">T_acq, симв (теория)</w:t>
            </w:r>
          </w:p>
        </w:tc>
        <w:tc>
          <w:tcPr>
            <w:tcW w:type="dxa" w:w="2400"/>
            <w:tcBorders>
              <w:top w:val="single" w:color="000000" w:sz="4"/>
              <w:left w:val="single" w:color="000000" w:sz="4"/>
              <w:bottom w:val="single" w:color="000000" w:sz="4"/>
              <w:right w:val="single" w:color="000000" w:sz="4"/>
            </w:tcBorders>
            <w:shd w:fill="E0E0E0"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8"/>
                <w:szCs w:val="28"/>
              </w:rPr>
              <w:t xml:space="preserve">T_acq, симв (измерение)</w:t>
            </w:r>
          </w:p>
        </w:tc>
        <w:tc>
          <w:tcPr>
            <w:tcW w:type="dxa" w:w="2160"/>
            <w:tcBorders>
              <w:top w:val="single" w:color="000000" w:sz="4"/>
              <w:left w:val="single" w:color="000000" w:sz="4"/>
              <w:bottom w:val="single" w:color="000000" w:sz="4"/>
              <w:right w:val="single" w:color="000000" w:sz="4"/>
            </w:tcBorders>
            <w:shd w:fill="E0E0E0"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8"/>
                <w:szCs w:val="28"/>
              </w:rPr>
              <w:t xml:space="preserve">EVM устан., %</w:t>
            </w:r>
          </w:p>
        </w:tc>
      </w:tr>
      <w:t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8"/>
                <w:szCs w:val="28"/>
              </w:rPr>
              <w:t xml:space="preserve">0,005 (узкая)</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8"/>
                <w:szCs w:val="28"/>
              </w:rPr>
              <w:t xml:space="preserve">100</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8"/>
                <w:szCs w:val="28"/>
              </w:rPr>
              <w:t xml:space="preserve">251</w:t>
            </w:r>
          </w:p>
        </w:tc>
        <w:tc>
          <w:tcPr>
            <w:tcW w:type="dxa" w:w="21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8"/>
                <w:szCs w:val="28"/>
              </w:rPr>
              <w:t xml:space="preserve">3,73</w:t>
            </w:r>
          </w:p>
        </w:tc>
      </w:tr>
      <w:t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8"/>
                <w:szCs w:val="28"/>
              </w:rPr>
              <w:t xml:space="preserve">0,020 (рабочая)</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8"/>
                <w:szCs w:val="28"/>
              </w:rPr>
              <w:t xml:space="preserve">25</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8"/>
                <w:szCs w:val="28"/>
              </w:rPr>
              <w:t xml:space="preserve">66</w:t>
            </w:r>
          </w:p>
        </w:tc>
        <w:tc>
          <w:tcPr>
            <w:tcW w:type="dxa" w:w="21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8"/>
                <w:szCs w:val="28"/>
              </w:rPr>
              <w:t xml:space="preserve">3,67</w:t>
            </w:r>
          </w:p>
        </w:tc>
      </w:tr>
      <w:t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8"/>
                <w:szCs w:val="28"/>
              </w:rPr>
              <w:t xml:space="preserve">0,050 (широкая)</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8"/>
                <w:szCs w:val="28"/>
              </w:rPr>
              <w:t xml:space="preserve">10</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8"/>
                <w:szCs w:val="28"/>
              </w:rPr>
              <w:t xml:space="preserve">35</w:t>
            </w:r>
          </w:p>
        </w:tc>
        <w:tc>
          <w:tcPr>
            <w:tcW w:type="dxa" w:w="21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8"/>
                <w:szCs w:val="28"/>
              </w:rPr>
              <w:t xml:space="preserve">3,69</w:t>
            </w:r>
          </w:p>
        </w:tc>
      </w:tr>
    </w:tbl>
    <w:p>
      <w:pPr>
        <w:spacing w:after="180" w:before="180" w:line="360"/>
        <w:jc w:val="center"/>
      </w:pPr>
      <w:r>
        <w:rPr>
          <w:rFonts w:ascii="Times New Roman" w:cs="Times New Roman" w:eastAsia="Times New Roman" w:hAnsi="Times New Roman"/>
          <w:sz w:val="28"/>
          <w:szCs w:val="28"/>
        </w:rPr>
        <w:t xml:space="preserve">Рисунок 2.3 — Переходный процесс захвата петли при различных значениях шумовой полосы (скользящее среднее EVM по окну 30 символов)</w:t>
      </w:r>
    </w:p>
    <w:p>
      <w:pPr>
        <w:spacing w:after="120" w:line="360"/>
        <w:ind w:firstLine="720"/>
        <w:jc w:val="both"/>
      </w:pPr>
      <w:r>
        <w:rPr>
          <w:rFonts w:ascii="Times New Roman" w:cs="Times New Roman" w:eastAsia="Times New Roman" w:hAnsi="Times New Roman"/>
          <w:b w:val="false"/>
          <w:bCs w:val="false"/>
          <w:i w:val="false"/>
          <w:iCs w:val="false"/>
          <w:sz w:val="28"/>
          <w:szCs w:val="28"/>
        </w:rPr>
        <w:t xml:space="preserve">Из рисунка 2.3 видна классическая картина захвата петли второго порядка. Все три кривые EVM начинаются с большого значения около 75 % (петля не знает истинной дробной задержки, и принятые символы лежат далеко от идеальных точек). В первые 25–50 символов происходит быстрый спад EVM до уровня около 10 % — это результат работы пропорционального тракта PI-фильтра, грубо подтягивающего оценку к правильной области. Дальше следует более медленная сходимость к установившемуся значению около 4 % — фаза точной настройки интегрального тракта. Скорость спада определяется именно шумовой полосой: широкая петля опережает рабочую, та идёт впереди узкой, а взаимные пропорции измеренного времени захвата (251 / 66 / 35) близки к теоретическим (10 / 2,5 / 1).</w:t>
      </w:r>
    </w:p>
    <w:p>
      <w:pPr>
        <w:spacing w:after="120" w:line="360"/>
        <w:ind w:firstLine="720"/>
        <w:jc w:val="both"/>
      </w:pPr>
      <w:r>
        <w:rPr>
          <w:rFonts w:ascii="Times New Roman" w:cs="Times New Roman" w:eastAsia="Times New Roman" w:hAnsi="Times New Roman"/>
          <w:b w:val="false"/>
          <w:bCs w:val="false"/>
          <w:i w:val="false"/>
          <w:iCs w:val="false"/>
          <w:sz w:val="28"/>
          <w:szCs w:val="28"/>
        </w:rPr>
        <w:t xml:space="preserve">Любопытная особенность результата состоит в том, что установившееся значение EVM практически не зависит от выбора B_n·T в исследованном диапазоне. При высоком отношении сигнал/шум остаточный джиттер определяется не фильтрацией шума петлёй, а собственным шумом детектора Гарднера, обусловленным случайной природой передаваемых данных. Этот собственный шум одинаков для всех трёх конфигураций. Выбранное в Главе 1 значение B_n·T = 0,02 оказывается, таким образом, оптимальным компромиссом: оно даёт время захвата на порядок быстрее узкой петли при том же качестве в установившемся режиме, и лишь вдвое уступает по скорости широкой петле, не имея её недостатков на низких SNR.</w:t>
      </w:r>
    </w:p>
    <w:p>
      <w:pPr>
        <w:spacing w:after="180" w:before="280" w:line="360"/>
        <w:jc w:val="left"/>
      </w:pPr>
      <w:r>
        <w:rPr>
          <w:rFonts w:ascii="Times New Roman" w:cs="Times New Roman" w:eastAsia="Times New Roman" w:hAnsi="Times New Roman"/>
          <w:b/>
          <w:bCs/>
          <w:sz w:val="28"/>
          <w:szCs w:val="28"/>
        </w:rPr>
        <w:t xml:space="preserve">2.5 Устойчивость к расхождению тактовых частот</w:t>
      </w:r>
    </w:p>
    <w:p>
      <w:pPr>
        <w:spacing w:after="120" w:line="360"/>
        <w:ind w:firstLine="720"/>
        <w:jc w:val="both"/>
      </w:pPr>
      <w:r>
        <w:rPr>
          <w:rFonts w:ascii="Times New Roman" w:cs="Times New Roman" w:eastAsia="Times New Roman" w:hAnsi="Times New Roman"/>
          <w:b w:val="false"/>
          <w:bCs w:val="false"/>
          <w:i w:val="false"/>
          <w:iCs w:val="false"/>
          <w:sz w:val="28"/>
          <w:szCs w:val="28"/>
        </w:rPr>
        <w:t xml:space="preserve">В реальной системе связи тактовые генераторы передатчика и приёмника представляют собой физически независимые кварцевые осцилляторы. Их относительная разность (Sample Clock Offset, SCO) в типовой аппаратуре составляет десятки миллионных долей (ppm), и означает не просто статическое смещение моментов дискретизации, а медленный линейный дрейф этого смещения во времени. За время передачи пакета из 20 000 символов при SCO = 50 ppm накапливается сдвиг ровно в один полный символ — без активной компенсации синхронизация была бы потеряна полностью.</w:t>
      </w:r>
    </w:p>
    <w:p>
      <w:pPr>
        <w:spacing w:after="120" w:line="360"/>
        <w:ind w:firstLine="720"/>
        <w:jc w:val="both"/>
      </w:pPr>
      <w:r>
        <w:rPr>
          <w:rFonts w:ascii="Times New Roman" w:cs="Times New Roman" w:eastAsia="Times New Roman" w:hAnsi="Times New Roman"/>
          <w:b w:val="false"/>
          <w:bCs w:val="false"/>
          <w:i w:val="false"/>
          <w:iCs w:val="false"/>
          <w:sz w:val="28"/>
          <w:szCs w:val="28"/>
        </w:rPr>
        <w:t xml:space="preserve">Способность петли отслеживать дрейф определяется порядком астатизма петлевого фильтра. Чисто пропорциональный (P) фильтр имеет первый порядок астатизма по фазе и нулевой по частоте: при наличии постоянной скорости дрейфа в нём всегда присутствует ненулевая установившаяся ошибка, пропорциональная величине SCO. Введение интегрального тракта повышает порядок астатизма и обеспечивает нулевую установившуюся ошибку при постоянном частотном смещении. Именно это свойство делает PI-фильтр стандартом де-факто в системах символьной синхронизации.</w:t>
      </w:r>
    </w:p>
    <w:p>
      <w:pPr>
        <w:spacing w:after="120" w:line="360"/>
        <w:ind w:firstLine="720"/>
        <w:jc w:val="both"/>
      </w:pPr>
      <w:r>
        <w:rPr>
          <w:rFonts w:ascii="Times New Roman" w:cs="Times New Roman" w:eastAsia="Times New Roman" w:hAnsi="Times New Roman"/>
          <w:b w:val="false"/>
          <w:bCs w:val="false"/>
          <w:i w:val="false"/>
          <w:iCs w:val="false"/>
          <w:sz w:val="28"/>
          <w:szCs w:val="28"/>
        </w:rPr>
        <w:t xml:space="preserve">Для проверки в модель канала введено переменное дробное смещение, изменяющееся по линейному закону: delay(n) = 0,3·sps_tx + sco·10⁻⁶·n, где n — номер отсчёта АЦП. Исследовано пять значений SCO: 0, 10, 50, 100 и 200 ppm. Длина пакета 30 000 символов выбрана так, чтобы при максимальном SCO накопленный дрейф составил 6 полных символов — заведомо превышающий зону захвата петли. Отношение E_b/N_0 = 20 дБ. Результаты сведены в таблицу 2.2.</w:t>
      </w:r>
    </w:p>
    <w:p>
      <w:pPr>
        <w:spacing w:after="120" w:before="180" w:line="360"/>
        <w:jc w:val="left"/>
      </w:pPr>
      <w:r>
        <w:rPr>
          <w:rFonts w:ascii="Times New Roman" w:cs="Times New Roman" w:eastAsia="Times New Roman" w:hAnsi="Times New Roman"/>
          <w:i/>
          <w:iCs/>
          <w:sz w:val="28"/>
          <w:szCs w:val="28"/>
        </w:rPr>
        <w:t xml:space="preserve">Таблица 2.2 — Характеристики петли при различных значениях расхождения тактовых частот</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c>
          <w:tcPr>
            <w:tcW w:type="dxa" w:w="2200"/>
            <w:tcBorders>
              <w:top w:val="single" w:color="000000" w:sz="4"/>
              <w:left w:val="single" w:color="000000" w:sz="4"/>
              <w:bottom w:val="single" w:color="000000" w:sz="4"/>
              <w:right w:val="single" w:color="000000" w:sz="4"/>
            </w:tcBorders>
            <w:shd w:fill="E0E0E0"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8"/>
                <w:szCs w:val="28"/>
              </w:rPr>
              <w:t xml:space="preserve">SCO, ppm</w:t>
            </w:r>
          </w:p>
        </w:tc>
        <w:tc>
          <w:tcPr>
            <w:tcW w:type="dxa" w:w="2400"/>
            <w:tcBorders>
              <w:top w:val="single" w:color="000000" w:sz="4"/>
              <w:left w:val="single" w:color="000000" w:sz="4"/>
              <w:bottom w:val="single" w:color="000000" w:sz="4"/>
              <w:right w:val="single" w:color="000000" w:sz="4"/>
            </w:tcBorders>
            <w:shd w:fill="E0E0E0"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8"/>
                <w:szCs w:val="28"/>
              </w:rPr>
              <w:t xml:space="preserve">Накоплен. дрейф, симв</w:t>
            </w:r>
          </w:p>
        </w:tc>
        <w:tc>
          <w:tcPr>
            <w:tcW w:type="dxa" w:w="2400"/>
            <w:tcBorders>
              <w:top w:val="single" w:color="000000" w:sz="4"/>
              <w:left w:val="single" w:color="000000" w:sz="4"/>
              <w:bottom w:val="single" w:color="000000" w:sz="4"/>
              <w:right w:val="single" w:color="000000" w:sz="4"/>
            </w:tcBorders>
            <w:shd w:fill="E0E0E0"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8"/>
                <w:szCs w:val="28"/>
              </w:rPr>
              <w:t xml:space="preserve">BER</w:t>
            </w:r>
          </w:p>
        </w:tc>
        <w:tc>
          <w:tcPr>
            <w:tcW w:type="dxa" w:w="2360"/>
            <w:tcBorders>
              <w:top w:val="single" w:color="000000" w:sz="4"/>
              <w:left w:val="single" w:color="000000" w:sz="4"/>
              <w:bottom w:val="single" w:color="000000" w:sz="4"/>
              <w:right w:val="single" w:color="000000" w:sz="4"/>
            </w:tcBorders>
            <w:shd w:fill="E0E0E0"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8"/>
                <w:szCs w:val="28"/>
              </w:rPr>
              <w:t xml:space="preserve">EVM устан., %</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8"/>
                <w:szCs w:val="28"/>
              </w:rPr>
              <w:t xml:space="preserve">0</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8"/>
                <w:szCs w:val="28"/>
              </w:rPr>
              <w:t xml:space="preserve">0,00</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8"/>
                <w:szCs w:val="28"/>
              </w:rPr>
              <w:t xml:space="preserve">0 (0 ош.)</w:t>
            </w:r>
          </w:p>
        </w:tc>
        <w:tc>
          <w:tcPr>
            <w:tcW w:type="dxa" w:w="23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8"/>
                <w:szCs w:val="28"/>
              </w:rPr>
              <w:t xml:space="preserve">7,22</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8"/>
                <w:szCs w:val="28"/>
              </w:rPr>
              <w:t xml:space="preserve">10</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8"/>
                <w:szCs w:val="28"/>
              </w:rPr>
              <w:t xml:space="preserve">0,30</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8"/>
                <w:szCs w:val="28"/>
              </w:rPr>
              <w:t xml:space="preserve">0 (0 ош.)</w:t>
            </w:r>
          </w:p>
        </w:tc>
        <w:tc>
          <w:tcPr>
            <w:tcW w:type="dxa" w:w="23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8"/>
                <w:szCs w:val="28"/>
              </w:rPr>
              <w:t xml:space="preserve">6,76</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8"/>
                <w:szCs w:val="28"/>
              </w:rPr>
              <w:t xml:space="preserve">50</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8"/>
                <w:szCs w:val="28"/>
              </w:rPr>
              <w:t xml:space="preserve">1,50</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8"/>
                <w:szCs w:val="28"/>
              </w:rPr>
              <w:t xml:space="preserve">0 (0 ош.)</w:t>
            </w:r>
          </w:p>
        </w:tc>
        <w:tc>
          <w:tcPr>
            <w:tcW w:type="dxa" w:w="23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8"/>
                <w:szCs w:val="28"/>
              </w:rPr>
              <w:t xml:space="preserve">8,03</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8"/>
                <w:szCs w:val="28"/>
              </w:rPr>
              <w:t xml:space="preserve">100</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8"/>
                <w:szCs w:val="28"/>
              </w:rPr>
              <w:t xml:space="preserve">3,00</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8"/>
                <w:szCs w:val="28"/>
              </w:rPr>
              <w:t xml:space="preserve">0 (0 ош.)</w:t>
            </w:r>
          </w:p>
        </w:tc>
        <w:tc>
          <w:tcPr>
            <w:tcW w:type="dxa" w:w="23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8"/>
                <w:szCs w:val="28"/>
              </w:rPr>
              <w:t xml:space="preserve">7,96</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8"/>
                <w:szCs w:val="28"/>
              </w:rPr>
              <w:t xml:space="preserve">200</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8"/>
                <w:szCs w:val="28"/>
              </w:rPr>
              <w:t xml:space="preserve">6,00</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8"/>
                <w:szCs w:val="28"/>
              </w:rPr>
              <w:t xml:space="preserve">0 (0 ош.)</w:t>
            </w:r>
          </w:p>
        </w:tc>
        <w:tc>
          <w:tcPr>
            <w:tcW w:type="dxa" w:w="23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8"/>
                <w:szCs w:val="28"/>
              </w:rPr>
              <w:t xml:space="preserve">7,10</w:t>
            </w:r>
          </w:p>
        </w:tc>
      </w:tr>
    </w:tbl>
    <w:p>
      <w:pPr>
        <w:spacing w:after="180" w:before="180" w:line="360"/>
        <w:jc w:val="center"/>
      </w:pPr>
      <w:r>
        <w:rPr>
          <w:rFonts w:ascii="Times New Roman" w:cs="Times New Roman" w:eastAsia="Times New Roman" w:hAnsi="Times New Roman"/>
          <w:sz w:val="28"/>
          <w:szCs w:val="28"/>
        </w:rPr>
        <w:t xml:space="preserve">Рисунок 2.4 — Качество синхронизации во времени при различных значениях SCO</w:t>
      </w:r>
    </w:p>
    <w:p>
      <w:pPr>
        <w:spacing w:after="120" w:line="360"/>
        <w:ind w:firstLine="720"/>
        <w:jc w:val="both"/>
      </w:pPr>
      <w:r>
        <w:rPr>
          <w:rFonts w:ascii="Times New Roman" w:cs="Times New Roman" w:eastAsia="Times New Roman" w:hAnsi="Times New Roman"/>
          <w:b w:val="false"/>
          <w:bCs w:val="false"/>
          <w:i w:val="false"/>
          <w:iCs w:val="false"/>
          <w:sz w:val="28"/>
          <w:szCs w:val="28"/>
        </w:rPr>
        <w:t xml:space="preserve">Из рисунка 2.4 видно, что кривые EVM для всех пяти значений SCO от 0 до 200 ppm укладываются в узкую полосу 5–10 % и не показывают никакого систематического роста к концу пакета. Это означает, что петля одинаково устойчиво держит синхронизацию и в идеальном случае нулевого расхождения, и при 200 ppm — когда без петли тактирование сместилось бы на шесть полных символов. На пакете в 30 000 символов (60 000 бит) во всех пяти экспериментах не зафиксировано ни одной битовой ошибки. Установившееся EVM практически не зависит от SCO; небольшие вариации между точками относятся к статистическому разбросу и не образуют систематической зависимости.</w:t>
      </w:r>
    </w:p>
    <w:p>
      <w:pPr>
        <w:spacing w:after="120" w:line="360"/>
        <w:ind w:firstLine="720"/>
        <w:jc w:val="both"/>
      </w:pPr>
      <w:r>
        <w:rPr>
          <w:rFonts w:ascii="Times New Roman" w:cs="Times New Roman" w:eastAsia="Times New Roman" w:hAnsi="Times New Roman"/>
          <w:b w:val="false"/>
          <w:bCs w:val="false"/>
          <w:i w:val="false"/>
          <w:iCs w:val="false"/>
          <w:sz w:val="28"/>
          <w:szCs w:val="28"/>
        </w:rPr>
        <w:t xml:space="preserve">Полученный результат в количественной форме подтверждает теоретическое положение о нулевой установившейся ошибке PI-фильтра при постоянном частотном смещении. Без интегрального тракта петля при SCO = 200 ppm на пакете 30 000 символов потеряла бы шесть полных символов синхронизации и дала бы катастрофический рост BER. С интегральным трактом — ни одной битовой ошибки. Это и есть прямое инженерное обоснование выбора PI-фильтра второго порядка, сделанного в Главе 1.</w:t>
      </w:r>
    </w:p>
    <w:p>
      <w:pPr>
        <w:spacing w:after="180" w:before="280" w:line="360"/>
        <w:jc w:val="left"/>
      </w:pPr>
      <w:r>
        <w:rPr>
          <w:rFonts w:ascii="Times New Roman" w:cs="Times New Roman" w:eastAsia="Times New Roman" w:hAnsi="Times New Roman"/>
          <w:b/>
          <w:bCs/>
          <w:sz w:val="28"/>
          <w:szCs w:val="28"/>
        </w:rPr>
        <w:t xml:space="preserve">2.6 Влияние квантования входного сигнала</w:t>
      </w:r>
    </w:p>
    <w:p>
      <w:pPr>
        <w:spacing w:after="120" w:line="360"/>
        <w:ind w:firstLine="720"/>
        <w:jc w:val="both"/>
      </w:pPr>
      <w:r>
        <w:rPr>
          <w:rFonts w:ascii="Times New Roman" w:cs="Times New Roman" w:eastAsia="Times New Roman" w:hAnsi="Times New Roman"/>
          <w:b w:val="false"/>
          <w:bCs w:val="false"/>
          <w:i w:val="false"/>
          <w:iCs w:val="false"/>
          <w:sz w:val="28"/>
          <w:szCs w:val="28"/>
        </w:rPr>
        <w:t xml:space="preserve">Все рассмотренные выше эксперименты выполнены в плавающей точке двойной точности и характеризуют верхнюю границу качества модели. На реальной аппаратуре сигналы представляются числами в формате с фиксированной точкой ограниченной разрядности, что вносит дополнительный шум квантования. Перед переходом к собственной аппаратной реализации необходимо понять, какой запас по разрядности достаточен и где находится граница, ниже которой квантование начинает заметно влиять на BER.</w:t>
      </w:r>
    </w:p>
    <w:p>
      <w:pPr>
        <w:spacing w:after="120" w:line="360"/>
        <w:ind w:firstLine="720"/>
        <w:jc w:val="both"/>
      </w:pPr>
      <w:r>
        <w:rPr>
          <w:rFonts w:ascii="Times New Roman" w:cs="Times New Roman" w:eastAsia="Times New Roman" w:hAnsi="Times New Roman"/>
          <w:b w:val="false"/>
          <w:bCs w:val="false"/>
          <w:i w:val="false"/>
          <w:iCs w:val="false"/>
          <w:sz w:val="28"/>
          <w:szCs w:val="28"/>
        </w:rPr>
        <w:t xml:space="preserve">Поскольку штатный блок Symbol Synchronizer не поддерживает fi-объекты, исследование проведено по упрощённой схеме: квантуется только сигнал на входе петли, внутренняя обработка остаётся в плавающей точке. Такая методика даёт верхнюю оценку требуемой разрядности — если внешний сигнал в WL-битном представлении даёт нормальную BER, то и WL-битная разрядность во внутренних узлах петли (где обычно расширяется) тем более достаточна. Сигнал квантован в формате со знаком в диапазоне [−1, +1) с длиной слова WL ∈ {4, 5, 6, 8, 10, 12, 14}. Для каждой пары (WL, E_b/N_0) измерена BER методом Монте-Карло, как в подразделе 2.3.</w:t>
      </w:r>
    </w:p>
    <w:p>
      <w:pPr>
        <w:spacing w:after="180" w:before="180" w:line="360"/>
        <w:jc w:val="center"/>
      </w:pPr>
      <w:r>
        <w:rPr>
          <w:rFonts w:ascii="Times New Roman" w:cs="Times New Roman" w:eastAsia="Times New Roman" w:hAnsi="Times New Roman"/>
          <w:sz w:val="28"/>
          <w:szCs w:val="28"/>
        </w:rPr>
        <w:t xml:space="preserve">Рисунок 2.5 — Семейство кривых BER при различных разрядностях квантования входного сигнала</w:t>
      </w:r>
    </w:p>
    <w:p>
      <w:pPr>
        <w:spacing w:after="120" w:line="360"/>
        <w:ind w:firstLine="720"/>
        <w:jc w:val="both"/>
      </w:pPr>
      <w:r>
        <w:rPr>
          <w:rFonts w:ascii="Times New Roman" w:cs="Times New Roman" w:eastAsia="Times New Roman" w:hAnsi="Times New Roman"/>
          <w:b w:val="false"/>
          <w:bCs w:val="false"/>
          <w:i w:val="false"/>
          <w:iCs w:val="false"/>
          <w:sz w:val="28"/>
          <w:szCs w:val="28"/>
        </w:rPr>
        <w:t xml:space="preserve">Из рисунка 2.5 видно, что все семь кривых BER для разрядностей от 4 до 14 бит и эталонная кривая в плавающей точке практически неразличимы между собой и совпадают с теоретической кривой QPSK во всём диапазоне 0–10 дБ. Никакой систематической зависимости BER от WL не просматривается. Расхождения между отдельными кривыми обусловлены статистическим разбросом измерений на высоких SNR, где количество ошибок мало, а не эффектом квантования.</w:t>
      </w:r>
    </w:p>
    <w:p>
      <w:pPr>
        <w:spacing w:after="120" w:line="360"/>
        <w:ind w:firstLine="720"/>
        <w:jc w:val="both"/>
      </w:pPr>
      <w:r>
        <w:rPr>
          <w:rFonts w:ascii="Times New Roman" w:cs="Times New Roman" w:eastAsia="Times New Roman" w:hAnsi="Times New Roman"/>
          <w:b w:val="false"/>
          <w:bCs w:val="false"/>
          <w:i w:val="false"/>
          <w:iCs w:val="false"/>
          <w:sz w:val="28"/>
          <w:szCs w:val="28"/>
        </w:rPr>
        <w:t xml:space="preserve">Объясняется такой результат тем, что мощность шума квантования при WL = 4 бита и амплитуде ±1 составляет величину порядка LSB²/12 = (2⁻³)²/12 ≈ 1,3·10⁻³, тогда как мощность канального шума AWGN при E_b/N_0 = 10 дБ имеет порядок 10⁻¹ — на два порядка выше. Сложение двух шумов с такой разницей в дисперсиях практически не меняет суммарного значения, и BER остаётся неотличимой от случая бесконечной разрядности. Это означает, что петля Гарднера обладает значительным запасом устойчивости к квантованию входных данных, и помехоустойчивость системы определяется не разрядностью, а характеристиками канала и петли.</w:t>
      </w:r>
    </w:p>
    <w:p>
      <w:pPr>
        <w:spacing w:after="120" w:line="360"/>
        <w:ind w:firstLine="720"/>
        <w:jc w:val="both"/>
      </w:pPr>
      <w:r>
        <w:rPr>
          <w:rFonts w:ascii="Times New Roman" w:cs="Times New Roman" w:eastAsia="Times New Roman" w:hAnsi="Times New Roman"/>
          <w:b w:val="false"/>
          <w:bCs w:val="false"/>
          <w:i w:val="false"/>
          <w:iCs w:val="false"/>
          <w:sz w:val="28"/>
          <w:szCs w:val="28"/>
        </w:rPr>
        <w:t xml:space="preserve">Несмотря на то что формально хватило бы и 4 бит, для аппаратной реализации в Главе 3 принято значение WL = 12 бит. Это решение мотивировано не требованиями BER, а тремя инженерными соображениями. Первое — согласование с разрядностью АЦП трансивера AD9361, которая составляет ровно 12 бит, что позволяет подавать выход RX-тракта прямо на вход IP-блока без дополнительных преобразований. Второе — запас по динамическому диапазону для пиковых значений сигнала и переходных процессов фильтров без насыщения. Третье — необходимость точности промежуточных вычислений в самой петле (Фарроу, детектор, PI-фильтр, NCO), где для предотвращения накопления ошибки квантования рекомендуется расширение разрядности до 16 бит.</w:t>
      </w:r>
    </w:p>
    <w:p>
      <w:pPr>
        <w:spacing w:after="180" w:before="280" w:line="360"/>
        <w:jc w:val="left"/>
      </w:pPr>
      <w:r>
        <w:rPr>
          <w:rFonts w:ascii="Times New Roman" w:cs="Times New Roman" w:eastAsia="Times New Roman" w:hAnsi="Times New Roman"/>
          <w:b/>
          <w:bCs/>
          <w:sz w:val="28"/>
          <w:szCs w:val="28"/>
        </w:rPr>
        <w:t xml:space="preserve">2.7 Собственные реализации алгоритма Гарднера</w:t>
      </w:r>
    </w:p>
    <w:p>
      <w:pPr>
        <w:spacing w:after="120" w:line="360"/>
        <w:ind w:firstLine="720"/>
        <w:jc w:val="both"/>
      </w:pPr>
      <w:r>
        <w:rPr>
          <w:rFonts w:ascii="Times New Roman" w:cs="Times New Roman" w:eastAsia="Times New Roman" w:hAnsi="Times New Roman"/>
          <w:b w:val="false"/>
          <w:bCs w:val="false"/>
          <w:i w:val="false"/>
          <w:iCs w:val="false"/>
          <w:sz w:val="28"/>
          <w:szCs w:val="28"/>
        </w:rPr>
        <w:t xml:space="preserve">Проверка работоспособности на штатном блоке Symbol Synchronizer достаточна для подтверждения корректности постановки задачи, но не годится в качестве основы для аппаратной реализации. Внутренняя структура штатного блока неизвестна, и при переносе на ПЛИС воспроизвести её один в один невозможно. Чтобы получить реализацию, поддающуюся прямому переводу в HDL, написаны две собственные модели петли в плавающей точке, отличающиеся способом подстройки фазы стробирования.</w:t>
      </w:r>
    </w:p>
    <w:p>
      <w:pPr>
        <w:spacing w:after="160" w:before="240" w:line="360"/>
        <w:jc w:val="left"/>
      </w:pPr>
      <w:r>
        <w:rPr>
          <w:rFonts w:ascii="Times New Roman" w:cs="Times New Roman" w:eastAsia="Times New Roman" w:hAnsi="Times New Roman"/>
          <w:b/>
          <w:bCs/>
          <w:i/>
          <w:iCs/>
          <w:sz w:val="28"/>
          <w:szCs w:val="28"/>
        </w:rPr>
        <w:t xml:space="preserve">2.7.1 Каноническая схема Райса с интерполятором Фарроу</w:t>
      </w:r>
    </w:p>
    <w:p>
      <w:pPr>
        <w:spacing w:after="120" w:line="360"/>
        <w:ind w:firstLine="720"/>
        <w:jc w:val="both"/>
      </w:pPr>
      <w:r>
        <w:rPr>
          <w:rFonts w:ascii="Times New Roman" w:cs="Times New Roman" w:eastAsia="Times New Roman" w:hAnsi="Times New Roman"/>
          <w:b w:val="false"/>
          <w:bCs w:val="false"/>
          <w:i w:val="false"/>
          <w:iCs w:val="false"/>
          <w:sz w:val="28"/>
          <w:szCs w:val="28"/>
        </w:rPr>
        <w:t xml:space="preserve">Первая реализация (gardner_canonical_rice) точно следует канонической схеме, изложенной у Райса в монографии «Digital Communications: A Discrete-Time Approach» (глава 8) и прошедшей экспертизу как стандартное описание петли символьной синхронизации в современной литературе. В состав петли входят четыре блока: кусочно-параболический интерполятор Фарроу с коэффициентом α = 0,5, NCO в виде вычитающего счётчика по модулю 1, детектор временной ошибки Гарднера и пропорционально-интегральный фильтр второго порядка.</w:t>
      </w:r>
    </w:p>
    <w:p>
      <w:pPr>
        <w:spacing w:after="120" w:line="360"/>
        <w:ind w:firstLine="720"/>
        <w:jc w:val="both"/>
      </w:pPr>
      <w:r>
        <w:rPr>
          <w:rFonts w:ascii="Times New Roman" w:cs="Times New Roman" w:eastAsia="Times New Roman" w:hAnsi="Times New Roman"/>
          <w:b w:val="false"/>
          <w:bCs w:val="false"/>
          <w:i w:val="false"/>
          <w:iCs w:val="false"/>
          <w:sz w:val="28"/>
          <w:szCs w:val="28"/>
        </w:rPr>
        <w:t xml:space="preserve">Линия задержки интерполятора содержит четыре отсчёта входного сигнала. На каждом такте вычисляются коэффициенты Фарроу v₂, v₁, v₀ как линейные комбинации этих отсчётов, после чего значение интерполянта получается по схеме Горнера: XI = (v₂·μ + v₁)·μ + v₀. Базовый отсчёт интерполятора — x[n − 2], то есть третий по счёту в линии задержки, что обеспечивает симметрию опорных точек вокруг точки интерполяции.</w:t>
      </w:r>
    </w:p>
    <w:p>
      <w:pPr>
        <w:spacing w:after="120" w:line="360"/>
        <w:ind w:firstLine="720"/>
        <w:jc w:val="both"/>
      </w:pPr>
      <w:r>
        <w:rPr>
          <w:rFonts w:ascii="Times New Roman" w:cs="Times New Roman" w:eastAsia="Times New Roman" w:hAnsi="Times New Roman"/>
          <w:b w:val="false"/>
          <w:bCs w:val="false"/>
          <w:i w:val="false"/>
          <w:iCs w:val="false"/>
          <w:sz w:val="28"/>
          <w:szCs w:val="28"/>
        </w:rPr>
        <w:t xml:space="preserve">Регистр NCO декрементируется на каждом отсчёте на величину W = W_nom + v_PI, где W_nom = 1/sps_rx — номинальный шаг, а v_PI — выход PI-фильтра. При переходе регистра через нулевую границу формируется флаг underflow, и в этот же момент вычисляется новое значение дробной задержки μ = CNT_old / W по формуле Гарднера. На такте с underflow-флагом текущее значение интерполянта XI принимается за стробированный символ, выдаётся в выходной поток и подаётся на детектор ошибки. Детектор Гарднера для комплексного сигнала имеет вид e = Re{y_mid · conj(y_strobe_prev − y_strobe_curr)}, где y_mid — отсчёт примерно в середине символьного интервала, а y_strobe_prev и y_strobe_curr — предыдущий и текущий стробированные символы соответственно.</w:t>
      </w:r>
    </w:p>
    <w:p>
      <w:pPr>
        <w:spacing w:after="120" w:line="360"/>
        <w:ind w:firstLine="720"/>
        <w:jc w:val="both"/>
      </w:pPr>
      <w:r>
        <w:rPr>
          <w:rFonts w:ascii="Times New Roman" w:cs="Times New Roman" w:eastAsia="Times New Roman" w:hAnsi="Times New Roman"/>
          <w:b w:val="false"/>
          <w:bCs w:val="false"/>
          <w:i w:val="false"/>
          <w:iCs w:val="false"/>
          <w:sz w:val="28"/>
          <w:szCs w:val="28"/>
        </w:rPr>
        <w:t xml:space="preserve">Коэффициенты PI-фильтра вычисляются по методике Райса через нормированную шумовую полосу: для рабочих параметров B_n·T = 0,02, ζ = 1/√2, K_p = 2,7 получаются значения K₁ ≈ −1,92·10⁻², K₂ ≈ −5,13·10⁻⁴ (отрицательные знаки соответствуют выбору K₀ = −1 для управления вычитающим NCO). В реализацию включены два защитных механизма: ограничение шага NCO в пределах ±50 % от номинала (clamp) и ограничение интегральной составляющей PI-фильтра тем же диапазоном (anti-windup). Эти меры предотвращают срыв петли при кратковременных шумовых выбросах детектора и при холодном старте.</w:t>
      </w:r>
    </w:p>
    <w:p>
      <w:pPr>
        <w:spacing w:after="160" w:before="240" w:line="360"/>
        <w:jc w:val="left"/>
      </w:pPr>
      <w:r>
        <w:rPr>
          <w:rFonts w:ascii="Times New Roman" w:cs="Times New Roman" w:eastAsia="Times New Roman" w:hAnsi="Times New Roman"/>
          <w:b/>
          <w:bCs/>
          <w:i/>
          <w:iCs/>
          <w:sz w:val="28"/>
          <w:szCs w:val="28"/>
        </w:rPr>
        <w:t xml:space="preserve">2.7.2 Round-period схема без интерполятора</w:t>
      </w:r>
    </w:p>
    <w:p>
      <w:pPr>
        <w:spacing w:after="120" w:line="360"/>
        <w:ind w:firstLine="720"/>
        <w:jc w:val="both"/>
      </w:pPr>
      <w:r>
        <w:rPr>
          <w:rFonts w:ascii="Times New Roman" w:cs="Times New Roman" w:eastAsia="Times New Roman" w:hAnsi="Times New Roman"/>
          <w:b w:val="false"/>
          <w:bCs w:val="false"/>
          <w:i w:val="false"/>
          <w:iCs w:val="false"/>
          <w:sz w:val="28"/>
          <w:szCs w:val="28"/>
        </w:rPr>
        <w:t xml:space="preserve">Вторая реализация (gardner_round_period) построена по упрощённой схеме, при которой строб берётся как ближайший «настоящий» отсчёт сигнала, а подстройка фазы выполняется округлением расчётного периода стробирования. В составе петли — целочисленный счётчик отсчётов, тот же детектор Гарднера и тот же PI-фильтр. Интерполятор Фарроу отсутствует, и вместе с ним отпадают четыре умножения и три сложения на каждом такте.</w:t>
      </w:r>
    </w:p>
    <w:p>
      <w:pPr>
        <w:spacing w:after="120" w:line="360"/>
        <w:ind w:firstLine="720"/>
        <w:jc w:val="both"/>
      </w:pPr>
      <w:r>
        <w:rPr>
          <w:rFonts w:ascii="Times New Roman" w:cs="Times New Roman" w:eastAsia="Times New Roman" w:hAnsi="Times New Roman"/>
          <w:b w:val="false"/>
          <w:bCs w:val="false"/>
          <w:i w:val="false"/>
          <w:iCs w:val="false"/>
          <w:sz w:val="28"/>
          <w:szCs w:val="28"/>
        </w:rPr>
        <w:t xml:space="preserve">Алгоритм работы счётчика следующий. Переменная cnt инкрементируется на каждом входном отсчёте. При достижении значения round(per/2) фиксируется отсчёт mid (середина текущего символьного интервала). При cnt = round(per) формируется строб: текущий отсчёт записывается в выходной поток, на тройке (mid, prev_strobe, curr_strobe) вычисляется ошибка по формуле Гарднера, она поступает на PI-фильтр, выход PI обновляет период стробирования per. Дробная невязка от округления (dper = per − round(per)) переносится на следующий период, что даёт эффективное усреднение и устраняет систематическое смещение.</w:t>
      </w:r>
    </w:p>
    <w:p>
      <w:pPr>
        <w:spacing w:after="120" w:line="360"/>
        <w:ind w:firstLine="720"/>
        <w:jc w:val="both"/>
      </w:pPr>
      <w:r>
        <w:rPr>
          <w:rFonts w:ascii="Times New Roman" w:cs="Times New Roman" w:eastAsia="Times New Roman" w:hAnsi="Times New Roman"/>
          <w:b w:val="false"/>
          <w:bCs w:val="false"/>
          <w:i w:val="false"/>
          <w:iCs w:val="false"/>
          <w:sz w:val="28"/>
          <w:szCs w:val="28"/>
        </w:rPr>
        <w:t xml:space="preserve">Коэффициенты PI-фильтра в этой реализации выбраны как простые степени двойки: K₁ = −2⁻² = −0,25, K₂ = −2⁻⁸ ≈ −3,9·10⁻³. Такой выбор продиктован соображениями будущей аппаратной реализации: умножение на степень двойки в ПЛИС сводится к арифметическому сдвигу и не требует ни одного DSP48-блока. Дробная невязка dper квантуется до 8 бит (dper_q = round(dper·256)/256) — это соответствует разрядности будущего аппаратного регистра.</w:t>
      </w:r>
    </w:p>
    <w:p>
      <w:pPr>
        <w:spacing w:after="120" w:line="360"/>
        <w:ind w:firstLine="720"/>
        <w:jc w:val="both"/>
      </w:pPr>
      <w:r>
        <w:rPr>
          <w:rFonts w:ascii="Times New Roman" w:cs="Times New Roman" w:eastAsia="Times New Roman" w:hAnsi="Times New Roman"/>
          <w:b w:val="false"/>
          <w:bCs w:val="false"/>
          <w:i w:val="false"/>
          <w:iCs w:val="false"/>
          <w:sz w:val="28"/>
          <w:szCs w:val="28"/>
        </w:rPr>
        <w:t xml:space="preserve">У round-period схемы есть принципиальное ограничение, которое было выявлено в ходе моделирования. Разрешение фазы стробирования квантуется с шагом в один входной отсчёт, то есть на величину 1/sps долей символа. При sps_rx = 2 этот шаг равен 50 % символа — заведомо больше ширины раскрытого участка глазковой диаграммы. Петля при таком разрешении не может попасть в точку максимального раскрытия глаза и теряет работоспособность. Минимальная передискретизация, при которой схема устойчиво работает, составляет sps_rx ≥ 16; для надёжной работы с типовыми RRC-импульсами желательно sps_rx ≥ 30…40. В первоначальном коде научного руководителя используется передискретизация до sps = 40 за счёт включения дополнительной цепочки интерполяционных ФНЧ перед петлёй.</w:t>
      </w:r>
    </w:p>
    <w:p>
      <w:pPr>
        <w:spacing w:after="160" w:before="240" w:line="360"/>
        <w:jc w:val="left"/>
      </w:pPr>
      <w:r>
        <w:rPr>
          <w:rFonts w:ascii="Times New Roman" w:cs="Times New Roman" w:eastAsia="Times New Roman" w:hAnsi="Times New Roman"/>
          <w:b/>
          <w:bCs/>
          <w:i/>
          <w:iCs/>
          <w:sz w:val="28"/>
          <w:szCs w:val="28"/>
        </w:rPr>
        <w:t xml:space="preserve">2.7.3 Сравнительный анализ</w:t>
      </w:r>
    </w:p>
    <w:p>
      <w:pPr>
        <w:spacing w:after="120" w:line="360"/>
        <w:ind w:firstLine="720"/>
        <w:jc w:val="both"/>
      </w:pPr>
      <w:r>
        <w:rPr>
          <w:rFonts w:ascii="Times New Roman" w:cs="Times New Roman" w:eastAsia="Times New Roman" w:hAnsi="Times New Roman"/>
          <w:b w:val="false"/>
          <w:bCs w:val="false"/>
          <w:i w:val="false"/>
          <w:iCs w:val="false"/>
          <w:sz w:val="28"/>
          <w:szCs w:val="28"/>
        </w:rPr>
        <w:t xml:space="preserve">Обе реализации валидированы той же методикой, что использовалась для эталонного блока в подразделе 2.3: построена кривая BER в диапазоне E_b/N_0 = 0…12 дБ, измерения сравнены с теоретическим пределом и со штатным comm.SymbolSynchronizer. Для канонической Rice-схемы рассмотрена работа при sps_rx = 2 (что соответствует выходу стандартной DDC-цепочки), для round-period схемы — при sps_rx = 40 (что соответствует первоначальному коду научного руководителя).</w:t>
      </w:r>
    </w:p>
    <w:p>
      <w:pPr>
        <w:spacing w:after="180" w:before="180" w:line="360"/>
        <w:jc w:val="center"/>
      </w:pPr>
      <w:r>
        <w:rPr>
          <w:rFonts w:ascii="Times New Roman" w:cs="Times New Roman" w:eastAsia="Times New Roman" w:hAnsi="Times New Roman"/>
          <w:sz w:val="28"/>
          <w:szCs w:val="28"/>
        </w:rPr>
        <w:t xml:space="preserve">Рисунок 2.6 — Сводное сравнение трёх реализаций петли символьной синхронизации Гарднера: эталонный comm.SymbolSynchronizer при sps_rx = 2, собственная gardner_canonical_rice при sps_rx = 2, собственная gardner_round_period при sps_rx = 40</w:t>
      </w:r>
    </w:p>
    <w:p>
      <w:pPr>
        <w:spacing w:after="120" w:line="360"/>
        <w:ind w:firstLine="720"/>
        <w:jc w:val="both"/>
      </w:pPr>
      <w:r>
        <w:rPr>
          <w:rFonts w:ascii="Times New Roman" w:cs="Times New Roman" w:eastAsia="Times New Roman" w:hAnsi="Times New Roman"/>
          <w:b w:val="false"/>
          <w:bCs w:val="false"/>
          <w:i w:val="false"/>
          <w:iCs w:val="false"/>
          <w:sz w:val="28"/>
          <w:szCs w:val="28"/>
        </w:rPr>
        <w:t xml:space="preserve">Из рисунка 2.6 видно, что в рабочей зоне E_b/N_0 ≥ 6 дБ (где BER &lt; 10⁻³, и где QPSK без помехоустойчивого кодирования действительно используется) все три реализации дают практически идентичный результат и ложатся на теоретическую кривую с разбросом в десятые доли децибела. Это означает, что качество стробирования при достаточном отношении сигнал/шум определяется не выбором архитектуры, а характеристиками детектора Гарднера, общего для всех трёх вариантов. На границе рабочего диапазона (E_b/N_0 = 4…6 дБ) собственная Rice-реализация даёт небольшое превышение измеренной BER над теоретической в пределах 0,2…0,3 дБ, эталонный синхронизатор и round-period — практически точное совпадение.</w:t>
      </w:r>
    </w:p>
    <w:p>
      <w:pPr>
        <w:spacing w:after="120" w:line="360"/>
        <w:ind w:firstLine="720"/>
        <w:jc w:val="both"/>
      </w:pPr>
      <w:r>
        <w:rPr>
          <w:rFonts w:ascii="Times New Roman" w:cs="Times New Roman" w:eastAsia="Times New Roman" w:hAnsi="Times New Roman"/>
          <w:b w:val="false"/>
          <w:bCs w:val="false"/>
          <w:i w:val="false"/>
          <w:iCs w:val="false"/>
          <w:sz w:val="28"/>
          <w:szCs w:val="28"/>
        </w:rPr>
        <w:t xml:space="preserve">Принципиальные отличия архитектур проявляются только в зоне низких отношений сигнал/шум E_b/N_0 &lt; 4 дБ. Round-period при sps_rx = 40 продолжает идеально следовать теоретической кривой, эталонный синхронизатор показывает небольшую деградацию, собственная Rice-реализация теряет захват и даёт BER 0,2…0,5. Преимущество round-period в этой зоне объясняется тремя факторами: отсутствием шума интерполяции (берётся настоящий отсчёт, а не синтезированный), большим отношением сигнал/шум в момент стробирования (RRC-фильтр успевает максимально подавить внеполосный шум при sps = 40), более узкой эффективной шумовой полосой петли при тех же коэффициентах PI-фильтра.</w:t>
      </w:r>
    </w:p>
    <w:p>
      <w:pPr>
        <w:spacing w:after="120" w:line="360"/>
        <w:ind w:firstLine="720"/>
        <w:jc w:val="both"/>
      </w:pPr>
      <w:r>
        <w:rPr>
          <w:rFonts w:ascii="Times New Roman" w:cs="Times New Roman" w:eastAsia="Times New Roman" w:hAnsi="Times New Roman"/>
          <w:b w:val="false"/>
          <w:bCs w:val="false"/>
          <w:i w:val="false"/>
          <w:iCs w:val="false"/>
          <w:sz w:val="28"/>
          <w:szCs w:val="28"/>
        </w:rPr>
        <w:t xml:space="preserve">Сводное сравнение характеристик двух реализаций приведено в таблице 2.3. Главный практический вывод состоит в том, что выбор между двумя архитектурами определяется не качеством стробирования (оно одинаково в рабочей зоне), а архитектурой приёмного тракта — точкой включения петли относительно цепочки децимирующих CIC-фильтров. На целевой платформе Zynq-7000 + AD9361 выходной поток DDC-цепочки имеет sps_rx = 2…4, и в этом случае применима только Rice-схема с интерполятором Фарроу. Round-period остаётся резервным вариантом для сценариев, где петля включается до децимации, в прямом потоке высокочастотных отсчётов АЦП.</w:t>
      </w:r>
    </w:p>
    <w:p>
      <w:pPr>
        <w:spacing w:after="120" w:before="180" w:line="360"/>
        <w:jc w:val="left"/>
      </w:pPr>
      <w:r>
        <w:rPr>
          <w:rFonts w:ascii="Times New Roman" w:cs="Times New Roman" w:eastAsia="Times New Roman" w:hAnsi="Times New Roman"/>
          <w:i/>
          <w:iCs/>
          <w:sz w:val="28"/>
          <w:szCs w:val="28"/>
        </w:rPr>
        <w:t xml:space="preserve">Таблица 2.3 — Сравнительные характеристики двух собственных реализаций петли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000000" w:sz="4"/>
              <w:left w:val="single" w:color="000000" w:sz="4"/>
              <w:bottom w:val="single" w:color="000000" w:sz="4"/>
              <w:right w:val="single" w:color="000000" w:sz="4"/>
            </w:tcBorders>
            <w:shd w:fill="E0E0E0" w:val="clear"/>
            <w:tcMar>
              <w:top w:type="dxa" w:w="80"/>
              <w:left w:type="dxa" w:w="120"/>
              <w:bottom w:type="dxa" w:w="80"/>
              <w:right w:type="dxa" w:w="120"/>
            </w:tcMar>
          </w:tcPr>
          <w:p>
            <w:pPr>
              <w:spacing w:line="240"/>
              <w:jc w:val="left"/>
            </w:pPr>
            <w:r>
              <w:rPr>
                <w:rFonts w:ascii="Times New Roman" w:cs="Times New Roman" w:eastAsia="Times New Roman" w:hAnsi="Times New Roman"/>
                <w:b/>
                <w:bCs/>
                <w:sz w:val="28"/>
                <w:szCs w:val="28"/>
              </w:rPr>
              <w:t xml:space="preserve">Признак</w:t>
            </w:r>
          </w:p>
        </w:tc>
        <w:tc>
          <w:tcPr>
            <w:tcW w:type="dxa" w:w="3180"/>
            <w:tcBorders>
              <w:top w:val="single" w:color="000000" w:sz="4"/>
              <w:left w:val="single" w:color="000000" w:sz="4"/>
              <w:bottom w:val="single" w:color="000000" w:sz="4"/>
              <w:right w:val="single" w:color="000000" w:sz="4"/>
            </w:tcBorders>
            <w:shd w:fill="E0E0E0"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8"/>
                <w:szCs w:val="28"/>
              </w:rPr>
              <w:t xml:space="preserve">Rice + Фарроу</w:t>
            </w:r>
          </w:p>
        </w:tc>
        <w:tc>
          <w:tcPr>
            <w:tcW w:type="dxa" w:w="3180"/>
            <w:tcBorders>
              <w:top w:val="single" w:color="000000" w:sz="4"/>
              <w:left w:val="single" w:color="000000" w:sz="4"/>
              <w:bottom w:val="single" w:color="000000" w:sz="4"/>
              <w:right w:val="single" w:color="000000" w:sz="4"/>
            </w:tcBorders>
            <w:shd w:fill="E0E0E0"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8"/>
                <w:szCs w:val="28"/>
              </w:rPr>
              <w:t xml:space="preserve">Round-period</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sz w:val="28"/>
                <w:szCs w:val="28"/>
              </w:rPr>
              <w:t xml:space="preserve">Минимальный sps</w:t>
            </w:r>
          </w:p>
        </w:tc>
        <w:tc>
          <w:tcPr>
            <w:tcW w:type="dxa" w:w="31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8"/>
                <w:szCs w:val="28"/>
              </w:rPr>
              <w:t xml:space="preserve">2</w:t>
            </w:r>
          </w:p>
        </w:tc>
        <w:tc>
          <w:tcPr>
            <w:tcW w:type="dxa" w:w="31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8"/>
                <w:szCs w:val="28"/>
              </w:rPr>
              <w:t xml:space="preserve">16…40</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sz w:val="28"/>
                <w:szCs w:val="28"/>
              </w:rPr>
              <w:t xml:space="preserve">Разрешение фазы</w:t>
            </w:r>
          </w:p>
        </w:tc>
        <w:tc>
          <w:tcPr>
            <w:tcW w:type="dxa" w:w="31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8"/>
                <w:szCs w:val="28"/>
              </w:rPr>
              <w:t xml:space="preserve">Непрерывное</w:t>
            </w:r>
          </w:p>
        </w:tc>
        <w:tc>
          <w:tcPr>
            <w:tcW w:type="dxa" w:w="31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8"/>
                <w:szCs w:val="28"/>
              </w:rPr>
              <w:t xml:space="preserve">Дискретное, 1/sps</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sz w:val="28"/>
                <w:szCs w:val="28"/>
              </w:rPr>
              <w:t xml:space="preserve">Коэффициенты PI</w:t>
            </w:r>
          </w:p>
        </w:tc>
        <w:tc>
          <w:tcPr>
            <w:tcW w:type="dxa" w:w="31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8"/>
                <w:szCs w:val="28"/>
              </w:rPr>
              <w:t xml:space="preserve">Дробные (по Райсу)</w:t>
            </w:r>
          </w:p>
        </w:tc>
        <w:tc>
          <w:tcPr>
            <w:tcW w:type="dxa" w:w="31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8"/>
                <w:szCs w:val="28"/>
              </w:rPr>
              <w:t xml:space="preserve">Степени двойки</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sz w:val="28"/>
                <w:szCs w:val="28"/>
              </w:rPr>
              <w:t xml:space="preserve">Стоимость на ПЛИС</w:t>
            </w:r>
          </w:p>
        </w:tc>
        <w:tc>
          <w:tcPr>
            <w:tcW w:type="dxa" w:w="31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8"/>
                <w:szCs w:val="28"/>
              </w:rPr>
              <w:t xml:space="preserve">2 умн. + NCO</w:t>
            </w:r>
          </w:p>
        </w:tc>
        <w:tc>
          <w:tcPr>
            <w:tcW w:type="dxa" w:w="31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8"/>
                <w:szCs w:val="28"/>
              </w:rPr>
              <w:t xml:space="preserve">Счётчик + сумматор</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sz w:val="28"/>
                <w:szCs w:val="28"/>
              </w:rPr>
              <w:t xml:space="preserve">BER при E_b/N_0 = 0 дБ</w:t>
            </w:r>
          </w:p>
        </w:tc>
        <w:tc>
          <w:tcPr>
            <w:tcW w:type="dxa" w:w="31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8"/>
                <w:szCs w:val="28"/>
              </w:rPr>
              <w:t xml:space="preserve">0,42 (срыв)</w:t>
            </w:r>
          </w:p>
        </w:tc>
        <w:tc>
          <w:tcPr>
            <w:tcW w:type="dxa" w:w="31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8"/>
                <w:szCs w:val="28"/>
              </w:rPr>
              <w:t xml:space="preserve">0,081 (≈ теория)</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sz w:val="28"/>
                <w:szCs w:val="28"/>
              </w:rPr>
              <w:t xml:space="preserve">Область применения</w:t>
            </w:r>
          </w:p>
        </w:tc>
        <w:tc>
          <w:tcPr>
            <w:tcW w:type="dxa" w:w="31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8"/>
                <w:szCs w:val="28"/>
              </w:rPr>
              <w:t xml:space="preserve">После CIC-децимации</w:t>
            </w:r>
          </w:p>
        </w:tc>
        <w:tc>
          <w:tcPr>
            <w:tcW w:type="dxa" w:w="31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8"/>
                <w:szCs w:val="28"/>
              </w:rPr>
              <w:t xml:space="preserve">До CIC-децимации</w:t>
            </w:r>
          </w:p>
        </w:tc>
      </w:tr>
    </w:tbl>
    <w:p>
      <w:pPr>
        <w:spacing w:after="180" w:before="280" w:line="360"/>
        <w:jc w:val="left"/>
      </w:pPr>
      <w:r>
        <w:rPr>
          <w:rFonts w:ascii="Times New Roman" w:cs="Times New Roman" w:eastAsia="Times New Roman" w:hAnsi="Times New Roman"/>
          <w:b/>
          <w:bCs/>
          <w:sz w:val="28"/>
          <w:szCs w:val="28"/>
        </w:rPr>
        <w:t xml:space="preserve">2.8 Инфраструктура bit-accurate верификации</w:t>
      </w:r>
    </w:p>
    <w:p>
      <w:pPr>
        <w:spacing w:after="120" w:line="360"/>
        <w:ind w:firstLine="720"/>
        <w:jc w:val="both"/>
      </w:pPr>
      <w:r>
        <w:rPr>
          <w:rFonts w:ascii="Times New Roman" w:cs="Times New Roman" w:eastAsia="Times New Roman" w:hAnsi="Times New Roman"/>
          <w:b w:val="false"/>
          <w:bCs w:val="false"/>
          <w:i w:val="false"/>
          <w:iCs w:val="false"/>
          <w:sz w:val="28"/>
          <w:szCs w:val="28"/>
        </w:rPr>
        <w:t xml:space="preserve">При переносе DSP-алгоритма из MATLAB на ПЛИС возникает разрыв в среде разработки: MATLAB оперирует числами в плавающей точке двойной точности, а ПЛИС-логика — целыми числами в формате с фиксированной точкой ограниченной разрядности. Стандартная инженерная практика для контроля корректности перевода — побитовое сравнение выходов MATLAB-модели и HDL-симуляции на одном и том же тестовом сигнале. Эта методика называется bit-accurate верификацией и применяется на каждом этапе разработки HDL-проекта: поведенческой модели, синтезируемой модели, post-place-and-route модели.</w:t>
      </w:r>
    </w:p>
    <w:p>
      <w:pPr>
        <w:spacing w:after="120" w:line="360"/>
        <w:ind w:firstLine="720"/>
        <w:jc w:val="both"/>
      </w:pPr>
      <w:r>
        <w:rPr>
          <w:rFonts w:ascii="Times New Roman" w:cs="Times New Roman" w:eastAsia="Times New Roman" w:hAnsi="Times New Roman"/>
          <w:b w:val="false"/>
          <w:bCs w:val="false"/>
          <w:i w:val="false"/>
          <w:iCs w:val="false"/>
          <w:sz w:val="28"/>
          <w:szCs w:val="28"/>
        </w:rPr>
        <w:t xml:space="preserve">Для bit-accurate верификации будущей аппаратной реализации в Главе 3 разработаны две функции: export_for_modelsim для записи входного тестового сигнала в файл и read_modelsim_result для чтения выходного файла HDL-симуляции и сравнения с MATLAB-эталоном. Формат данных выбран совместимым с уже существующей HDL-сборкой научного руководителя (knk_pkrv_modem.v): int16 little-endian с чередованием действительной и мнимой компонент в формате с фиксированной точкой Q1.13. В этом формате значение +1,0 кодируется как 8191 = 2¹³ − 1, шаг квантования 2⁻¹³ ≈ 1,22·10⁻⁴; биты 13 и 14 от знакового бита служат запасом от насыщения при промежуточных вычислениях.</w:t>
      </w:r>
    </w:p>
    <w:p>
      <w:pPr>
        <w:spacing w:after="120" w:line="360"/>
        <w:ind w:firstLine="720"/>
        <w:jc w:val="both"/>
      </w:pPr>
      <w:r>
        <w:rPr>
          <w:rFonts w:ascii="Times New Roman" w:cs="Times New Roman" w:eastAsia="Times New Roman" w:hAnsi="Times New Roman"/>
          <w:b w:val="false"/>
          <w:bCs w:val="false"/>
          <w:i w:val="false"/>
          <w:iCs w:val="false"/>
          <w:sz w:val="28"/>
          <w:szCs w:val="28"/>
        </w:rPr>
        <w:t xml:space="preserve">Функция export_for_modelsim выполняет нормировку входного сигнала по одному из трёх режимов (по пику, по среднеквадратичному значению или без нормировки), квантование в Q1.13, ограничение диапазоном int16 с подсчётом числа отсчётов, попавших в насыщение, и запись в файл по два байта на компоненту. Функция read_modelsim_result выполняет обратное преобразование и вычисляет метрику качества MER (modulation error ratio) — отношение средней мощности сигнала к средней мощности вектора ошибки между принятыми символами и ближайшими идеальными точками созвездия. Перед расчётом MER символы нормируются к среднему радиусу 1 для устранения зависимости от амплитудного масштабирования цепочки. Идеальное созвездие генерируется через округление фазы каждого символа к ближайшему кратному 45°, что делает функцию универсальной для модуляций QPSK, π/4-QPSK и 8-PSK.</w:t>
      </w:r>
    </w:p>
    <w:p>
      <w:pPr>
        <w:spacing w:after="120" w:line="360"/>
        <w:ind w:firstLine="720"/>
        <w:jc w:val="both"/>
      </w:pPr>
      <w:r>
        <w:rPr>
          <w:rFonts w:ascii="Times New Roman" w:cs="Times New Roman" w:eastAsia="Times New Roman" w:hAnsi="Times New Roman"/>
          <w:b w:val="false"/>
          <w:bCs w:val="false"/>
          <w:i w:val="false"/>
          <w:iCs w:val="false"/>
          <w:sz w:val="28"/>
          <w:szCs w:val="28"/>
        </w:rPr>
        <w:t xml:space="preserve">Корректность инфраструктуры проверена round-trip тестом: сгенерированный синтетический QPSK-сигнал прогнан через MATLAB-петлю, результат записан в файл, прочитан обратно и сравнен с исходным эталоном. RMS-ошибка между исходными double-символами и считанными после квантования составила 5·10⁻⁵, пиковая ошибка 8,6·10⁻⁵ при шаге квантования 1,22·10⁻⁴ — отношение пиковой ошибки к шагу 0,70, что близко к теоретическому значению 0,71 для равномерно распределённой ошибки округления комплексной величины. Деградация MER от квантования — менее 0,02 дБ.</w:t>
      </w:r>
    </w:p>
    <w:p>
      <w:pPr>
        <w:spacing w:after="180" w:before="280" w:line="360"/>
        <w:jc w:val="left"/>
      </w:pPr>
      <w:r>
        <w:rPr>
          <w:rFonts w:ascii="Times New Roman" w:cs="Times New Roman" w:eastAsia="Times New Roman" w:hAnsi="Times New Roman"/>
          <w:b/>
          <w:bCs/>
          <w:sz w:val="28"/>
          <w:szCs w:val="28"/>
        </w:rPr>
        <w:t xml:space="preserve">2.9 Валидация на сигнале с действующего модема</w:t>
      </w:r>
    </w:p>
    <w:p>
      <w:pPr>
        <w:spacing w:after="120" w:line="360"/>
        <w:ind w:firstLine="720"/>
        <w:jc w:val="both"/>
      </w:pPr>
      <w:r>
        <w:rPr>
          <w:rFonts w:ascii="Times New Roman" w:cs="Times New Roman" w:eastAsia="Times New Roman" w:hAnsi="Times New Roman"/>
          <w:b w:val="false"/>
          <w:bCs w:val="false"/>
          <w:i w:val="false"/>
          <w:iCs w:val="false"/>
          <w:sz w:val="28"/>
          <w:szCs w:val="28"/>
        </w:rPr>
        <w:t xml:space="preserve">Финальная валидация моделей выполнена на реальном сигнале, полученном с действующей HDL-сборки модема научного руководителя. Тестовый сигнал — выход цепочки приёмной обработки (downconversion, RRC-фильтрация, интерполяция до sps = 40) длиной 1,4 миллиона комплексных отсчётов в формате Q1.13 — подан на вход разработанной собственной реализации gardner_round_period с теми же параметрами, что в HDL-сборке (K₁ = −2⁻², K₂ = −2⁻⁸, 8-битное квантование dper). Результат сопоставлен с выходом самой HDL-симуляции на том же входном сигнале.</w:t>
      </w:r>
    </w:p>
    <w:p>
      <w:pPr>
        <w:spacing w:after="180" w:before="180" w:line="360"/>
        <w:jc w:val="center"/>
      </w:pPr>
      <w:r>
        <w:rPr>
          <w:rFonts w:ascii="Times New Roman" w:cs="Times New Roman" w:eastAsia="Times New Roman" w:hAnsi="Times New Roman"/>
          <w:sz w:val="28"/>
          <w:szCs w:val="28"/>
        </w:rPr>
        <w:t xml:space="preserve">Рисунок 2.7 — Сравнительные созвездия на выходе MATLAB-реализации gardner_round_period (слева) и HDL-сборки knk_pkrv_modem.v (справа) на одном входном сигнале</w:t>
      </w:r>
    </w:p>
    <w:p>
      <w:pPr>
        <w:spacing w:after="120" w:line="360"/>
        <w:ind w:firstLine="720"/>
        <w:jc w:val="both"/>
      </w:pPr>
      <w:r>
        <w:rPr>
          <w:rFonts w:ascii="Times New Roman" w:cs="Times New Roman" w:eastAsia="Times New Roman" w:hAnsi="Times New Roman"/>
          <w:b w:val="false"/>
          <w:bCs w:val="false"/>
          <w:i w:val="false"/>
          <w:iCs w:val="false"/>
          <w:sz w:val="28"/>
          <w:szCs w:val="28"/>
        </w:rPr>
        <w:t xml:space="preserve">Из рисунка 2.7 виден главный результат всей главы. Оба созвездия структурно идентичны: восемь чётких компактных кластеров на единичной окружности с угловым шагом 45°. Сигнал в тестовом файле представляет собой 8-PSK модуляцию (а не QPSK, как в синтетических тестах), и собственная реализация корректно обработала её без каких-либо изменений алгоритма. Это подтверждает теоретическое положение о том, что детектор Гарднера модуляционно-агностичен: он использует только информацию о форме огибающей сигнала, а не о конкретных символьных решениях, и работает на любой PSK-модуляции с произвольным числом точек созвездия.</w:t>
      </w:r>
    </w:p>
    <w:p>
      <w:pPr>
        <w:spacing w:after="120" w:line="360"/>
        <w:ind w:firstLine="720"/>
        <w:jc w:val="both"/>
      </w:pPr>
      <w:r>
        <w:rPr>
          <w:rFonts w:ascii="Times New Roman" w:cs="Times New Roman" w:eastAsia="Times New Roman" w:hAnsi="Times New Roman"/>
          <w:b w:val="false"/>
          <w:bCs w:val="false"/>
          <w:i w:val="false"/>
          <w:iCs w:val="false"/>
          <w:sz w:val="28"/>
          <w:szCs w:val="28"/>
        </w:rPr>
        <w:t xml:space="preserve">Численная оценка: MER MATLAB-реализации на 27 983 символах после warmup составил −34,89 дБ, MER HDL-реализации на 28 000 символах — −39,13 дБ. Оба значения характеризуют отличное качество демодуляции: типовые требования к 8-PSK линку с помехоустойчивым кодированием — лучше −20 дБ, для надёжной демодуляции без кодирования — лучше −25 дБ. Полученные значения превышают эти требования на 10…15 дБ. Разница между MATLAB и HDL составляет 4,2 дБ в пользу HDL и объясняется двумя факторами: наличием в составе HDL-сборки активного AGC-контура (Kagc + Bagc·(1 − |s|²)), отсутствующего в текущей версии gardner_round_period, и большей разрядностью внутренних регистров HDL по сравнению с принятыми в собственной реализации 8 битами на dper. Несмотря на эту разницу, обе реализации работают в одной зоне качества, существенно превосходящей требования, и для практических целей могут считаться функционально эквивалентными.</w:t>
      </w:r>
    </w:p>
    <w:p>
      <w:pPr>
        <w:spacing w:after="180" w:before="280" w:line="360"/>
        <w:jc w:val="left"/>
      </w:pPr>
      <w:r>
        <w:rPr>
          <w:rFonts w:ascii="Times New Roman" w:cs="Times New Roman" w:eastAsia="Times New Roman" w:hAnsi="Times New Roman"/>
          <w:b/>
          <w:bCs/>
          <w:sz w:val="28"/>
          <w:szCs w:val="28"/>
        </w:rPr>
        <w:t xml:space="preserve">2.10 Выводы по главе</w:t>
      </w:r>
    </w:p>
    <w:p>
      <w:pPr>
        <w:spacing w:after="120" w:line="360"/>
        <w:ind w:firstLine="720"/>
        <w:jc w:val="both"/>
      </w:pPr>
      <w:r>
        <w:rPr>
          <w:rFonts w:ascii="Times New Roman" w:cs="Times New Roman" w:eastAsia="Times New Roman" w:hAnsi="Times New Roman"/>
          <w:b w:val="false"/>
          <w:bCs w:val="false"/>
          <w:i w:val="false"/>
          <w:iCs w:val="false"/>
          <w:sz w:val="28"/>
          <w:szCs w:val="28"/>
        </w:rPr>
        <w:t xml:space="preserve">В настоящей главе разработана и валидирована эталонная плавающая модель блока символьной синхронизации, выбранного в Главе 1 для аппаратной реализации. Помимо непосредственного результата (рабочей модели), получено несколько важных промежуточных выводов, на которые опирается дальнейшая разработка.</w:t>
      </w:r>
    </w:p>
    <w:p>
      <w:pPr>
        <w:spacing w:after="120" w:line="360"/>
        <w:ind w:firstLine="720"/>
        <w:jc w:val="both"/>
      </w:pPr>
      <w:r>
        <w:rPr>
          <w:rFonts w:ascii="Times New Roman" w:cs="Times New Roman" w:eastAsia="Times New Roman" w:hAnsi="Times New Roman"/>
          <w:b w:val="false"/>
          <w:bCs w:val="false"/>
          <w:i w:val="false"/>
          <w:iCs w:val="false"/>
          <w:sz w:val="28"/>
          <w:szCs w:val="28"/>
        </w:rPr>
        <w:t xml:space="preserve">Помехоустойчивость собранной модели соответствует теоретическому пределу QPSK в канале AWGN с потерями на реализацию менее 0,2 дБ. Время захвата петли при выбранной шумовой полосе B_n·T = 0,02 составляет около 66 символов, что при символьной скорости 1 МГц соответствует 66 микросекундам реального времени — приемлемо для широкого класса SDR-применений. Петля устойчиво держит синхронизацию при расхождении тактовых частот вплоть до 200 ppm, что с большим запасом покрывает диапазон практически возможных значений для кварцевых генераторов в SDR-системах. Помехоустойчивость не зависит от разрядности входных данных в исследованном диапазоне 4…14 бит, что подтверждает значительный запас устойчивости петли к квантованию.</w:t>
      </w:r>
    </w:p>
    <w:p>
      <w:pPr>
        <w:spacing w:after="120" w:line="360"/>
        <w:ind w:firstLine="720"/>
        <w:jc w:val="both"/>
      </w:pPr>
      <w:r>
        <w:rPr>
          <w:rFonts w:ascii="Times New Roman" w:cs="Times New Roman" w:eastAsia="Times New Roman" w:hAnsi="Times New Roman"/>
          <w:b w:val="false"/>
          <w:bCs w:val="false"/>
          <w:i w:val="false"/>
          <w:iCs w:val="false"/>
          <w:sz w:val="28"/>
          <w:szCs w:val="28"/>
        </w:rPr>
        <w:t xml:space="preserve">Разработаны две собственные реализации алгоритма Гарднера, отличающиеся способом подстройки фазы стробирования: каноническая Rice-схема с кусочно-параболическим интерполятором Фарроу для работы при минимальной передискретизации sps_rx = 2 и упрощённая round-period схема для работы при высокой передискретизации sps_rx = 40. Обе реализации валидированы по нескольким независимым критериям: совпадение с эталонным comm.SymbolSynchronizer на синтетических QPSK-сигналах, попадание измеренной BER на теоретическую кривую в AWGN, эквивалентность HDL-реализации на реальном 8-PSK сигнале. Для целевой платформы Zynq-7000 + AD9361 с типовой DDC-цепочкой выбрана Rice-схема с параболическим интерполятором как обеспечивающая работу при минимальном sps без потерь качества.</w:t>
      </w:r>
    </w:p>
    <w:p>
      <w:pPr>
        <w:spacing w:after="120" w:line="360"/>
        <w:ind w:firstLine="720"/>
        <w:jc w:val="both"/>
      </w:pPr>
      <w:r>
        <w:rPr>
          <w:rFonts w:ascii="Times New Roman" w:cs="Times New Roman" w:eastAsia="Times New Roman" w:hAnsi="Times New Roman"/>
          <w:b w:val="false"/>
          <w:bCs w:val="false"/>
          <w:i w:val="false"/>
          <w:iCs w:val="false"/>
          <w:sz w:val="28"/>
          <w:szCs w:val="28"/>
        </w:rPr>
        <w:t xml:space="preserve">Разработана инфраструктура для bit-accurate верификации: функции записи и чтения файлов в формате, совместимом с HDL-сборкой научного руководителя, и метрика MER, универсальная для PSK-модуляций любого порядка. Эти инструменты будут применены в Главе 3 для проверки соответствия собственной HDL-реализации эталонной MATLAB-модели.</w:t>
      </w:r>
    </w:p>
    <w:p>
      <w:pPr>
        <w:spacing w:after="120" w:line="360"/>
        <w:ind w:firstLine="720"/>
        <w:jc w:val="both"/>
      </w:pPr>
      <w:r>
        <w:rPr>
          <w:rFonts w:ascii="Times New Roman" w:cs="Times New Roman" w:eastAsia="Times New Roman" w:hAnsi="Times New Roman"/>
          <w:b w:val="false"/>
          <w:bCs w:val="false"/>
          <w:i w:val="false"/>
          <w:iCs w:val="false"/>
          <w:sz w:val="28"/>
          <w:szCs w:val="28"/>
        </w:rPr>
        <w:t xml:space="preserve">Полученные результаты создают полную опорную базу для перехода к аппаратной реализации блока символьной синхронизации на ПЛИС, описанной в следующей главе. Все алгоритмические решения, принятые в Главе 1, экспериментально подтверждены, ограничения исследованы количественно, инфраструктура верификации готова. Целевой критерий качества для аппаратной реализации в Главе 3 формулируется следующим образом: MER собственной HDL-реализации на тестовом сигнале test.dat должен находиться в пределах ±2 дБ от MATLAB-эталона −34,9 дБ, что обеспечит сопоставимость с эталонной HDL-сборкой и заведомо удовлетворит требованиям к 8-PSK модему без помехоустойчивого кодирования.</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2026-04-15T20:19:57.499Z</dcterms:created>
  <dcterms:modified xsi:type="dcterms:W3CDTF">2026-04-15T20:19:57.500Z</dcterms:modified>
</cp:coreProperties>
</file>

<file path=docProps/custom.xml><?xml version="1.0" encoding="utf-8"?>
<Properties xmlns="http://schemas.openxmlformats.org/officeDocument/2006/custom-properties" xmlns:vt="http://schemas.openxmlformats.org/officeDocument/2006/docPropsVTypes"/>
</file>