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5D3A1" w14:textId="77777777" w:rsidR="00D806ED" w:rsidRDefault="00D806ED">
      <w:pPr>
        <w:pStyle w:val="KeinLeerraum"/>
        <w:spacing w:before="1800" w:after="0"/>
      </w:pPr>
    </w:p>
    <w:p w14:paraId="3E049A0F" w14:textId="77777777" w:rsidR="00D806ED" w:rsidRDefault="00000000">
      <w:pPr>
        <w:pStyle w:val="KeinLeerraum"/>
        <w:spacing w:before="240" w:after="0"/>
        <w:jc w:val="center"/>
      </w:pPr>
      <w:r>
        <w:rPr>
          <w:b/>
          <w:color w:val="365F91"/>
          <w:sz w:val="40"/>
          <w:szCs w:val="40"/>
        </w:rPr>
        <w:t>Leistungsnachweis Supply Chain Management</w:t>
      </w:r>
    </w:p>
    <w:p w14:paraId="519711BB" w14:textId="77777777" w:rsidR="00D806ED" w:rsidRDefault="00000000">
      <w:pPr>
        <w:pStyle w:val="KeinLeerraum"/>
        <w:spacing w:before="240" w:after="0"/>
        <w:jc w:val="center"/>
      </w:pPr>
      <w:r>
        <w:rPr>
          <w:color w:val="365F91"/>
          <w:sz w:val="28"/>
          <w:szCs w:val="28"/>
        </w:rPr>
        <w:t>Fallstudie Grofu AG</w:t>
      </w:r>
    </w:p>
    <w:p w14:paraId="2B901C6F" w14:textId="77777777" w:rsidR="00D806ED" w:rsidRDefault="00D806ED">
      <w:pPr>
        <w:pStyle w:val="KeinLeerraum"/>
        <w:spacing w:before="600" w:after="0"/>
      </w:pPr>
    </w:p>
    <w:p w14:paraId="529F9E92" w14:textId="77777777" w:rsidR="00D806ED" w:rsidRDefault="00000000">
      <w:pPr>
        <w:pStyle w:val="KeinLeerraum"/>
        <w:spacing w:before="240" w:after="0"/>
        <w:jc w:val="center"/>
      </w:pPr>
      <w:r>
        <w:t>Zürcher Fachhochschule</w:t>
      </w:r>
    </w:p>
    <w:p w14:paraId="5093357C" w14:textId="77777777" w:rsidR="00D806ED" w:rsidRDefault="00000000">
      <w:pPr>
        <w:pStyle w:val="KeinLeerraum"/>
        <w:spacing w:before="240" w:after="0"/>
        <w:jc w:val="center"/>
      </w:pPr>
      <w:r>
        <w:t xml:space="preserve">HWZ Hochschule für Wirtschaft Zürich</w:t>
      </w:r>
    </w:p>
    <w:p w14:paraId="3A77A5D9" w14:textId="77777777" w:rsidR="00D806ED" w:rsidRDefault="00D806ED">
      <w:pPr>
        <w:pStyle w:val="KeinLeerraum"/>
        <w:spacing w:before="600" w:after="0"/>
      </w:pPr>
    </w:p>
    <w:p w14:paraId="1B223A78" w14:textId="77777777" w:rsidR="00D806ED" w:rsidRDefault="00000000">
      <w:pPr>
        <w:pStyle w:val="KeinLeerraum"/>
        <w:spacing w:before="240" w:after="0"/>
        <w:jc w:val="center"/>
      </w:pPr>
      <w:r>
        <w:rPr>
          <w:u w:val="single"/>
        </w:rPr>
        <w:t>Eingereicht im Kurs</w:t>
      </w:r>
      <w:r>
        <w:t>:</w:t>
      </w:r>
    </w:p>
    <w:p w14:paraId="0B29CFC2" w14:textId="77777777" w:rsidR="00D806ED" w:rsidRDefault="00000000">
      <w:pPr>
        <w:pStyle w:val="KeinLeerraum"/>
        <w:spacing w:before="240" w:after="0"/>
        <w:jc w:val="center"/>
      </w:pPr>
      <w:r>
        <w:t>Supply Chain Management</w:t>
      </w:r>
    </w:p>
    <w:p w14:paraId="5E1407DD" w14:textId="77777777" w:rsidR="00D806ED" w:rsidRDefault="00000000">
      <w:pPr>
        <w:pStyle w:val="KeinLeerraum"/>
        <w:spacing w:before="240" w:after="0"/>
        <w:jc w:val="center"/>
      </w:pPr>
      <w:r>
        <w:rPr>
          <w:u w:val="single"/>
        </w:rPr>
        <w:t>bei der/dem Dozierenden</w:t>
      </w:r>
      <w:r>
        <w:t>:</w:t>
      </w:r>
    </w:p>
    <w:p w14:paraId="417E8094" w14:textId="77777777" w:rsidR="00D806ED" w:rsidRDefault="00000000">
      <w:pPr>
        <w:pStyle w:val="KeinLeerraum"/>
        <w:spacing w:before="240" w:after="0"/>
        <w:jc w:val="center"/>
      </w:pPr>
      <w:r>
        <w:t>Michael Fuchs</w:t>
      </w:r>
    </w:p>
    <w:p w14:paraId="2D1778B2" w14:textId="77777777" w:rsidR="00D806ED" w:rsidRDefault="00D806ED">
      <w:pPr>
        <w:pStyle w:val="KeinLeerraum"/>
        <w:spacing w:before="1200" w:after="0"/>
      </w:pPr>
    </w:p>
    <w:tbl>
      <w:tblPr>
        <w:tblW w:w="9000" w:type="dxa"/>
        <w:tblInd w:w="108" w:type="dxa"/>
        <w:tblLayout w:type="fixed"/>
        <w:tblLook w:val="0000" w:firstRow="0" w:lastRow="0" w:firstColumn="0" w:lastColumn="0" w:noHBand="0" w:noVBand="0"/>
      </w:tblPr>
      <w:tblGrid>
        <w:gridCol w:w="2600"/>
        <w:gridCol w:w="6400"/>
      </w:tblGrid>
      <w:tr w:rsidR="00D806ED" w14:paraId="1202A16E" w14:textId="77777777">
        <w:tc>
          <w:tcPr>
            <w:tcW w:w="2600" w:type="dxa"/>
          </w:tcPr>
          <w:p w14:paraId="787E10B7" w14:textId="77777777" w:rsidR="00D806ED" w:rsidRDefault="00000000">
            <w:pPr>
              <w:pStyle w:val="KeinLeerraum"/>
              <w:spacing w:before="160" w:after="160"/>
            </w:pPr>
            <w:r>
              <w:t>Vorgelegt von:</w:t>
            </w:r>
          </w:p>
        </w:tc>
        <w:tc>
          <w:tcPr>
            <w:tcW w:w="6400" w:type="dxa"/>
          </w:tcPr>
          <w:p w14:paraId="17542455" w14:textId="0D284FB2" w:rsidR="00D806ED" w:rsidRDefault="00000000">
            <w:pPr>
              <w:pStyle w:val="KeinLeerraum"/>
              <w:spacing w:before="160" w:after="160"/>
            </w:pPr>
            <w:r>
              <w:t xml:space="preserve">Görkem Taspinar, Adrian Ibrahimovic, Fynn Walker, Noa Djelmo</w:t>
            </w:r>
          </w:p>
        </w:tc>
      </w:tr>
      <w:tr w:rsidR="00D806ED" w14:paraId="4C563810" w14:textId="77777777">
        <w:tc>
          <w:tcPr>
            <w:tcW w:w="2600" w:type="dxa"/>
          </w:tcPr>
          <w:p w14:paraId="2449652A" w14:textId="77777777" w:rsidR="00D806ED" w:rsidRDefault="00000000">
            <w:pPr>
              <w:pStyle w:val="KeinLeerraum"/>
              <w:spacing w:before="160" w:after="160"/>
            </w:pPr>
            <w:r>
              <w:t>Studiengang:</w:t>
            </w:r>
          </w:p>
        </w:tc>
        <w:tc>
          <w:tcPr>
            <w:tcW w:w="6400" w:type="dxa"/>
          </w:tcPr>
          <w:p w14:paraId="2EBAB8F4" w14:textId="77777777" w:rsidR="00D806ED" w:rsidRDefault="00000000">
            <w:pPr>
              <w:pStyle w:val="KeinLeerraum"/>
              <w:spacing w:before="160" w:after="160"/>
            </w:pPr>
            <w:r>
              <w:t>BWI A-24</w:t>
            </w:r>
          </w:p>
        </w:tc>
      </w:tr>
      <w:tr w:rsidR="00D806ED" w14:paraId="7CBE13D1" w14:textId="77777777">
        <w:tc>
          <w:tcPr>
            <w:tcW w:w="2600" w:type="dxa"/>
          </w:tcPr>
          <w:p w14:paraId="22B1AC55" w14:textId="77777777" w:rsidR="00D806ED" w:rsidRPr="004E094B" w:rsidRDefault="00000000">
            <w:pPr>
              <w:pStyle w:val="KeinLeerraum"/>
              <w:spacing w:before="160" w:after="160"/>
            </w:pPr>
            <w:r>
              <w:t>Ort, Datum:</w:t>
            </w:r>
          </w:p>
        </w:tc>
        <w:tc>
          <w:tcPr>
            <w:tcW w:w="6400" w:type="dxa"/>
          </w:tcPr>
          <w:p w14:paraId="152D0FA6" w14:textId="1182ECC6" w:rsidR="00D806ED" w:rsidRPr="004E094B" w:rsidRDefault="004E094B">
            <w:pPr>
              <w:pStyle w:val="KeinLeerraum"/>
              <w:spacing w:before="160" w:after="160"/>
            </w:pPr>
            <w:r>
              <w:t xml:space="preserve">Zürich, 13. Januar 2027</w:t>
            </w:r>
          </w:p>
        </w:tc>
      </w:tr>
    </w:tbl>
    <w:p w14:paraId="230B21D4" w14:textId="77777777" w:rsidR="00D806ED" w:rsidRDefault="00000000">
      <w:pPr>
        <w:pStyle w:val="berschrift1"/>
        <w:numPr>
          <w:ilvl w:val="0"/>
          <w:numId w:val="0"/>
        </w:numPr>
      </w:pPr>
      <w:r>
        <w:br w:type="page"/>
      </w:r>
      <w:bookmarkStart w:id="0" w:name="_Toc243825017"/>
      <w:r>
        <w:lastRenderedPageBreak/>
        <w:t>Management Summary</w:t>
      </w:r>
      <w:bookmarkEnd w:id="0"/>
    </w:p>
    <w:p w14:paraId="7D1D80E1" w14:textId="77777777" w:rsidR="00D806ED" w:rsidRDefault="00000000">
      <w:pPr>
        <w:pStyle w:val="FirstParagraph"/>
      </w:pPr>
      <w:r>
        <w:rPr>
          <w:b/>
          <w:bCs/>
        </w:rPr>
        <w:t>Ausgangslage.</w:t>
      </w:r>
      <w:r>
        <w:t xml:space="preserve"> Die Grofu AG Indien Ltd. baut ein neues, eigenständiges Werk. Die Holding verlangt dazu ein Konzept für die Inbound-Logistik. Sie will Bestände senken (das Potenzial schätzt die Konzernzentrale auf 30–40 %), die Lieferzeiten auf Wettbewerbsniveau bringen (heute 30–50 % darüber) sowie Kosten und Personal reduzieren. Die Liefertreue im Anlagenbau liegt bei 55 %. Diese Arbeit fasst den Kurs Supply Chain Management zusammen und überträgt ihn auf die Fallstudie.</w:t>
      </w:r>
    </w:p>
    <w:p w14:paraId="6FE620C9" w14:textId="77777777" w:rsidR="00D806ED" w:rsidRDefault="00000000">
      <w:pPr>
        <w:pStyle w:val="Textkrper"/>
      </w:pPr>
      <w:r>
        <w:rPr>
          <w:b/>
          <w:bCs/>
        </w:rPr>
        <w:t>Befund.</w:t>
      </w:r>
      <w:r>
        <w:t xml:space="preserve"> Die Auswertung der 23 643 Rohmaterialien zeigt: 3,8 % der Materialien (A-Teile) tragen 70 % des Einkaufsvolumens, 87 % sind C-Teile mit fast 88 % der Bestellungen. Der Import über Karatschi macht nur 2,7 % des Werts aus, aber 22 % der Positionen. Die Begründung des indischen Managements («hoher Importanteil») trifft damit nur teilweise zu. Der grösste Hebel liegt in der eigenen Steuerung: Eine Budgetprognose drückt das Material durch zwei Lagerstufen, und Lager 2 hält mehrere Wochen statt drei Tage Bestand.</w:t>
      </w:r>
    </w:p>
    <w:p w14:paraId="6A84B255" w14:textId="77777777" w:rsidR="00D806ED" w:rsidRDefault="00000000">
      <w:pPr>
        <w:pStyle w:val="Textkrper"/>
      </w:pPr>
      <w:r>
        <w:rPr>
          <w:b/>
          <w:bCs/>
        </w:rPr>
        <w:t>Konzept «Fluss statt Bestand».</w:t>
      </w:r>
      <w:r>
        <w:t xml:space="preserve"> Alle Entscheide sind über Varianten und Nutzwertanalysen hergeleitet </w:t>
      </w:r>
      <w:r>
        <w:rPr>
          <w:shd w:val="clear" w:color="auto" w:fill="DDEBF7"/>
        </w:rPr>
        <w:t xml:space="preserve">und auf Sensitivität geprüft.</w:t>
      </w:r>
    </w:p>
    <w:p w14:paraId="7FBA55B2" w14:textId="77777777" w:rsidR="00D806ED" w:rsidRDefault="00000000">
      <w:pPr>
        <w:pStyle w:val="Compact"/>
        <w:numPr>
          <w:ilvl w:val="0"/>
          <w:numId w:val="4"/>
        </w:numPr>
      </w:pPr>
      <w:r>
        <w:rPr>
          <w:b/>
          <w:bCs/>
        </w:rPr>
        <w:t>Materialfluss (Block 1):</w:t>
      </w:r>
      <w:r>
        <w:t xml:space="preserve"> Zielbild ist Variante V3, der Direktzulauf in ein Zentrallager mit Zollverschluss im Werk. Ein Bonded Hub in einem indischen Westhafen dient als Übergang. Lager 2 und Lager 4 (Karatschi) entfallen, Karatschi bleibt Rückfallebene.</w:t>
      </w:r>
    </w:p>
    <w:p w14:paraId="2A76804E" w14:textId="77777777" w:rsidR="00D806ED" w:rsidRDefault="00000000">
      <w:pPr>
        <w:pStyle w:val="Compact"/>
        <w:numPr>
          <w:ilvl w:val="0"/>
          <w:numId w:val="4"/>
        </w:numPr>
      </w:pPr>
      <w:r>
        <w:rPr>
          <w:b/>
          <w:bCs/>
        </w:rPr>
        <w:t>Beschaffung (Block 2):</w:t>
      </w:r>
      <w:r>
        <w:t xml:space="preserve"> Steuerung nach ABC-Klasse, Planbarkeit und Herkunft. A/B-Teile werden häufiger abgerufen, mit Rahmenverträgen, QSV und Konsignation. C-Teile übernehmen wenige Systemlieferanten. Eine rollierende Bedarfsvorschau per EDI ersetzt das Jahresbudget.</w:t>
      </w:r>
    </w:p>
    <w:p w14:paraId="1F2506E1" w14:textId="77777777" w:rsidR="00D806ED" w:rsidRDefault="00000000">
      <w:pPr>
        <w:pStyle w:val="Compact"/>
        <w:numPr>
          <w:ilvl w:val="0"/>
          <w:numId w:val="4"/>
        </w:numPr>
      </w:pPr>
      <w:r>
        <w:rPr>
          <w:b/>
          <w:bCs/>
        </w:rPr>
        <w:t>Produktion (Block 3):</w:t>
      </w:r>
      <w:r>
        <w:t xml:space="preserve"> Die Fertigungsart wird je Segment gewählt. Anlagenbau-Module entstehen in einer Montagezelle mit Express-Spur, Endgeräte auf einer Taktlinie und Halbfabrikate in Fertigungsinseln. Der Entkopplungspunkt liegt im SFG-Supermarkt, der Nachschub läuft über Kanban und Milkrun.</w:t>
      </w:r>
    </w:p>
    <w:p w14:paraId="6A85B7B5" w14:textId="77777777" w:rsidR="00D806ED" w:rsidRDefault="00000000">
      <w:pPr>
        <w:pStyle w:val="Compact"/>
        <w:numPr>
          <w:ilvl w:val="0"/>
          <w:numId w:val="4"/>
        </w:numPr>
      </w:pPr>
      <w:r>
        <w:rPr>
          <w:b/>
          <w:bCs/>
        </w:rPr>
        <w:t>Lager (Block 4):</w:t>
      </w:r>
      <w:r>
        <w:t xml:space="preserve"> Es bleibt eine einzige Inbound-Lagerstufe. </w:t>
      </w:r>
      <w:r>
        <w:rPr>
          <w:shd w:val="clear" w:color="auto" w:fill="DDEBF7"/>
        </w:rPr>
        <w:t xml:space="preserve">Eine Ware-zur-Person-Anlage übernimmt A-, B- und Übersee-Teile, lokale C-Teile liefert ein Partner per Kanban an die Linie; der Kommissionieraufwand sinkt von 600 auf 31–100 Personen.</w:t>
      </w:r>
      <w:r>
        <w:t xml:space="preserve"> Ein Kennzahlen-Cockpit misst Umschlag, Fläche und Durchlaufzeit.</w:t>
      </w:r>
    </w:p>
    <w:p w14:paraId="26E59005" w14:textId="77777777" w:rsidR="00D806ED" w:rsidRDefault="00000000">
      <w:pPr>
        <w:pStyle w:val="Compact"/>
        <w:numPr>
          <w:ilvl w:val="0"/>
          <w:numId w:val="4"/>
        </w:numPr>
      </w:pPr>
      <w:r>
        <w:rPr>
          <w:b/>
          <w:bCs/>
        </w:rPr>
        <w:t>Distribution:</w:t>
      </w:r>
      <w:r>
        <w:t xml:space="preserve"> Im Anlagenbau bleibt die direkte Luftfracht. Für Eigenlabel dient ein Regionallager im Nahen Osten. Bei OEM trägt die Seefracht die Grundlast, Sea-Air deckt die Spitzen.</w:t>
      </w:r>
    </w:p>
    <w:p w14:paraId="4FD2CD8F" w14:textId="77777777" w:rsidR="00D806ED" w:rsidRDefault="00000000">
      <w:pPr>
        <w:pStyle w:val="FirstParagraph"/>
      </w:pPr>
      <w:r>
        <w:rPr>
          <w:b/>
          <w:bCs/>
        </w:rPr>
        <w:t>Wirkung und Umsetzung.</w:t>
      </w:r>
      <w:r>
        <w:t xml:space="preserve"> </w:t>
      </w:r>
      <w:r>
        <w:rPr>
          <w:shd w:val="clear" w:color="auto" w:fill="DDEBF7"/>
        </w:rPr>
        <w:t xml:space="preserve">Unter offengelegten Annahmen (Anhang H) sinkt</w:t>
      </w:r>
      <w:r>
        <w:t xml:space="preserve"> der Bestand um 30–41 %, und der Lagerumschlag steigt </w:t>
      </w:r>
      <w:r>
        <w:rPr>
          <w:shd w:val="clear" w:color="auto" w:fill="DDEBF7"/>
        </w:rPr>
        <w:t xml:space="preserve">von rund 1,4–1,8 auf 2,0–3,0 pro Jahr</w:t>
      </w:r>
      <w:r>
        <w:t xml:space="preserve">. Die Lieferzeit im Anlagenbau sinkt in der Modellrechnung </w:t>
      </w:r>
      <w:r>
        <w:rPr>
          <w:shd w:val="clear" w:color="auto" w:fill="DDEBF7"/>
        </w:rPr>
        <w:t xml:space="preserve">um 32–74 %, nötig wären 23–33 %</w:t>
      </w:r>
      <w:r>
        <w:t xml:space="preserve">. Die OEM-Frachtkosten sinken je nach Szenario um 15–48 %. Die Umsetzung folgt drei Phasen: erst messen und stabilisieren, dann Bestände abbauen, dann automatisieren. Das grösste Risiko ist die Importroute: </w:t>
      </w:r>
      <w:r>
        <w:rPr>
          <w:shd w:val="clear" w:color="auto" w:fill="DDEBF7"/>
        </w:rPr>
        <w:t xml:space="preserve">Seit Mai 2025 verbietet Indien Importe und Transit über Pakistan; die Abkehr von Karatschi ist deshalb zwingend.</w:t>
      </w:r>
      <w:r>
        <w:br w:type="page"/>
      </w:r>
    </w:p>
    <w:p w14:paraId="6524B433" w14:textId="77777777" w:rsidR="00D806ED" w:rsidRDefault="00000000">
      <w:pPr>
        <w:pStyle w:val="Inhaltsverzeichnisberschrift"/>
      </w:pPr>
      <w:r>
        <w:lastRenderedPageBreak/>
        <w:t>Inhaltsverzeichnis</w:t>
      </w:r>
    </w:p>
    <w:sdt>
      <w:sdtPr>
        <w:id w:val="-39976234"/>
        <w:docPartObj>
          <w:docPartGallery w:val="Table of Contents"/>
          <w:docPartUnique/>
        </w:docPartObj>
      </w:sdtPr>
      <w:sdtContent>
        <w:p w14:paraId="75971CC3" w14:textId="70496F06" w:rsidR="00AE2CD1" w:rsidRDefault="00000000">
          <w:pPr>
            <w:pStyle w:val="Verzeichnis1"/>
            <w:rPr>
              <w:rFonts w:asciiTheme="minorHAnsi" w:eastAsiaTheme="minorEastAsia" w:hAnsiTheme="minorHAnsi" w:cstheme="minorBidi"/>
              <w:b w:val="0"/>
              <w:bCs w:val="0"/>
              <w:smallCaps w:val="0"/>
              <w:noProof/>
              <w:kern w:val="2"/>
              <w:sz w:val="24"/>
              <w:szCs w:val="24"/>
              <w:lang w:eastAsia="de-CH"/>
              <w14:ligatures w14:val="standardContextual"/>
            </w:rPr>
          </w:pPr>
          <w:r>
            <w:fldChar w:fldCharType="begin"/>
          </w:r>
          <w:r>
            <w:rPr>
              <w:rStyle w:val="IndexLink"/>
              <w:webHidden/>
            </w:rPr>
            <w:instrText xml:space="preserve"> TOC \z \o "1-2" \u \h</w:instrText>
          </w:r>
          <w:r>
            <w:rPr>
              <w:rStyle w:val="IndexLink"/>
            </w:rPr>
            <w:fldChar w:fldCharType="separate"/>
          </w:r>
          <w:hyperlink w:anchor="_Toc243825017" w:history="1">
            <w:r>
              <w:rPr>
                <w:rStyle w:val="Hyperlink"/>
                <w:noProof/>
              </w:rPr>
              <w:t>Management Summary</w:t>
            </w:r>
            <w:r>
              <w:rPr>
                <w:noProof/>
                <w:webHidden/>
              </w:rPr>
              <w:tab/>
              <w:fldChar w:fldCharType="begin"/>
              <w:instrText xml:space="preserve"> PAGEREF _Toc243825017 \h </w:instrText>
              <w:fldChar w:fldCharType="separate"/>
              <w:t>II</w:t>
              <w:fldChar w:fldCharType="end"/>
            </w:r>
          </w:hyperlink>
        </w:p>
        <w:p w14:paraId="413754B5" w14:textId="311DD3F8" w:rsidR="00AE2CD1" w:rsidRDefault="00AE2CD1">
          <w:pPr>
            <w:pStyle w:val="Verzeichnis1"/>
            <w:rPr>
              <w:rFonts w:asciiTheme="minorHAnsi" w:eastAsiaTheme="minorEastAsia" w:hAnsiTheme="minorHAnsi" w:cstheme="minorBidi"/>
              <w:b w:val="0"/>
              <w:bCs w:val="0"/>
              <w:smallCaps w:val="0"/>
              <w:noProof/>
              <w:kern w:val="2"/>
              <w:sz w:val="24"/>
              <w:szCs w:val="24"/>
              <w:lang w:eastAsia="de-CH"/>
              <w14:ligatures w14:val="standardContextual"/>
            </w:rPr>
          </w:pPr>
          <w:hyperlink w:anchor="_Toc243825018" w:history="1">
            <w:r>
              <w:rPr>
                <w:rStyle w:val="Hyperlink"/>
                <w:noProof/>
              </w:rPr>
              <w:t>Abkürzungsverzeichnis</w:t>
            </w:r>
            <w:r>
              <w:rPr>
                <w:noProof/>
                <w:webHidden/>
              </w:rPr>
              <w:tab/>
              <w:fldChar w:fldCharType="begin"/>
              <w:instrText xml:space="preserve"> PAGEREF _Toc243825018 \h </w:instrText>
              <w:fldChar w:fldCharType="separate"/>
              <w:t>VI</w:t>
              <w:fldChar w:fldCharType="end"/>
            </w:r>
          </w:hyperlink>
        </w:p>
        <w:p w14:paraId="02B984F1" w14:textId="6708B225" w:rsidR="00AE2CD1" w:rsidRDefault="00AE2CD1">
          <w:pPr>
            <w:pStyle w:val="Verzeichnis1"/>
            <w:rPr>
              <w:rFonts w:asciiTheme="minorHAnsi" w:eastAsiaTheme="minorEastAsia" w:hAnsiTheme="minorHAnsi" w:cstheme="minorBidi"/>
              <w:b w:val="0"/>
              <w:bCs w:val="0"/>
              <w:smallCaps w:val="0"/>
              <w:noProof/>
              <w:kern w:val="2"/>
              <w:sz w:val="24"/>
              <w:szCs w:val="24"/>
              <w:lang w:eastAsia="de-CH"/>
              <w14:ligatures w14:val="standardContextual"/>
            </w:rPr>
          </w:pPr>
          <w:hyperlink w:anchor="_Toc243825019" w:history="1">
            <w:r>
              <w:rPr>
                <w:rStyle w:val="Hyperlink"/>
                <w:noProof/>
              </w:rPr>
              <w:t>1</w:t>
            </w:r>
            <w:r>
              <w:rPr>
                <w:rFonts w:asciiTheme="minorHAnsi" w:eastAsiaTheme="minorEastAsia" w:hAnsiTheme="minorHAnsi" w:cstheme="minorBidi"/>
                <w:b w:val="0"/>
                <w:bCs w:val="0"/>
                <w:smallCaps w:val="0"/>
                <w:noProof/>
                <w:kern w:val="2"/>
                <w:sz w:val="24"/>
                <w:szCs w:val="24"/>
                <w:lang w:eastAsia="de-CH"/>
                <w14:ligatures w14:val="standardContextual"/>
              </w:rPr>
              <w:tab/>
            </w:r>
            <w:r>
              <w:rPr>
                <w:rStyle w:val="Hyperlink"/>
                <w:noProof/>
              </w:rPr>
              <w:t>Einleitung</w:t>
            </w:r>
            <w:r>
              <w:rPr>
                <w:noProof/>
                <w:webHidden/>
              </w:rPr>
              <w:tab/>
              <w:fldChar w:fldCharType="begin"/>
              <w:instrText xml:space="preserve"> PAGEREF _Toc243825019 \h </w:instrText>
              <w:fldChar w:fldCharType="separate"/>
              <w:t>1</w:t>
              <w:fldChar w:fldCharType="end"/>
            </w:r>
          </w:hyperlink>
        </w:p>
        <w:p w14:paraId="222DB538" w14:textId="503AB2B1"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20" w:history="1">
            <w:r>
              <w:rPr>
                <w:rStyle w:val="Hyperlink"/>
                <w:noProof/>
              </w:rPr>
              <w:t>1.1</w:t>
            </w:r>
            <w:r>
              <w:rPr>
                <w:rFonts w:asciiTheme="minorHAnsi" w:eastAsiaTheme="minorEastAsia" w:hAnsiTheme="minorHAnsi" w:cstheme="minorBidi"/>
                <w:noProof/>
                <w:kern w:val="2"/>
                <w:sz w:val="24"/>
                <w:szCs w:val="24"/>
                <w:lang w:eastAsia="de-CH"/>
                <w14:ligatures w14:val="standardContextual"/>
              </w:rPr>
              <w:tab/>
            </w:r>
            <w:r>
              <w:rPr>
                <w:rStyle w:val="Hyperlink"/>
                <w:noProof/>
              </w:rPr>
              <w:t>Ausgangslage und Zielsetzung</w:t>
            </w:r>
            <w:r>
              <w:rPr>
                <w:noProof/>
                <w:webHidden/>
              </w:rPr>
              <w:tab/>
              <w:fldChar w:fldCharType="begin"/>
              <w:instrText xml:space="preserve"> PAGEREF _Toc243825020 \h </w:instrText>
              <w:fldChar w:fldCharType="separate"/>
              <w:t>1</w:t>
              <w:fldChar w:fldCharType="end"/>
            </w:r>
          </w:hyperlink>
        </w:p>
        <w:p w14:paraId="4E8DEA81" w14:textId="7256764A"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21" w:history="1">
            <w:r>
              <w:rPr>
                <w:rStyle w:val="Hyperlink"/>
                <w:noProof/>
              </w:rPr>
              <w:t>1.2</w:t>
            </w:r>
            <w:r>
              <w:rPr>
                <w:rFonts w:asciiTheme="minorHAnsi" w:eastAsiaTheme="minorEastAsia" w:hAnsiTheme="minorHAnsi" w:cstheme="minorBidi"/>
                <w:noProof/>
                <w:kern w:val="2"/>
                <w:sz w:val="24"/>
                <w:szCs w:val="24"/>
                <w:lang w:eastAsia="de-CH"/>
                <w14:ligatures w14:val="standardContextual"/>
              </w:rPr>
              <w:tab/>
            </w:r>
            <w:r>
              <w:rPr>
                <w:rStyle w:val="Hyperlink"/>
                <w:noProof/>
              </w:rPr>
              <w:t>Vorgehen und Abgrenzung</w:t>
            </w:r>
            <w:r>
              <w:rPr>
                <w:noProof/>
                <w:webHidden/>
              </w:rPr>
              <w:tab/>
              <w:fldChar w:fldCharType="begin"/>
              <w:instrText xml:space="preserve"> PAGEREF _Toc243825021 \h </w:instrText>
              <w:fldChar w:fldCharType="separate"/>
              <w:t>1</w:t>
              <w:fldChar w:fldCharType="end"/>
            </w:r>
          </w:hyperlink>
        </w:p>
        <w:p w14:paraId="356A3A72" w14:textId="2AF0621A" w:rsidR="00AE2CD1" w:rsidRDefault="00AE2CD1">
          <w:pPr>
            <w:pStyle w:val="Verzeichnis1"/>
            <w:rPr>
              <w:rFonts w:asciiTheme="minorHAnsi" w:eastAsiaTheme="minorEastAsia" w:hAnsiTheme="minorHAnsi" w:cstheme="minorBidi"/>
              <w:b w:val="0"/>
              <w:bCs w:val="0"/>
              <w:smallCaps w:val="0"/>
              <w:noProof/>
              <w:kern w:val="2"/>
              <w:sz w:val="24"/>
              <w:szCs w:val="24"/>
              <w:lang w:eastAsia="de-CH"/>
              <w14:ligatures w14:val="standardContextual"/>
            </w:rPr>
          </w:pPr>
          <w:hyperlink w:anchor="_Toc243825022" w:history="1">
            <w:r>
              <w:rPr>
                <w:rStyle w:val="Hyperlink"/>
                <w:noProof/>
              </w:rPr>
              <w:t>2</w:t>
            </w:r>
            <w:r>
              <w:rPr>
                <w:rFonts w:asciiTheme="minorHAnsi" w:eastAsiaTheme="minorEastAsia" w:hAnsiTheme="minorHAnsi" w:cstheme="minorBidi"/>
                <w:b w:val="0"/>
                <w:bCs w:val="0"/>
                <w:smallCaps w:val="0"/>
                <w:noProof/>
                <w:kern w:val="2"/>
                <w:sz w:val="24"/>
                <w:szCs w:val="24"/>
                <w:lang w:eastAsia="de-CH"/>
                <w14:ligatures w14:val="standardContextual"/>
              </w:rPr>
              <w:tab/>
            </w:r>
            <w:r>
              <w:rPr>
                <w:rStyle w:val="Hyperlink"/>
                <w:noProof/>
              </w:rPr>
              <w:t>Kursbegleitende Zusammenfassung</w:t>
            </w:r>
            <w:r>
              <w:rPr>
                <w:noProof/>
                <w:webHidden/>
              </w:rPr>
              <w:tab/>
              <w:fldChar w:fldCharType="begin"/>
              <w:instrText xml:space="preserve"> PAGEREF _Toc243825022 \h </w:instrText>
              <w:fldChar w:fldCharType="separate"/>
              <w:t>2</w:t>
              <w:fldChar w:fldCharType="end"/>
            </w:r>
          </w:hyperlink>
        </w:p>
        <w:p w14:paraId="4750EA40" w14:textId="396A5985"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23" w:history="1">
            <w:r>
              <w:rPr>
                <w:rStyle w:val="Hyperlink"/>
                <w:noProof/>
              </w:rPr>
              <w:t>2.1</w:t>
            </w:r>
            <w:r>
              <w:rPr>
                <w:rFonts w:asciiTheme="minorHAnsi" w:eastAsiaTheme="minorEastAsia" w:hAnsiTheme="minorHAnsi" w:cstheme="minorBidi"/>
                <w:noProof/>
                <w:kern w:val="2"/>
                <w:sz w:val="24"/>
                <w:szCs w:val="24"/>
                <w:lang w:eastAsia="de-CH"/>
                <w14:ligatures w14:val="standardContextual"/>
              </w:rPr>
              <w:tab/>
            </w:r>
            <w:r>
              <w:rPr>
                <w:rStyle w:val="Hyperlink"/>
                <w:noProof/>
              </w:rPr>
              <w:t>Supply Chain Management als Erfolgsfaktor</w:t>
            </w:r>
            <w:r>
              <w:rPr>
                <w:noProof/>
                <w:webHidden/>
              </w:rPr>
              <w:tab/>
              <w:fldChar w:fldCharType="begin"/>
              <w:instrText xml:space="preserve"> PAGEREF _Toc243825023 \h </w:instrText>
              <w:fldChar w:fldCharType="separate"/>
              <w:t>2</w:t>
              <w:fldChar w:fldCharType="end"/>
            </w:r>
          </w:hyperlink>
        </w:p>
        <w:p w14:paraId="063773FE" w14:textId="526D5E60"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24" w:history="1">
            <w:r>
              <w:rPr>
                <w:rStyle w:val="Hyperlink"/>
                <w:noProof/>
              </w:rPr>
              <w:t>2.2</w:t>
            </w:r>
            <w:r>
              <w:rPr>
                <w:rFonts w:asciiTheme="minorHAnsi" w:eastAsiaTheme="minorEastAsia" w:hAnsiTheme="minorHAnsi" w:cstheme="minorBidi"/>
                <w:noProof/>
                <w:kern w:val="2"/>
                <w:sz w:val="24"/>
                <w:szCs w:val="24"/>
                <w:lang w:eastAsia="de-CH"/>
                <w14:ligatures w14:val="standardContextual"/>
              </w:rPr>
              <w:tab/>
            </w:r>
            <w:r>
              <w:rPr>
                <w:rStyle w:val="Hyperlink"/>
                <w:noProof/>
              </w:rPr>
              <w:t>Analysemethoden</w:t>
            </w:r>
            <w:r>
              <w:rPr>
                <w:noProof/>
                <w:webHidden/>
              </w:rPr>
              <w:tab/>
              <w:fldChar w:fldCharType="begin"/>
              <w:instrText xml:space="preserve"> PAGEREF _Toc243825024 \h </w:instrText>
              <w:fldChar w:fldCharType="separate"/>
              <w:t>2</w:t>
              <w:fldChar w:fldCharType="end"/>
            </w:r>
          </w:hyperlink>
        </w:p>
        <w:p w14:paraId="1869897A" w14:textId="18DD8546"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25" w:history="1">
            <w:r>
              <w:rPr>
                <w:rStyle w:val="Hyperlink"/>
                <w:noProof/>
              </w:rPr>
              <w:t>2.3</w:t>
            </w:r>
            <w:r>
              <w:rPr>
                <w:rFonts w:asciiTheme="minorHAnsi" w:eastAsiaTheme="minorEastAsia" w:hAnsiTheme="minorHAnsi" w:cstheme="minorBidi"/>
                <w:noProof/>
                <w:kern w:val="2"/>
                <w:sz w:val="24"/>
                <w:szCs w:val="24"/>
                <w:lang w:eastAsia="de-CH"/>
                <w14:ligatures w14:val="standardContextual"/>
              </w:rPr>
              <w:tab/>
            </w:r>
            <w:r>
              <w:rPr>
                <w:rStyle w:val="Hyperlink"/>
                <w:noProof/>
              </w:rPr>
              <w:t>Nachhaltigkeit, Risiko und Digitalisierung</w:t>
            </w:r>
            <w:r>
              <w:rPr>
                <w:noProof/>
                <w:webHidden/>
              </w:rPr>
              <w:tab/>
              <w:fldChar w:fldCharType="begin"/>
              <w:instrText xml:space="preserve"> PAGEREF _Toc243825025 \h </w:instrText>
              <w:fldChar w:fldCharType="separate"/>
              <w:t>2</w:t>
              <w:fldChar w:fldCharType="end"/>
            </w:r>
          </w:hyperlink>
        </w:p>
        <w:p w14:paraId="23CBDB9F" w14:textId="319ADEC8"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26" w:history="1">
            <w:r>
              <w:rPr>
                <w:rStyle w:val="Hyperlink"/>
                <w:noProof/>
              </w:rPr>
              <w:t>2.4</w:t>
            </w:r>
            <w:r>
              <w:rPr>
                <w:rFonts w:asciiTheme="minorHAnsi" w:eastAsiaTheme="minorEastAsia" w:hAnsiTheme="minorHAnsi" w:cstheme="minorBidi"/>
                <w:noProof/>
                <w:kern w:val="2"/>
                <w:sz w:val="24"/>
                <w:szCs w:val="24"/>
                <w:lang w:eastAsia="de-CH"/>
                <w14:ligatures w14:val="standardContextual"/>
              </w:rPr>
              <w:tab/>
            </w:r>
            <w:r>
              <w:rPr>
                <w:rStyle w:val="Hyperlink"/>
                <w:noProof/>
              </w:rPr>
              <w:t>Beschaffungslogistik</w:t>
            </w:r>
            <w:r>
              <w:rPr>
                <w:noProof/>
                <w:webHidden/>
              </w:rPr>
              <w:tab/>
              <w:fldChar w:fldCharType="begin"/>
              <w:instrText xml:space="preserve"> PAGEREF _Toc243825026 \h </w:instrText>
              <w:fldChar w:fldCharType="separate"/>
              <w:t>3</w:t>
              <w:fldChar w:fldCharType="end"/>
            </w:r>
          </w:hyperlink>
        </w:p>
        <w:p w14:paraId="5EB5357B" w14:textId="3AEBE4C3"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27" w:history="1">
            <w:r>
              <w:rPr>
                <w:rStyle w:val="Hyperlink"/>
                <w:noProof/>
              </w:rPr>
              <w:t>2.5</w:t>
            </w:r>
            <w:r>
              <w:rPr>
                <w:rFonts w:asciiTheme="minorHAnsi" w:eastAsiaTheme="minorEastAsia" w:hAnsiTheme="minorHAnsi" w:cstheme="minorBidi"/>
                <w:noProof/>
                <w:kern w:val="2"/>
                <w:sz w:val="24"/>
                <w:szCs w:val="24"/>
                <w:lang w:eastAsia="de-CH"/>
                <w14:ligatures w14:val="standardContextual"/>
              </w:rPr>
              <w:tab/>
            </w:r>
            <w:r>
              <w:rPr>
                <w:rStyle w:val="Hyperlink"/>
                <w:noProof/>
              </w:rPr>
              <w:t>Produktionslogistik</w:t>
            </w:r>
            <w:r>
              <w:rPr>
                <w:noProof/>
                <w:webHidden/>
              </w:rPr>
              <w:tab/>
              <w:fldChar w:fldCharType="begin"/>
              <w:instrText xml:space="preserve"> PAGEREF _Toc243825027 \h </w:instrText>
              <w:fldChar w:fldCharType="separate"/>
              <w:t>3</w:t>
              <w:fldChar w:fldCharType="end"/>
            </w:r>
          </w:hyperlink>
        </w:p>
        <w:p w14:paraId="68D19DE7" w14:textId="40715E31"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28" w:history="1">
            <w:r>
              <w:rPr>
                <w:rStyle w:val="Hyperlink"/>
                <w:noProof/>
              </w:rPr>
              <w:t>2.6</w:t>
            </w:r>
            <w:r>
              <w:rPr>
                <w:rFonts w:asciiTheme="minorHAnsi" w:eastAsiaTheme="minorEastAsia" w:hAnsiTheme="minorHAnsi" w:cstheme="minorBidi"/>
                <w:noProof/>
                <w:kern w:val="2"/>
                <w:sz w:val="24"/>
                <w:szCs w:val="24"/>
                <w:lang w:eastAsia="de-CH"/>
                <w14:ligatures w14:val="standardContextual"/>
              </w:rPr>
              <w:tab/>
            </w:r>
            <w:r>
              <w:rPr>
                <w:rStyle w:val="Hyperlink"/>
                <w:noProof/>
              </w:rPr>
              <w:t>Lager, Distribution und Make-or-Buy</w:t>
            </w:r>
            <w:r>
              <w:rPr>
                <w:noProof/>
                <w:webHidden/>
              </w:rPr>
              <w:tab/>
              <w:fldChar w:fldCharType="begin"/>
              <w:instrText xml:space="preserve"> PAGEREF _Toc243825028 \h </w:instrText>
              <w:fldChar w:fldCharType="separate"/>
              <w:t>3</w:t>
              <w:fldChar w:fldCharType="end"/>
            </w:r>
          </w:hyperlink>
        </w:p>
        <w:p w14:paraId="4CA3882D" w14:textId="5D04CD71"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29" w:history="1">
            <w:r>
              <w:rPr>
                <w:rStyle w:val="Hyperlink"/>
                <w:noProof/>
              </w:rPr>
              <w:t>2.7</w:t>
            </w:r>
            <w:r>
              <w:rPr>
                <w:rFonts w:asciiTheme="minorHAnsi" w:eastAsiaTheme="minorEastAsia" w:hAnsiTheme="minorHAnsi" w:cstheme="minorBidi"/>
                <w:noProof/>
                <w:kern w:val="2"/>
                <w:sz w:val="24"/>
                <w:szCs w:val="24"/>
                <w:lang w:eastAsia="de-CH"/>
                <w14:ligatures w14:val="standardContextual"/>
              </w:rPr>
              <w:tab/>
            </w:r>
            <w:r>
              <w:rPr>
                <w:rStyle w:val="Hyperlink"/>
                <w:noProof/>
              </w:rPr>
              <w:t>Persönliche Reflexion</w:t>
            </w:r>
            <w:r>
              <w:rPr>
                <w:noProof/>
                <w:webHidden/>
              </w:rPr>
              <w:tab/>
              <w:fldChar w:fldCharType="begin"/>
              <w:instrText xml:space="preserve"> PAGEREF _Toc243825029 \h </w:instrText>
              <w:fldChar w:fldCharType="separate"/>
              <w:t>4</w:t>
              <w:fldChar w:fldCharType="end"/>
            </w:r>
          </w:hyperlink>
        </w:p>
        <w:p w14:paraId="38ABF759" w14:textId="677E1D1E" w:rsidR="00AE2CD1" w:rsidRDefault="00AE2CD1">
          <w:pPr>
            <w:pStyle w:val="Verzeichnis1"/>
            <w:rPr>
              <w:rFonts w:asciiTheme="minorHAnsi" w:eastAsiaTheme="minorEastAsia" w:hAnsiTheme="minorHAnsi" w:cstheme="minorBidi"/>
              <w:b w:val="0"/>
              <w:bCs w:val="0"/>
              <w:smallCaps w:val="0"/>
              <w:noProof/>
              <w:kern w:val="2"/>
              <w:sz w:val="24"/>
              <w:szCs w:val="24"/>
              <w:lang w:eastAsia="de-CH"/>
              <w14:ligatures w14:val="standardContextual"/>
            </w:rPr>
          </w:pPr>
          <w:hyperlink w:anchor="_Toc243825030" w:history="1">
            <w:r>
              <w:rPr>
                <w:rStyle w:val="Hyperlink"/>
                <w:noProof/>
              </w:rPr>
              <w:t>3</w:t>
            </w:r>
            <w:r>
              <w:rPr>
                <w:rFonts w:asciiTheme="minorHAnsi" w:eastAsiaTheme="minorEastAsia" w:hAnsiTheme="minorHAnsi" w:cstheme="minorBidi"/>
                <w:b w:val="0"/>
                <w:bCs w:val="0"/>
                <w:smallCaps w:val="0"/>
                <w:noProof/>
                <w:kern w:val="2"/>
                <w:sz w:val="24"/>
                <w:szCs w:val="24"/>
                <w:lang w:eastAsia="de-CH"/>
                <w14:ligatures w14:val="standardContextual"/>
              </w:rPr>
              <w:tab/>
            </w:r>
            <w:r>
              <w:rPr>
                <w:rStyle w:val="Hyperlink"/>
                <w:noProof/>
              </w:rPr>
              <w:t>Ist-Analyse</w:t>
            </w:r>
            <w:r>
              <w:rPr>
                <w:noProof/>
                <w:webHidden/>
              </w:rPr>
              <w:tab/>
              <w:fldChar w:fldCharType="begin"/>
              <w:instrText xml:space="preserve"> PAGEREF _Toc243825030 \h </w:instrText>
              <w:fldChar w:fldCharType="separate"/>
              <w:t>5</w:t>
              <w:fldChar w:fldCharType="end"/>
            </w:r>
          </w:hyperlink>
        </w:p>
        <w:p w14:paraId="383CD25F" w14:textId="09ADDF61"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31" w:history="1">
            <w:r>
              <w:rPr>
                <w:rStyle w:val="Hyperlink"/>
                <w:noProof/>
              </w:rPr>
              <w:t>3.1</w:t>
            </w:r>
            <w:r>
              <w:rPr>
                <w:rFonts w:asciiTheme="minorHAnsi" w:eastAsiaTheme="minorEastAsia" w:hAnsiTheme="minorHAnsi" w:cstheme="minorBidi"/>
                <w:noProof/>
                <w:kern w:val="2"/>
                <w:sz w:val="24"/>
                <w:szCs w:val="24"/>
                <w:lang w:eastAsia="de-CH"/>
                <w14:ligatures w14:val="standardContextual"/>
              </w:rPr>
              <w:tab/>
            </w:r>
            <w:r>
              <w:rPr>
                <w:rStyle w:val="Hyperlink"/>
                <w:noProof/>
              </w:rPr>
              <w:t>Ist-Materialfluss und Schwachstellen</w:t>
            </w:r>
            <w:r>
              <w:rPr>
                <w:noProof/>
                <w:webHidden/>
              </w:rPr>
              <w:tab/>
              <w:fldChar w:fldCharType="begin"/>
              <w:instrText xml:space="preserve"> PAGEREF _Toc243825031 \h </w:instrText>
              <w:fldChar w:fldCharType="separate"/>
              <w:t>5</w:t>
              <w:fldChar w:fldCharType="end"/>
            </w:r>
          </w:hyperlink>
        </w:p>
        <w:p w14:paraId="105F5377" w14:textId="584713B4"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32" w:history="1">
            <w:r>
              <w:rPr>
                <w:rStyle w:val="Hyperlink"/>
                <w:noProof/>
              </w:rPr>
              <w:t>3.2</w:t>
            </w:r>
            <w:r>
              <w:rPr>
                <w:rFonts w:asciiTheme="minorHAnsi" w:eastAsiaTheme="minorEastAsia" w:hAnsiTheme="minorHAnsi" w:cstheme="minorBidi"/>
                <w:noProof/>
                <w:kern w:val="2"/>
                <w:sz w:val="24"/>
                <w:szCs w:val="24"/>
                <w:lang w:eastAsia="de-CH"/>
                <w14:ligatures w14:val="standardContextual"/>
              </w:rPr>
              <w:tab/>
            </w:r>
            <w:r>
              <w:rPr>
                <w:rStyle w:val="Hyperlink"/>
                <w:noProof/>
              </w:rPr>
              <w:t>ABC-Analyse</w:t>
            </w:r>
            <w:r>
              <w:rPr>
                <w:noProof/>
                <w:webHidden/>
              </w:rPr>
              <w:tab/>
              <w:fldChar w:fldCharType="begin"/>
              <w:instrText xml:space="preserve"> PAGEREF _Toc243825032 \h </w:instrText>
              <w:fldChar w:fldCharType="separate"/>
              <w:t>6</w:t>
              <w:fldChar w:fldCharType="end"/>
            </w:r>
          </w:hyperlink>
        </w:p>
        <w:p w14:paraId="3411C49D" w14:textId="56ABC701"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33" w:history="1">
            <w:r>
              <w:rPr>
                <w:rStyle w:val="Hyperlink"/>
                <w:noProof/>
              </w:rPr>
              <w:t>3.3</w:t>
            </w:r>
            <w:r>
              <w:rPr>
                <w:rFonts w:asciiTheme="minorHAnsi" w:eastAsiaTheme="minorEastAsia" w:hAnsiTheme="minorHAnsi" w:cstheme="minorBidi"/>
                <w:noProof/>
                <w:kern w:val="2"/>
                <w:sz w:val="24"/>
                <w:szCs w:val="24"/>
                <w:lang w:eastAsia="de-CH"/>
                <w14:ligatures w14:val="standardContextual"/>
              </w:rPr>
              <w:tab/>
            </w:r>
            <w:r>
              <w:rPr>
                <w:rStyle w:val="Hyperlink"/>
                <w:noProof/>
              </w:rPr>
              <w:t>Zielabweichung</w:t>
            </w:r>
            <w:r>
              <w:rPr>
                <w:noProof/>
                <w:webHidden/>
              </w:rPr>
              <w:tab/>
              <w:fldChar w:fldCharType="begin"/>
              <w:instrText xml:space="preserve"> PAGEREF _Toc243825033 \h </w:instrText>
              <w:fldChar w:fldCharType="separate"/>
              <w:t>7</w:t>
              <w:fldChar w:fldCharType="end"/>
            </w:r>
          </w:hyperlink>
        </w:p>
        <w:p w14:paraId="28B08058" w14:textId="33DA2419"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34" w:history="1">
            <w:r>
              <w:rPr>
                <w:rStyle w:val="Hyperlink"/>
                <w:noProof/>
              </w:rPr>
              <w:t>3.4</w:t>
            </w:r>
            <w:r>
              <w:rPr>
                <w:rFonts w:asciiTheme="minorHAnsi" w:eastAsiaTheme="minorEastAsia" w:hAnsiTheme="minorHAnsi" w:cstheme="minorBidi"/>
                <w:noProof/>
                <w:kern w:val="2"/>
                <w:sz w:val="24"/>
                <w:szCs w:val="24"/>
                <w:lang w:eastAsia="de-CH"/>
                <w14:ligatures w14:val="standardContextual"/>
              </w:rPr>
              <w:tab/>
            </w:r>
            <w:r>
              <w:rPr>
                <w:rStyle w:val="Hyperlink"/>
                <w:noProof/>
              </w:rPr>
              <w:t>Erkenntnisse</w:t>
            </w:r>
            <w:r>
              <w:rPr>
                <w:noProof/>
                <w:webHidden/>
              </w:rPr>
              <w:tab/>
              <w:fldChar w:fldCharType="begin"/>
              <w:instrText xml:space="preserve"> PAGEREF _Toc243825034 \h </w:instrText>
              <w:fldChar w:fldCharType="separate"/>
              <w:t>7</w:t>
              <w:fldChar w:fldCharType="end"/>
            </w:r>
          </w:hyperlink>
        </w:p>
        <w:p w14:paraId="16388A7C" w14:textId="0614A63D" w:rsidR="00AE2CD1" w:rsidRDefault="00AE2CD1">
          <w:pPr>
            <w:pStyle w:val="Verzeichnis1"/>
            <w:rPr>
              <w:rFonts w:asciiTheme="minorHAnsi" w:eastAsiaTheme="minorEastAsia" w:hAnsiTheme="minorHAnsi" w:cstheme="minorBidi"/>
              <w:b w:val="0"/>
              <w:bCs w:val="0"/>
              <w:smallCaps w:val="0"/>
              <w:noProof/>
              <w:kern w:val="2"/>
              <w:sz w:val="24"/>
              <w:szCs w:val="24"/>
              <w:lang w:eastAsia="de-CH"/>
              <w14:ligatures w14:val="standardContextual"/>
            </w:rPr>
          </w:pPr>
          <w:hyperlink w:anchor="_Toc243825035" w:history="1">
            <w:r>
              <w:rPr>
                <w:rStyle w:val="Hyperlink"/>
                <w:noProof/>
              </w:rPr>
              <w:t>4</w:t>
            </w:r>
            <w:r>
              <w:rPr>
                <w:rFonts w:asciiTheme="minorHAnsi" w:eastAsiaTheme="minorEastAsia" w:hAnsiTheme="minorHAnsi" w:cstheme="minorBidi"/>
                <w:b w:val="0"/>
                <w:bCs w:val="0"/>
                <w:smallCaps w:val="0"/>
                <w:noProof/>
                <w:kern w:val="2"/>
                <w:sz w:val="24"/>
                <w:szCs w:val="24"/>
                <w:lang w:eastAsia="de-CH"/>
                <w14:ligatures w14:val="standardContextual"/>
              </w:rPr>
              <w:tab/>
            </w:r>
            <w:r>
              <w:rPr>
                <w:rStyle w:val="Hyperlink"/>
                <w:noProof/>
              </w:rPr>
              <w:t>Block 1 – Gesamt-Materialfluss neu strukturiert</w:t>
            </w:r>
            <w:r>
              <w:rPr>
                <w:noProof/>
                <w:webHidden/>
              </w:rPr>
              <w:tab/>
              <w:fldChar w:fldCharType="begin"/>
              <w:instrText xml:space="preserve"> PAGEREF _Toc243825035 \h </w:instrText>
              <w:fldChar w:fldCharType="separate"/>
              <w:t>8</w:t>
              <w:fldChar w:fldCharType="end"/>
            </w:r>
          </w:hyperlink>
        </w:p>
        <w:p w14:paraId="12257AB6" w14:textId="0CFC8453"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36" w:history="1">
            <w:r>
              <w:rPr>
                <w:rStyle w:val="Hyperlink"/>
                <w:noProof/>
              </w:rPr>
              <w:t>4.1</w:t>
            </w:r>
            <w:r>
              <w:rPr>
                <w:rFonts w:asciiTheme="minorHAnsi" w:eastAsiaTheme="minorEastAsia" w:hAnsiTheme="minorHAnsi" w:cstheme="minorBidi"/>
                <w:noProof/>
                <w:kern w:val="2"/>
                <w:sz w:val="24"/>
                <w:szCs w:val="24"/>
                <w:lang w:eastAsia="de-CH"/>
                <w14:ligatures w14:val="standardContextual"/>
              </w:rPr>
              <w:tab/>
            </w:r>
            <w:r>
              <w:rPr>
                <w:rStyle w:val="Hyperlink"/>
                <w:noProof/>
              </w:rPr>
              <w:t>Gestaltungsprinzipien</w:t>
            </w:r>
            <w:r>
              <w:rPr>
                <w:noProof/>
                <w:webHidden/>
              </w:rPr>
              <w:tab/>
              <w:fldChar w:fldCharType="begin"/>
              <w:instrText xml:space="preserve"> PAGEREF _Toc243825036 \h </w:instrText>
              <w:fldChar w:fldCharType="separate"/>
              <w:t>8</w:t>
              <w:fldChar w:fldCharType="end"/>
            </w:r>
          </w:hyperlink>
        </w:p>
        <w:p w14:paraId="42E14C6B" w14:textId="49F6CFBF"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37" w:history="1">
            <w:r>
              <w:rPr>
                <w:rStyle w:val="Hyperlink"/>
                <w:noProof/>
              </w:rPr>
              <w:t>4.2</w:t>
            </w:r>
            <w:r>
              <w:rPr>
                <w:rFonts w:asciiTheme="minorHAnsi" w:eastAsiaTheme="minorEastAsia" w:hAnsiTheme="minorHAnsi" w:cstheme="minorBidi"/>
                <w:noProof/>
                <w:kern w:val="2"/>
                <w:sz w:val="24"/>
                <w:szCs w:val="24"/>
                <w:lang w:eastAsia="de-CH"/>
                <w14:ligatures w14:val="standardContextual"/>
              </w:rPr>
              <w:tab/>
            </w:r>
            <w:r>
              <w:rPr>
                <w:rStyle w:val="Hyperlink"/>
                <w:noProof/>
              </w:rPr>
              <w:t>Importroute: Varianten und Nutzwertanalyse</w:t>
            </w:r>
            <w:r>
              <w:rPr>
                <w:noProof/>
                <w:webHidden/>
              </w:rPr>
              <w:tab/>
              <w:fldChar w:fldCharType="begin"/>
              <w:instrText xml:space="preserve"> PAGEREF _Toc243825037 \h </w:instrText>
              <w:fldChar w:fldCharType="separate"/>
              <w:t>9</w:t>
              <w:fldChar w:fldCharType="end"/>
            </w:r>
          </w:hyperlink>
        </w:p>
        <w:p w14:paraId="583D7678" w14:textId="5C8135B0"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38" w:history="1">
            <w:r>
              <w:rPr>
                <w:rStyle w:val="Hyperlink"/>
                <w:noProof/>
              </w:rPr>
              <w:t>4.3</w:t>
            </w:r>
            <w:r>
              <w:rPr>
                <w:rFonts w:asciiTheme="minorHAnsi" w:eastAsiaTheme="minorEastAsia" w:hAnsiTheme="minorHAnsi" w:cstheme="minorBidi"/>
                <w:noProof/>
                <w:kern w:val="2"/>
                <w:sz w:val="24"/>
                <w:szCs w:val="24"/>
                <w:lang w:eastAsia="de-CH"/>
                <w14:ligatures w14:val="standardContextual"/>
              </w:rPr>
              <w:tab/>
            </w:r>
            <w:r>
              <w:rPr>
                <w:rStyle w:val="Hyperlink"/>
                <w:noProof/>
              </w:rPr>
              <w:t>Entscheid und Soll-Materialfluss</w:t>
            </w:r>
            <w:r>
              <w:rPr>
                <w:noProof/>
                <w:webHidden/>
              </w:rPr>
              <w:tab/>
              <w:fldChar w:fldCharType="begin"/>
              <w:instrText xml:space="preserve"> PAGEREF _Toc243825038 \h </w:instrText>
              <w:fldChar w:fldCharType="separate"/>
              <w:t>10</w:t>
              <w:fldChar w:fldCharType="end"/>
            </w:r>
          </w:hyperlink>
        </w:p>
        <w:p w14:paraId="48F6AC04" w14:textId="5E25D6ED" w:rsidR="00AE2CD1" w:rsidRDefault="00AE2CD1">
          <w:pPr>
            <w:pStyle w:val="Verzeichnis1"/>
            <w:rPr>
              <w:rFonts w:asciiTheme="minorHAnsi" w:eastAsiaTheme="minorEastAsia" w:hAnsiTheme="minorHAnsi" w:cstheme="minorBidi"/>
              <w:b w:val="0"/>
              <w:bCs w:val="0"/>
              <w:smallCaps w:val="0"/>
              <w:noProof/>
              <w:kern w:val="2"/>
              <w:sz w:val="24"/>
              <w:szCs w:val="24"/>
              <w:lang w:eastAsia="de-CH"/>
              <w14:ligatures w14:val="standardContextual"/>
            </w:rPr>
          </w:pPr>
          <w:hyperlink w:anchor="_Toc243825039" w:history="1">
            <w:r>
              <w:rPr>
                <w:rStyle w:val="Hyperlink"/>
                <w:noProof/>
              </w:rPr>
              <w:t>5</w:t>
            </w:r>
            <w:r>
              <w:rPr>
                <w:rFonts w:asciiTheme="minorHAnsi" w:eastAsiaTheme="minorEastAsia" w:hAnsiTheme="minorHAnsi" w:cstheme="minorBidi"/>
                <w:b w:val="0"/>
                <w:bCs w:val="0"/>
                <w:smallCaps w:val="0"/>
                <w:noProof/>
                <w:kern w:val="2"/>
                <w:sz w:val="24"/>
                <w:szCs w:val="24"/>
                <w:lang w:eastAsia="de-CH"/>
                <w14:ligatures w14:val="standardContextual"/>
              </w:rPr>
              <w:tab/>
            </w:r>
            <w:r>
              <w:rPr>
                <w:rStyle w:val="Hyperlink"/>
                <w:noProof/>
              </w:rPr>
              <w:t>Block 2 – Beiträge der operativen Beschaffung</w:t>
            </w:r>
            <w:r>
              <w:rPr>
                <w:noProof/>
                <w:webHidden/>
              </w:rPr>
              <w:tab/>
              <w:fldChar w:fldCharType="begin"/>
              <w:instrText xml:space="preserve"> PAGEREF _Toc243825039 \h </w:instrText>
              <w:fldChar w:fldCharType="separate"/>
              <w:t>11</w:t>
              <w:fldChar w:fldCharType="end"/>
            </w:r>
          </w:hyperlink>
        </w:p>
        <w:p w14:paraId="3A31E7CD" w14:textId="2F744A27"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40" w:history="1">
            <w:r>
              <w:rPr>
                <w:rStyle w:val="Hyperlink"/>
                <w:noProof/>
              </w:rPr>
              <w:t>5.1</w:t>
            </w:r>
            <w:r>
              <w:rPr>
                <w:rFonts w:asciiTheme="minorHAnsi" w:eastAsiaTheme="minorEastAsia" w:hAnsiTheme="minorHAnsi" w:cstheme="minorBidi"/>
                <w:noProof/>
                <w:kern w:val="2"/>
                <w:sz w:val="24"/>
                <w:szCs w:val="24"/>
                <w:lang w:eastAsia="de-CH"/>
                <w14:ligatures w14:val="standardContextual"/>
              </w:rPr>
              <w:tab/>
            </w:r>
            <w:r>
              <w:rPr>
                <w:rStyle w:val="Hyperlink"/>
                <w:noProof/>
              </w:rPr>
              <w:t>Segmentierung als Grundlage</w:t>
            </w:r>
            <w:r>
              <w:rPr>
                <w:noProof/>
                <w:webHidden/>
              </w:rPr>
              <w:tab/>
              <w:fldChar w:fldCharType="begin"/>
              <w:instrText xml:space="preserve"> PAGEREF _Toc243825040 \h </w:instrText>
              <w:fldChar w:fldCharType="separate"/>
              <w:t>11</w:t>
              <w:fldChar w:fldCharType="end"/>
            </w:r>
          </w:hyperlink>
        </w:p>
        <w:p w14:paraId="27966EDA" w14:textId="07E97CC9"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41" w:history="1">
            <w:r>
              <w:rPr>
                <w:rStyle w:val="Hyperlink"/>
                <w:noProof/>
              </w:rPr>
              <w:t>5.2</w:t>
            </w:r>
            <w:r>
              <w:rPr>
                <w:rFonts w:asciiTheme="minorHAnsi" w:eastAsiaTheme="minorEastAsia" w:hAnsiTheme="minorHAnsi" w:cstheme="minorBidi"/>
                <w:noProof/>
                <w:kern w:val="2"/>
                <w:sz w:val="24"/>
                <w:szCs w:val="24"/>
                <w:lang w:eastAsia="de-CH"/>
                <w14:ligatures w14:val="standardContextual"/>
              </w:rPr>
              <w:tab/>
            </w:r>
            <w:r>
              <w:rPr>
                <w:rStyle w:val="Hyperlink"/>
                <w:noProof/>
              </w:rPr>
              <w:t>Beiträge zu den vier Zielen</w:t>
            </w:r>
            <w:r>
              <w:rPr>
                <w:noProof/>
                <w:webHidden/>
              </w:rPr>
              <w:tab/>
              <w:fldChar w:fldCharType="begin"/>
              <w:instrText xml:space="preserve"> PAGEREF _Toc243825041 \h </w:instrText>
              <w:fldChar w:fldCharType="separate"/>
              <w:t>11</w:t>
              <w:fldChar w:fldCharType="end"/>
            </w:r>
          </w:hyperlink>
        </w:p>
        <w:p w14:paraId="512770B2" w14:textId="6F28C646"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42" w:history="1">
            <w:r>
              <w:rPr>
                <w:rStyle w:val="Hyperlink"/>
                <w:noProof/>
              </w:rPr>
              <w:t>5.3</w:t>
            </w:r>
            <w:r>
              <w:rPr>
                <w:rFonts w:asciiTheme="minorHAnsi" w:eastAsiaTheme="minorEastAsia" w:hAnsiTheme="minorHAnsi" w:cstheme="minorBidi"/>
                <w:noProof/>
                <w:kern w:val="2"/>
                <w:sz w:val="24"/>
                <w:szCs w:val="24"/>
                <w:lang w:eastAsia="de-CH"/>
                <w14:ligatures w14:val="standardContextual"/>
              </w:rPr>
              <w:tab/>
            </w:r>
            <w:r>
              <w:rPr>
                <w:rStyle w:val="Hyperlink"/>
                <w:noProof/>
              </w:rPr>
              <w:t>Zielkonflikte und ihre Auflösung</w:t>
            </w:r>
            <w:r>
              <w:rPr>
                <w:noProof/>
                <w:webHidden/>
              </w:rPr>
              <w:tab/>
              <w:fldChar w:fldCharType="begin"/>
              <w:instrText xml:space="preserve"> PAGEREF _Toc243825042 \h </w:instrText>
              <w:fldChar w:fldCharType="separate"/>
              <w:t>12</w:t>
              <w:fldChar w:fldCharType="end"/>
            </w:r>
          </w:hyperlink>
        </w:p>
        <w:p w14:paraId="711B2BC9" w14:textId="06BE2205" w:rsidR="00AE2CD1" w:rsidRDefault="00AE2CD1">
          <w:pPr>
            <w:pStyle w:val="Verzeichnis1"/>
            <w:rPr>
              <w:rFonts w:asciiTheme="minorHAnsi" w:eastAsiaTheme="minorEastAsia" w:hAnsiTheme="minorHAnsi" w:cstheme="minorBidi"/>
              <w:b w:val="0"/>
              <w:bCs w:val="0"/>
              <w:smallCaps w:val="0"/>
              <w:noProof/>
              <w:kern w:val="2"/>
              <w:sz w:val="24"/>
              <w:szCs w:val="24"/>
              <w:lang w:eastAsia="de-CH"/>
              <w14:ligatures w14:val="standardContextual"/>
            </w:rPr>
          </w:pPr>
          <w:hyperlink w:anchor="_Toc243825043" w:history="1">
            <w:r>
              <w:rPr>
                <w:rStyle w:val="Hyperlink"/>
                <w:noProof/>
              </w:rPr>
              <w:t>6</w:t>
            </w:r>
            <w:r>
              <w:rPr>
                <w:rFonts w:asciiTheme="minorHAnsi" w:eastAsiaTheme="minorEastAsia" w:hAnsiTheme="minorHAnsi" w:cstheme="minorBidi"/>
                <w:b w:val="0"/>
                <w:bCs w:val="0"/>
                <w:smallCaps w:val="0"/>
                <w:noProof/>
                <w:kern w:val="2"/>
                <w:sz w:val="24"/>
                <w:szCs w:val="24"/>
                <w:lang w:eastAsia="de-CH"/>
                <w14:ligatures w14:val="standardContextual"/>
              </w:rPr>
              <w:tab/>
            </w:r>
            <w:r>
              <w:rPr>
                <w:rStyle w:val="Hyperlink"/>
                <w:noProof/>
              </w:rPr>
              <w:t>Block 3: Produktionslogistik</w:t>
            </w:r>
            <w:r>
              <w:rPr>
                <w:noProof/>
                <w:webHidden/>
              </w:rPr>
              <w:tab/>
              <w:fldChar w:fldCharType="begin"/>
              <w:instrText xml:space="preserve"> PAGEREF _Toc243825043 \h </w:instrText>
              <w:fldChar w:fldCharType="separate"/>
              <w:t>13</w:t>
              <w:fldChar w:fldCharType="end"/>
            </w:r>
          </w:hyperlink>
        </w:p>
        <w:p w14:paraId="3A6BB708" w14:textId="78C28D25"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44" w:history="1">
            <w:r>
              <w:rPr>
                <w:rStyle w:val="Hyperlink"/>
                <w:noProof/>
              </w:rPr>
              <w:t>6.1</w:t>
            </w:r>
            <w:r>
              <w:rPr>
                <w:rFonts w:asciiTheme="minorHAnsi" w:eastAsiaTheme="minorEastAsia" w:hAnsiTheme="minorHAnsi" w:cstheme="minorBidi"/>
                <w:noProof/>
                <w:kern w:val="2"/>
                <w:sz w:val="24"/>
                <w:szCs w:val="24"/>
                <w:lang w:eastAsia="de-CH"/>
                <w14:ligatures w14:val="standardContextual"/>
              </w:rPr>
              <w:tab/>
            </w:r>
            <w:r>
              <w:rPr>
                <w:rStyle w:val="Hyperlink"/>
                <w:noProof/>
              </w:rPr>
              <w:t>Wahl der Produktionsform</w:t>
            </w:r>
            <w:r>
              <w:rPr>
                <w:noProof/>
                <w:webHidden/>
              </w:rPr>
              <w:tab/>
              <w:fldChar w:fldCharType="begin"/>
              <w:instrText xml:space="preserve"> PAGEREF _Toc243825044 \h </w:instrText>
              <w:fldChar w:fldCharType="separate"/>
              <w:t>13</w:t>
              <w:fldChar w:fldCharType="end"/>
            </w:r>
          </w:hyperlink>
        </w:p>
        <w:p w14:paraId="51596EDE" w14:textId="55F0B009"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45" w:history="1">
            <w:r>
              <w:rPr>
                <w:rStyle w:val="Hyperlink"/>
                <w:noProof/>
              </w:rPr>
              <w:t>6.2</w:t>
            </w:r>
            <w:r>
              <w:rPr>
                <w:rFonts w:asciiTheme="minorHAnsi" w:eastAsiaTheme="minorEastAsia" w:hAnsiTheme="minorHAnsi" w:cstheme="minorBidi"/>
                <w:noProof/>
                <w:kern w:val="2"/>
                <w:sz w:val="24"/>
                <w:szCs w:val="24"/>
                <w:lang w:eastAsia="de-CH"/>
                <w14:ligatures w14:val="standardContextual"/>
              </w:rPr>
              <w:tab/>
            </w:r>
            <w:r>
              <w:rPr>
                <w:rStyle w:val="Hyperlink"/>
                <w:noProof/>
              </w:rPr>
              <w:t>Soll-Zustand und Flussdiagramm</w:t>
            </w:r>
            <w:r>
              <w:rPr>
                <w:noProof/>
                <w:webHidden/>
              </w:rPr>
              <w:tab/>
              <w:fldChar w:fldCharType="begin"/>
              <w:instrText xml:space="preserve"> PAGEREF _Toc243825045 \h </w:instrText>
              <w:fldChar w:fldCharType="separate"/>
              <w:t>14</w:t>
              <w:fldChar w:fldCharType="end"/>
            </w:r>
          </w:hyperlink>
        </w:p>
        <w:p w14:paraId="6EFF26FE" w14:textId="0A563113"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46" w:history="1">
            <w:r>
              <w:rPr>
                <w:rStyle w:val="Hyperlink"/>
                <w:noProof/>
              </w:rPr>
              <w:t>6.3</w:t>
            </w:r>
            <w:r>
              <w:rPr>
                <w:rFonts w:asciiTheme="minorHAnsi" w:eastAsiaTheme="minorEastAsia" w:hAnsiTheme="minorHAnsi" w:cstheme="minorBidi"/>
                <w:noProof/>
                <w:kern w:val="2"/>
                <w:sz w:val="24"/>
                <w:szCs w:val="24"/>
                <w:lang w:eastAsia="de-CH"/>
                <w14:ligatures w14:val="standardContextual"/>
              </w:rPr>
              <w:tab/>
            </w:r>
            <w:r>
              <w:rPr>
                <w:rStyle w:val="Hyperlink"/>
                <w:noProof/>
              </w:rPr>
              <w:t>Massnahmen je Ziel</w:t>
            </w:r>
            <w:r>
              <w:rPr>
                <w:noProof/>
                <w:webHidden/>
              </w:rPr>
              <w:tab/>
              <w:fldChar w:fldCharType="begin"/>
              <w:instrText xml:space="preserve"> PAGEREF _Toc243825046 \h </w:instrText>
              <w:fldChar w:fldCharType="separate"/>
              <w:t>15</w:t>
              <w:fldChar w:fldCharType="end"/>
            </w:r>
          </w:hyperlink>
        </w:p>
        <w:p w14:paraId="4D87D123" w14:textId="0F0EFCA5"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47" w:history="1">
            <w:r>
              <w:rPr>
                <w:rStyle w:val="Hyperlink"/>
                <w:noProof/>
              </w:rPr>
              <w:t>6.4</w:t>
            </w:r>
            <w:r>
              <w:rPr>
                <w:rFonts w:asciiTheme="minorHAnsi" w:eastAsiaTheme="minorEastAsia" w:hAnsiTheme="minorHAnsi" w:cstheme="minorBidi"/>
                <w:noProof/>
                <w:kern w:val="2"/>
                <w:sz w:val="24"/>
                <w:szCs w:val="24"/>
                <w:lang w:eastAsia="de-CH"/>
                <w14:ligatures w14:val="standardContextual"/>
              </w:rPr>
              <w:tab/>
            </w:r>
            <w:r>
              <w:rPr>
                <w:rStyle w:val="Hyperlink"/>
                <w:noProof/>
              </w:rPr>
              <w:t>Logistikstrategie und -konzept</w:t>
            </w:r>
            <w:r>
              <w:rPr>
                <w:noProof/>
                <w:webHidden/>
              </w:rPr>
              <w:tab/>
              <w:fldChar w:fldCharType="begin"/>
              <w:instrText xml:space="preserve"> PAGEREF _Toc243825047 \h </w:instrText>
              <w:fldChar w:fldCharType="separate"/>
              <w:t>15</w:t>
              <w:fldChar w:fldCharType="end"/>
            </w:r>
          </w:hyperlink>
        </w:p>
        <w:p w14:paraId="6E6F1716" w14:textId="6C9970B4" w:rsidR="00AE2CD1" w:rsidRDefault="00AE2CD1">
          <w:pPr>
            <w:pStyle w:val="Verzeichnis1"/>
            <w:rPr>
              <w:rFonts w:asciiTheme="minorHAnsi" w:eastAsiaTheme="minorEastAsia" w:hAnsiTheme="minorHAnsi" w:cstheme="minorBidi"/>
              <w:b w:val="0"/>
              <w:bCs w:val="0"/>
              <w:smallCaps w:val="0"/>
              <w:noProof/>
              <w:kern w:val="2"/>
              <w:sz w:val="24"/>
              <w:szCs w:val="24"/>
              <w:lang w:eastAsia="de-CH"/>
              <w14:ligatures w14:val="standardContextual"/>
            </w:rPr>
          </w:pPr>
          <w:hyperlink w:anchor="_Toc243825048" w:history="1">
            <w:r>
              <w:rPr>
                <w:rStyle w:val="Hyperlink"/>
                <w:noProof/>
              </w:rPr>
              <w:t>7</w:t>
            </w:r>
            <w:r>
              <w:rPr>
                <w:rFonts w:asciiTheme="minorHAnsi" w:eastAsiaTheme="minorEastAsia" w:hAnsiTheme="minorHAnsi" w:cstheme="minorBidi"/>
                <w:b w:val="0"/>
                <w:bCs w:val="0"/>
                <w:smallCaps w:val="0"/>
                <w:noProof/>
                <w:kern w:val="2"/>
                <w:sz w:val="24"/>
                <w:szCs w:val="24"/>
                <w:lang w:eastAsia="de-CH"/>
                <w14:ligatures w14:val="standardContextual"/>
              </w:rPr>
              <w:tab/>
            </w:r>
            <w:r>
              <w:rPr>
                <w:rStyle w:val="Hyperlink"/>
                <w:noProof/>
              </w:rPr>
              <w:t>Block 4: Lagerlogistik</w:t>
            </w:r>
            <w:r>
              <w:rPr>
                <w:noProof/>
                <w:webHidden/>
              </w:rPr>
              <w:tab/>
              <w:fldChar w:fldCharType="begin"/>
              <w:instrText xml:space="preserve"> PAGEREF _Toc243825048 \h </w:instrText>
              <w:fldChar w:fldCharType="separate"/>
              <w:t>16</w:t>
              <w:fldChar w:fldCharType="end"/>
            </w:r>
          </w:hyperlink>
        </w:p>
        <w:p w14:paraId="36D58BFF" w14:textId="0385E0DE"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49" w:history="1">
            <w:r>
              <w:rPr>
                <w:rStyle w:val="Hyperlink"/>
                <w:noProof/>
              </w:rPr>
              <w:t>7.1</w:t>
            </w:r>
            <w:r>
              <w:rPr>
                <w:rFonts w:asciiTheme="minorHAnsi" w:eastAsiaTheme="minorEastAsia" w:hAnsiTheme="minorHAnsi" w:cstheme="minorBidi"/>
                <w:noProof/>
                <w:kern w:val="2"/>
                <w:sz w:val="24"/>
                <w:szCs w:val="24"/>
                <w:lang w:eastAsia="de-CH"/>
                <w14:ligatures w14:val="standardContextual"/>
              </w:rPr>
              <w:tab/>
            </w:r>
            <w:r>
              <w:rPr>
                <w:rStyle w:val="Hyperlink"/>
                <w:noProof/>
              </w:rPr>
              <w:t>Ausgangslage</w:t>
            </w:r>
            <w:r>
              <w:rPr>
                <w:noProof/>
                <w:webHidden/>
              </w:rPr>
              <w:tab/>
              <w:fldChar w:fldCharType="begin"/>
              <w:instrText xml:space="preserve"> PAGEREF _Toc243825049 \h </w:instrText>
              <w:fldChar w:fldCharType="separate"/>
              <w:t>16</w:t>
              <w:fldChar w:fldCharType="end"/>
            </w:r>
          </w:hyperlink>
        </w:p>
        <w:p w14:paraId="396889C8" w14:textId="0AB516E9"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50" w:history="1">
            <w:r>
              <w:rPr>
                <w:rStyle w:val="Hyperlink"/>
                <w:noProof/>
              </w:rPr>
              <w:t>7.2</w:t>
            </w:r>
            <w:r>
              <w:rPr>
                <w:rFonts w:asciiTheme="minorHAnsi" w:eastAsiaTheme="minorEastAsia" w:hAnsiTheme="minorHAnsi" w:cstheme="minorBidi"/>
                <w:noProof/>
                <w:kern w:val="2"/>
                <w:sz w:val="24"/>
                <w:szCs w:val="24"/>
                <w:lang w:eastAsia="de-CH"/>
                <w14:ligatures w14:val="standardContextual"/>
              </w:rPr>
              <w:tab/>
            </w:r>
            <w:r>
              <w:rPr>
                <w:rStyle w:val="Hyperlink"/>
                <w:noProof/>
              </w:rPr>
              <w:t>Lagerstruktur und Kommissioniersystem</w:t>
            </w:r>
            <w:r>
              <w:rPr>
                <w:noProof/>
                <w:webHidden/>
              </w:rPr>
              <w:tab/>
              <w:fldChar w:fldCharType="begin"/>
              <w:instrText xml:space="preserve"> PAGEREF _Toc243825050 \h </w:instrText>
              <w:fldChar w:fldCharType="separate"/>
              <w:t>16</w:t>
              <w:fldChar w:fldCharType="end"/>
            </w:r>
          </w:hyperlink>
        </w:p>
        <w:p w14:paraId="7A7A96D1" w14:textId="0EC593E1"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51" w:history="1">
            <w:r>
              <w:rPr>
                <w:rStyle w:val="Hyperlink"/>
                <w:noProof/>
              </w:rPr>
              <w:t>7.3</w:t>
            </w:r>
            <w:r>
              <w:rPr>
                <w:rFonts w:asciiTheme="minorHAnsi" w:eastAsiaTheme="minorEastAsia" w:hAnsiTheme="minorHAnsi" w:cstheme="minorBidi"/>
                <w:noProof/>
                <w:kern w:val="2"/>
                <w:sz w:val="24"/>
                <w:szCs w:val="24"/>
                <w:lang w:eastAsia="de-CH"/>
                <w14:ligatures w14:val="standardContextual"/>
              </w:rPr>
              <w:tab/>
            </w:r>
            <w:r>
              <w:rPr>
                <w:rStyle w:val="Hyperlink"/>
                <w:noProof/>
              </w:rPr>
              <w:t>Soll-Zustand und Massnahmen je Ziel</w:t>
            </w:r>
            <w:r>
              <w:rPr>
                <w:noProof/>
                <w:webHidden/>
              </w:rPr>
              <w:tab/>
              <w:fldChar w:fldCharType="begin"/>
              <w:instrText xml:space="preserve"> PAGEREF _Toc243825051 \h </w:instrText>
              <w:fldChar w:fldCharType="separate"/>
              <w:t>17</w:t>
              <w:fldChar w:fldCharType="end"/>
            </w:r>
          </w:hyperlink>
        </w:p>
        <w:p w14:paraId="4BF8D5F9" w14:textId="02D475A6"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52" w:history="1">
            <w:r>
              <w:rPr>
                <w:rStyle w:val="Hyperlink"/>
                <w:noProof/>
              </w:rPr>
              <w:t>7.4</w:t>
            </w:r>
            <w:r>
              <w:rPr>
                <w:rFonts w:asciiTheme="minorHAnsi" w:eastAsiaTheme="minorEastAsia" w:hAnsiTheme="minorHAnsi" w:cstheme="minorBidi"/>
                <w:noProof/>
                <w:kern w:val="2"/>
                <w:sz w:val="24"/>
                <w:szCs w:val="24"/>
                <w:lang w:eastAsia="de-CH"/>
                <w14:ligatures w14:val="standardContextual"/>
              </w:rPr>
              <w:tab/>
            </w:r>
            <w:r>
              <w:rPr>
                <w:rStyle w:val="Hyperlink"/>
                <w:noProof/>
              </w:rPr>
              <w:t>Kennzahlen zur Messung der Verbesserung</w:t>
            </w:r>
            <w:r>
              <w:rPr>
                <w:noProof/>
                <w:webHidden/>
              </w:rPr>
              <w:tab/>
              <w:fldChar w:fldCharType="begin"/>
              <w:instrText xml:space="preserve"> PAGEREF _Toc243825052 \h </w:instrText>
              <w:fldChar w:fldCharType="separate"/>
              <w:t>19</w:t>
              <w:fldChar w:fldCharType="end"/>
            </w:r>
          </w:hyperlink>
        </w:p>
        <w:p w14:paraId="243589A6" w14:textId="67DD04F6" w:rsidR="00AE2CD1" w:rsidRDefault="00AE2CD1">
          <w:pPr>
            <w:pStyle w:val="Verzeichnis1"/>
            <w:rPr>
              <w:rFonts w:asciiTheme="minorHAnsi" w:eastAsiaTheme="minorEastAsia" w:hAnsiTheme="minorHAnsi" w:cstheme="minorBidi"/>
              <w:b w:val="0"/>
              <w:bCs w:val="0"/>
              <w:smallCaps w:val="0"/>
              <w:noProof/>
              <w:kern w:val="2"/>
              <w:sz w:val="24"/>
              <w:szCs w:val="24"/>
              <w:lang w:eastAsia="de-CH"/>
              <w14:ligatures w14:val="standardContextual"/>
            </w:rPr>
          </w:pPr>
          <w:hyperlink w:anchor="_Toc243825053" w:history="1">
            <w:r>
              <w:rPr>
                <w:rStyle w:val="Hyperlink"/>
                <w:noProof/>
              </w:rPr>
              <w:t>8</w:t>
            </w:r>
            <w:r>
              <w:rPr>
                <w:rFonts w:asciiTheme="minorHAnsi" w:eastAsiaTheme="minorEastAsia" w:hAnsiTheme="minorHAnsi" w:cstheme="minorBidi"/>
                <w:b w:val="0"/>
                <w:bCs w:val="0"/>
                <w:smallCaps w:val="0"/>
                <w:noProof/>
                <w:kern w:val="2"/>
                <w:sz w:val="24"/>
                <w:szCs w:val="24"/>
                <w:lang w:eastAsia="de-CH"/>
                <w14:ligatures w14:val="standardContextual"/>
              </w:rPr>
              <w:tab/>
            </w:r>
            <w:r>
              <w:rPr>
                <w:rStyle w:val="Hyperlink"/>
                <w:noProof/>
              </w:rPr>
              <w:t>Distribution – Potenzialmatrix</w:t>
            </w:r>
            <w:r>
              <w:rPr>
                <w:noProof/>
                <w:webHidden/>
              </w:rPr>
              <w:tab/>
              <w:fldChar w:fldCharType="begin"/>
              <w:instrText xml:space="preserve"> PAGEREF _Toc243825053 \h </w:instrText>
              <w:fldChar w:fldCharType="separate"/>
              <w:t>20</w:t>
              <w:fldChar w:fldCharType="end"/>
            </w:r>
          </w:hyperlink>
        </w:p>
        <w:p w14:paraId="34EE7721" w14:textId="14038852" w:rsidR="00AE2CD1" w:rsidRDefault="00AE2CD1">
          <w:pPr>
            <w:pStyle w:val="Verzeichnis2"/>
            <w:tabs>
              <w:tab w:val="left" w:pos="880"/>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54" w:history="1">
            <w:r>
              <w:rPr>
                <w:rStyle w:val="Hyperlink"/>
                <w:noProof/>
              </w:rPr>
              <w:t>8.1</w:t>
            </w:r>
            <w:r>
              <w:rPr>
                <w:rFonts w:asciiTheme="minorHAnsi" w:eastAsiaTheme="minorEastAsia" w:hAnsiTheme="minorHAnsi" w:cstheme="minorBidi"/>
                <w:noProof/>
                <w:kern w:val="2"/>
                <w:sz w:val="24"/>
                <w:szCs w:val="24"/>
                <w:lang w:eastAsia="de-CH"/>
                <w14:ligatures w14:val="standardContextual"/>
              </w:rPr>
              <w:tab/>
            </w:r>
            <w:r>
              <w:rPr>
                <w:rStyle w:val="Hyperlink"/>
                <w:noProof/>
              </w:rPr>
              <w:t>Empfehlung je Segment</w:t>
            </w:r>
            <w:r>
              <w:rPr>
                <w:noProof/>
                <w:webHidden/>
              </w:rPr>
              <w:tab/>
              <w:fldChar w:fldCharType="begin"/>
              <w:instrText xml:space="preserve"> PAGEREF _Toc243825054 \h </w:instrText>
              <w:fldChar w:fldCharType="separate"/>
              <w:t>21</w:t>
              <w:fldChar w:fldCharType="end"/>
            </w:r>
          </w:hyperlink>
        </w:p>
        <w:p w14:paraId="3B5CEDF4" w14:textId="770883C8" w:rsidR="00AE2CD1" w:rsidRDefault="00AE2CD1">
          <w:pPr>
            <w:pStyle w:val="Verzeichnis1"/>
            <w:rPr>
              <w:rFonts w:asciiTheme="minorHAnsi" w:eastAsiaTheme="minorEastAsia" w:hAnsiTheme="minorHAnsi" w:cstheme="minorBidi"/>
              <w:b w:val="0"/>
              <w:bCs w:val="0"/>
              <w:smallCaps w:val="0"/>
              <w:noProof/>
              <w:kern w:val="2"/>
              <w:sz w:val="24"/>
              <w:szCs w:val="24"/>
              <w:lang w:eastAsia="de-CH"/>
              <w14:ligatures w14:val="standardContextual"/>
            </w:rPr>
          </w:pPr>
          <w:hyperlink w:anchor="_Toc243825055" w:history="1">
            <w:r>
              <w:rPr>
                <w:rStyle w:val="Hyperlink"/>
                <w:noProof/>
              </w:rPr>
              <w:t>9</w:t>
            </w:r>
            <w:r>
              <w:rPr>
                <w:rFonts w:asciiTheme="minorHAnsi" w:eastAsiaTheme="minorEastAsia" w:hAnsiTheme="minorHAnsi" w:cstheme="minorBidi"/>
                <w:b w:val="0"/>
                <w:bCs w:val="0"/>
                <w:smallCaps w:val="0"/>
                <w:noProof/>
                <w:kern w:val="2"/>
                <w:sz w:val="24"/>
                <w:szCs w:val="24"/>
                <w:lang w:eastAsia="de-CH"/>
                <w14:ligatures w14:val="standardContextual"/>
              </w:rPr>
              <w:tab/>
            </w:r>
            <w:r>
              <w:rPr>
                <w:rStyle w:val="Hyperlink"/>
                <w:noProof/>
              </w:rPr>
              <w:t>Gesamtkonzept und Umsetzung</w:t>
            </w:r>
            <w:r>
              <w:rPr>
                <w:noProof/>
                <w:webHidden/>
              </w:rPr>
              <w:tab/>
              <w:fldChar w:fldCharType="begin"/>
              <w:instrText xml:space="preserve"> PAGEREF _Toc243825055 \h </w:instrText>
              <w:fldChar w:fldCharType="separate"/>
              <w:t>22</w:t>
              <w:fldChar w:fldCharType="end"/>
            </w:r>
          </w:hyperlink>
        </w:p>
        <w:p w14:paraId="77216F9F" w14:textId="52E0A09F" w:rsidR="00AE2CD1" w:rsidRDefault="00AE2CD1">
          <w:pPr>
            <w:pStyle w:val="Verzeichnis1"/>
            <w:rPr>
              <w:rFonts w:asciiTheme="minorHAnsi" w:eastAsiaTheme="minorEastAsia" w:hAnsiTheme="minorHAnsi" w:cstheme="minorBidi"/>
              <w:b w:val="0"/>
              <w:bCs w:val="0"/>
              <w:smallCaps w:val="0"/>
              <w:noProof/>
              <w:kern w:val="2"/>
              <w:sz w:val="24"/>
              <w:szCs w:val="24"/>
              <w:lang w:eastAsia="de-CH"/>
              <w14:ligatures w14:val="standardContextual"/>
            </w:rPr>
          </w:pPr>
          <w:hyperlink w:anchor="_Toc243825056" w:history="1">
            <w:r>
              <w:rPr>
                <w:rStyle w:val="Hyperlink"/>
                <w:noProof/>
              </w:rPr>
              <w:t>10</w:t>
            </w:r>
            <w:r>
              <w:rPr>
                <w:rFonts w:asciiTheme="minorHAnsi" w:eastAsiaTheme="minorEastAsia" w:hAnsiTheme="minorHAnsi" w:cstheme="minorBidi"/>
                <w:b w:val="0"/>
                <w:bCs w:val="0"/>
                <w:smallCaps w:val="0"/>
                <w:noProof/>
                <w:kern w:val="2"/>
                <w:sz w:val="24"/>
                <w:szCs w:val="24"/>
                <w:lang w:eastAsia="de-CH"/>
                <w14:ligatures w14:val="standardContextual"/>
              </w:rPr>
              <w:tab/>
            </w:r>
            <w:r>
              <w:rPr>
                <w:rStyle w:val="Hyperlink"/>
                <w:noProof/>
              </w:rPr>
              <w:t>Fazit und Ausblick</w:t>
            </w:r>
            <w:r>
              <w:rPr>
                <w:noProof/>
                <w:webHidden/>
              </w:rPr>
              <w:tab/>
              <w:fldChar w:fldCharType="begin"/>
              <w:instrText xml:space="preserve"> PAGEREF _Toc243825056 \h </w:instrText>
              <w:fldChar w:fldCharType="separate"/>
              <w:t>23</w:t>
              <w:fldChar w:fldCharType="end"/>
            </w:r>
          </w:hyperlink>
        </w:p>
        <w:p w14:paraId="58C419A0" w14:textId="31D33C6B" w:rsidR="00AE2CD1" w:rsidRDefault="00AE2CD1">
          <w:pPr>
            <w:pStyle w:val="Verzeichnis1"/>
            <w:rPr>
              <w:rFonts w:asciiTheme="minorHAnsi" w:eastAsiaTheme="minorEastAsia" w:hAnsiTheme="minorHAnsi" w:cstheme="minorBidi"/>
              <w:b w:val="0"/>
              <w:bCs w:val="0"/>
              <w:smallCaps w:val="0"/>
              <w:noProof/>
              <w:kern w:val="2"/>
              <w:sz w:val="24"/>
              <w:szCs w:val="24"/>
              <w:lang w:eastAsia="de-CH"/>
              <w14:ligatures w14:val="standardContextual"/>
            </w:rPr>
          </w:pPr>
          <w:hyperlink w:anchor="_Toc243825057" w:history="1">
            <w:r>
              <w:rPr>
                <w:rStyle w:val="Hyperlink"/>
                <w:noProof/>
              </w:rPr>
              <w:t>Literaturverzeichnis</w:t>
            </w:r>
            <w:r>
              <w:rPr>
                <w:noProof/>
                <w:webHidden/>
              </w:rPr>
              <w:tab/>
              <w:fldChar w:fldCharType="begin"/>
              <w:instrText xml:space="preserve"> PAGEREF _Toc243825057 \h </w:instrText>
              <w:fldChar w:fldCharType="separate"/>
              <w:t>24</w:t>
              <w:fldChar w:fldCharType="end"/>
            </w:r>
          </w:hyperlink>
        </w:p>
        <w:p w14:paraId="7617FA7F" w14:textId="1546E30F" w:rsidR="00AE2CD1" w:rsidRDefault="00AE2CD1">
          <w:pPr>
            <w:pStyle w:val="Verzeichnis1"/>
            <w:rPr>
              <w:rFonts w:asciiTheme="minorHAnsi" w:eastAsiaTheme="minorEastAsia" w:hAnsiTheme="minorHAnsi" w:cstheme="minorBidi"/>
              <w:b w:val="0"/>
              <w:bCs w:val="0"/>
              <w:smallCaps w:val="0"/>
              <w:noProof/>
              <w:kern w:val="2"/>
              <w:sz w:val="24"/>
              <w:szCs w:val="24"/>
              <w:lang w:eastAsia="de-CH"/>
              <w14:ligatures w14:val="standardContextual"/>
            </w:rPr>
          </w:pPr>
          <w:hyperlink w:anchor="_Toc243825058" w:history="1">
            <w:r>
              <w:rPr>
                <w:rStyle w:val="Hyperlink"/>
                <w:noProof/>
              </w:rPr>
              <w:t>Deklaration der KI-Nutzung</w:t>
            </w:r>
            <w:r>
              <w:rPr>
                <w:noProof/>
                <w:webHidden/>
              </w:rPr>
              <w:tab/>
              <w:fldChar w:fldCharType="begin"/>
              <w:instrText xml:space="preserve"> PAGEREF _Toc243825058 \h </w:instrText>
              <w:fldChar w:fldCharType="separate"/>
              <w:t>26</w:t>
              <w:fldChar w:fldCharType="end"/>
            </w:r>
          </w:hyperlink>
        </w:p>
        <w:p w14:paraId="10F1BF25" w14:textId="0F33D5FD" w:rsidR="00AE2CD1" w:rsidRDefault="00AE2CD1">
          <w:pPr>
            <w:pStyle w:val="Verzeichnis1"/>
            <w:rPr>
              <w:rFonts w:asciiTheme="minorHAnsi" w:eastAsiaTheme="minorEastAsia" w:hAnsiTheme="minorHAnsi" w:cstheme="minorBidi"/>
              <w:b w:val="0"/>
              <w:bCs w:val="0"/>
              <w:smallCaps w:val="0"/>
              <w:noProof/>
              <w:kern w:val="2"/>
              <w:sz w:val="24"/>
              <w:szCs w:val="24"/>
              <w:lang w:eastAsia="de-CH"/>
              <w14:ligatures w14:val="standardContextual"/>
            </w:rPr>
          </w:pPr>
          <w:hyperlink w:anchor="_Toc243825059" w:history="1">
            <w:r>
              <w:rPr>
                <w:rStyle w:val="Hyperlink"/>
                <w:noProof/>
              </w:rPr>
              <w:t>Anhang</w:t>
            </w:r>
            <w:r>
              <w:rPr>
                <w:noProof/>
                <w:webHidden/>
              </w:rPr>
              <w:tab/>
              <w:fldChar w:fldCharType="begin"/>
              <w:instrText xml:space="preserve"> PAGEREF _Toc243825059 \h </w:instrText>
              <w:fldChar w:fldCharType="separate"/>
              <w:t>27</w:t>
              <w:fldChar w:fldCharType="end"/>
            </w:r>
          </w:hyperlink>
        </w:p>
        <w:p w14:paraId="253E9C39" w14:textId="1ED40CBC" w:rsidR="00AE2CD1" w:rsidRDefault="00AE2CD1">
          <w:pPr>
            <w:pStyle w:val="Verzeichnis2"/>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60" w:history="1">
            <w:r>
              <w:rPr>
                <w:rStyle w:val="Hyperlink"/>
                <w:noProof/>
              </w:rPr>
              <w:t>Anhang A: Datenanalyse</w:t>
            </w:r>
            <w:r>
              <w:rPr>
                <w:noProof/>
                <w:webHidden/>
              </w:rPr>
              <w:tab/>
              <w:fldChar w:fldCharType="begin"/>
              <w:instrText xml:space="preserve"> PAGEREF _Toc243825060 \h </w:instrText>
              <w:fldChar w:fldCharType="separate"/>
              <w:t>27</w:t>
              <w:fldChar w:fldCharType="end"/>
            </w:r>
          </w:hyperlink>
        </w:p>
        <w:p w14:paraId="6DFC0FDF" w14:textId="40D2BCF4" w:rsidR="00AE2CD1" w:rsidRDefault="00AE2CD1">
          <w:pPr>
            <w:pStyle w:val="Verzeichnis2"/>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61" w:history="1">
            <w:r>
              <w:rPr>
                <w:rStyle w:val="Hyperlink"/>
                <w:noProof/>
              </w:rPr>
              <w:t>Anhang B: Herleitung der Nutzwertanalyse Block 1</w:t>
            </w:r>
            <w:r>
              <w:rPr>
                <w:noProof/>
                <w:webHidden/>
              </w:rPr>
              <w:tab/>
              <w:fldChar w:fldCharType="begin"/>
              <w:instrText xml:space="preserve"> PAGEREF _Toc243825061 \h </w:instrText>
              <w:fldChar w:fldCharType="separate"/>
              <w:t>32</w:t>
              <w:fldChar w:fldCharType="end"/>
            </w:r>
          </w:hyperlink>
        </w:p>
        <w:p w14:paraId="79F9BDB1" w14:textId="1001FF01" w:rsidR="00AE2CD1" w:rsidRDefault="00AE2CD1">
          <w:pPr>
            <w:pStyle w:val="Verzeichnis2"/>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62" w:history="1">
            <w:r>
              <w:rPr>
                <w:rStyle w:val="Hyperlink"/>
                <w:noProof/>
              </w:rPr>
              <w:t>Anhang C: Make-or-Buy wertschöpfungsneutraler Prozesse</w:t>
            </w:r>
            <w:r>
              <w:rPr>
                <w:noProof/>
                <w:webHidden/>
              </w:rPr>
              <w:tab/>
              <w:fldChar w:fldCharType="begin"/>
              <w:instrText xml:space="preserve"> PAGEREF _Toc243825062 \h </w:instrText>
              <w:fldChar w:fldCharType="separate"/>
              <w:t>33</w:t>
              <w:fldChar w:fldCharType="end"/>
            </w:r>
          </w:hyperlink>
        </w:p>
        <w:p w14:paraId="7CEF2DDA" w14:textId="25EA32DC" w:rsidR="00AE2CD1" w:rsidRDefault="00AE2CD1">
          <w:pPr>
            <w:pStyle w:val="Verzeichnis2"/>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63" w:history="1">
            <w:r>
              <w:rPr>
                <w:rStyle w:val="Hyperlink"/>
                <w:noProof/>
              </w:rPr>
              <w:t>Anhang D: Normstrategien der operativen Beschaffung</w:t>
            </w:r>
            <w:r>
              <w:rPr>
                <w:noProof/>
                <w:webHidden/>
              </w:rPr>
              <w:tab/>
              <w:fldChar w:fldCharType="begin"/>
              <w:instrText xml:space="preserve"> PAGEREF _Toc243825063 \h </w:instrText>
              <w:fldChar w:fldCharType="separate"/>
              <w:t>33</w:t>
              <w:fldChar w:fldCharType="end"/>
            </w:r>
          </w:hyperlink>
        </w:p>
        <w:p w14:paraId="7EBEFC74" w14:textId="41893A8C" w:rsidR="00AE2CD1" w:rsidRDefault="00AE2CD1">
          <w:pPr>
            <w:pStyle w:val="Verzeichnis2"/>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64" w:history="1">
            <w:r>
              <w:rPr>
                <w:rStyle w:val="Hyperlink"/>
                <w:noProof/>
              </w:rPr>
              <w:t>Anhang E: Rechenweg Potenzialmatrix Distribution</w:t>
            </w:r>
            <w:r>
              <w:rPr>
                <w:noProof/>
                <w:webHidden/>
              </w:rPr>
              <w:tab/>
              <w:fldChar w:fldCharType="begin"/>
              <w:instrText xml:space="preserve"> PAGEREF _Toc243825064 \h </w:instrText>
              <w:fldChar w:fldCharType="separate"/>
              <w:t>33</w:t>
              <w:fldChar w:fldCharType="end"/>
            </w:r>
          </w:hyperlink>
        </w:p>
        <w:p w14:paraId="7FE7DC82" w14:textId="0599FCCA" w:rsidR="00AE2CD1" w:rsidRDefault="00AE2CD1">
          <w:pPr>
            <w:pStyle w:val="Verzeichnis2"/>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65" w:history="1">
            <w:r>
              <w:rPr>
                <w:rStyle w:val="Hyperlink"/>
                <w:noProof/>
              </w:rPr>
              <w:t>Anhang F: Soll-Distributionsnetz</w:t>
            </w:r>
            <w:r>
              <w:rPr>
                <w:noProof/>
                <w:webHidden/>
              </w:rPr>
              <w:tab/>
              <w:fldChar w:fldCharType="begin"/>
              <w:instrText xml:space="preserve"> PAGEREF _Toc243825065 \h </w:instrText>
              <w:fldChar w:fldCharType="separate"/>
              <w:t>34</w:t>
              <w:fldChar w:fldCharType="end"/>
            </w:r>
          </w:hyperlink>
        </w:p>
        <w:p w14:paraId="7D03567E" w14:textId="75A92547" w:rsidR="00AE2CD1" w:rsidRDefault="00AE2CD1">
          <w:pPr>
            <w:pStyle w:val="Verzeichnis2"/>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5066" w:history="1">
            <w:r>
              <w:rPr>
                <w:rStyle w:val="Hyperlink"/>
                <w:noProof/>
              </w:rPr>
              <w:t>Anhang G: Block 3, Block 4 und Gesamtkonzept</w:t>
            </w:r>
            <w:r>
              <w:rPr>
                <w:noProof/>
                <w:webHidden/>
              </w:rPr>
              <w:tab/>
              <w:fldChar w:fldCharType="begin"/>
              <w:instrText xml:space="preserve"> PAGEREF _Toc243825066 \h </w:instrText>
              <w:fldChar w:fldCharType="separate"/>
              <w:t>34</w:t>
              <w:fldChar w:fldCharType="end"/>
            </w:r>
          </w:hyperlink>
        </w:p>
        <w:p>
          <w:pPr>
            <w:pStyle w:val="Verzeichnis2"/>
            <w:tabs>
              <w:tab w:val="right" w:leader="dot" w:pos="9060"/>
            </w:tabs>
            <w:rPr>
              <w:rFonts w:asciiTheme="minorHAnsi" w:eastAsiaTheme="minorEastAsia" w:hAnsiTheme="minorHAnsi" w:cstheme="minorBidi"/>
              <w:noProof/>
              <w:kern w:val="2"/>
              <w:sz w:val="24"/>
              <w:szCs w:val="24"/>
              <w:lang w:eastAsia="de-CH"/>
              <w14:ligatures w14:val="standardContextual"/>
            </w:rPr>
          </w:pPr>
          <w:r>
            <w:rPr>
              <w:rStyle w:val="Hyperlink"/>
              <w:noProof/>
              <w:shd w:val="clear" w:color="auto" w:fill="DDEBF7"/>
            </w:rPr>
            <w:t xml:space="preserve">Anhang H: Annahmenverzeichnis</w:t>
          </w:r>
          <w:r>
            <w:rPr>
              <w:rStyle w:val="Hyperlink"/>
              <w:noProof/>
            </w:rPr>
            <w:tab/>
          </w:r>
          <w:r>
            <w:rPr>
              <w:rStyle w:val="Hyperlink"/>
              <w:noProof/>
              <w:shd w:val="clear" w:color="auto" w:fill="DDEBF7"/>
            </w:rPr>
            <w:t xml:space="preserve">39</w:t>
          </w:r>
        </w:p>
        <w:p w14:paraId="3BC3FD52" w14:textId="635A9DEF" w:rsidR="00D806ED" w:rsidRDefault="00AE2CD1">
          <w:pPr>
            <w:pStyle w:val="Verzeichnis1"/>
            <w:tabs>
              <w:tab w:val="clear" w:pos="9072"/>
              <w:tab w:val="right" w:leader="dot" w:pos="9069"/>
            </w:tabs>
          </w:pPr>
          <w:hyperlink w:anchor="_Toc243825067" w:history="1">
            <w:r>
              <w:rPr>
                <w:rStyle w:val="Hyperlink"/>
                <w:noProof/>
              </w:rPr>
              <w:t>Eigenständigkeitserklärung</w:t>
            </w:r>
            <w:r>
              <w:rPr>
                <w:noProof/>
                <w:webHidden/>
              </w:rPr>
              <w:tab/>
              <w:fldChar w:fldCharType="begin"/>
              <w:instrText xml:space="preserve"> PAGEREF _Toc243825067 \h </w:instrText>
              <w:fldChar w:fldCharType="separate"/>
              <w:t>42</w:t>
              <w:fldChar w:fldCharType="end"/>
            </w:r>
          </w:hyperlink>
          <w:r>
            <w:rPr>
              <w:rStyle w:val="IndexLink"/>
            </w:rPr>
            <w:fldChar w:fldCharType="end"/>
          </w:r>
        </w:p>
      </w:sdtContent>
    </w:sdt>
    <w:p w14:paraId="68DA17A4" w14:textId="22121536" w:rsidR="00D806ED" w:rsidRDefault="00000000">
      <w:pPr>
        <w:pStyle w:val="Inhaltsverzeichnisberschrift"/>
      </w:pPr>
      <w:r>
        <w:lastRenderedPageBreak/>
        <w:t>Abbildungsverzeichnis</w:t>
      </w:r>
    </w:p>
    <w:p w14:paraId="40CBF38C" w14:textId="47B71010" w:rsidR="00A92AC7" w:rsidRDefault="00000000">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r>
        <w:fldChar w:fldCharType="begin"/>
        <w:instrText xml:space="preserve"> TOC \c "Abbildung" \h </w:instrText>
        <w:fldChar w:fldCharType="separate"/>
      </w:r>
      <w:hyperlink w:anchor="_Toc243824170" w:history="1">
        <w:r>
          <w:rPr>
            <w:rStyle w:val="Hyperlink"/>
            <w:noProof/>
          </w:rPr>
          <w:t>Abbildung 1: Ist-Materialfluss der Grofu AG Indien Ltd. mit Schwachstellen</w:t>
        </w:r>
        <w:r>
          <w:rPr>
            <w:noProof/>
          </w:rPr>
          <w:tab/>
          <w:fldChar w:fldCharType="begin"/>
          <w:instrText xml:space="preserve"> PAGEREF _Toc243824170 \h </w:instrText>
          <w:fldChar w:fldCharType="separate"/>
          <w:t>5</w:t>
          <w:fldChar w:fldCharType="end"/>
        </w:r>
      </w:hyperlink>
    </w:p>
    <w:p w14:paraId="6B4B200B" w14:textId="17E5F33B" w:rsidR="00A92AC7" w:rsidRDefault="00A92AC7">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171" w:history="1">
        <w:r>
          <w:rPr>
            <w:rStyle w:val="Hyperlink"/>
            <w:noProof/>
          </w:rPr>
          <w:t>Abbildung 2: Soll-Materialfluss Inbound auf Netzwerkebene (Zielbild V3)</w:t>
        </w:r>
        <w:r>
          <w:rPr>
            <w:noProof/>
          </w:rPr>
          <w:tab/>
          <w:fldChar w:fldCharType="begin"/>
          <w:instrText xml:space="preserve"> PAGEREF _Toc243824171 \h </w:instrText>
          <w:fldChar w:fldCharType="separate"/>
          <w:t>10</w:t>
          <w:fldChar w:fldCharType="end"/>
        </w:r>
      </w:hyperlink>
    </w:p>
    <w:p w14:paraId="3C192C33" w14:textId="7C8DE57D" w:rsidR="00A92AC7" w:rsidRDefault="00A92AC7">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172" w:history="1">
        <w:r>
          <w:rPr>
            <w:rStyle w:val="Hyperlink"/>
            <w:noProof/>
          </w:rPr>
          <w:t>Abbildung 3: Flussdiagramm Soll-Zustand Produktionslogistik (Werksebene)</w:t>
        </w:r>
        <w:r>
          <w:rPr>
            <w:noProof/>
          </w:rPr>
          <w:tab/>
          <w:fldChar w:fldCharType="begin"/>
          <w:instrText xml:space="preserve"> PAGEREF _Toc243824172 \h </w:instrText>
          <w:fldChar w:fldCharType="separate"/>
          <w:t>14</w:t>
          <w:fldChar w:fldCharType="end"/>
        </w:r>
      </w:hyperlink>
    </w:p>
    <w:p w14:paraId="2CC17114" w14:textId="15400544" w:rsidR="00A92AC7" w:rsidRDefault="00A92AC7">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173" w:history="1">
        <w:r>
          <w:rPr>
            <w:rStyle w:val="Hyperlink"/>
            <w:noProof/>
          </w:rPr>
          <w:t>Abbildung 4: Umsetzungs-Roadmap in drei Phasen mit Meilensteinen</w:t>
        </w:r>
        <w:r>
          <w:rPr>
            <w:noProof/>
          </w:rPr>
          <w:tab/>
          <w:fldChar w:fldCharType="begin"/>
          <w:instrText xml:space="preserve"> PAGEREF _Toc243824173 \h </w:instrText>
          <w:fldChar w:fldCharType="separate"/>
          <w:t>22</w:t>
          <w:fldChar w:fldCharType="end"/>
        </w:r>
      </w:hyperlink>
    </w:p>
    <w:p w14:paraId="141BC9DC" w14:textId="07CC84E5" w:rsidR="00A92AC7" w:rsidRDefault="00A92AC7">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174" w:history="1">
        <w:r>
          <w:rPr>
            <w:rStyle w:val="Hyperlink"/>
            <w:noProof/>
          </w:rPr>
          <w:t>Abbildung 5: Lorenzkurve der Rohmaterialien: kumulierter Wert- und Bestellanteil</w:t>
        </w:r>
        <w:r>
          <w:rPr>
            <w:noProof/>
          </w:rPr>
          <w:tab/>
          <w:fldChar w:fldCharType="begin"/>
          <w:instrText xml:space="preserve"> PAGEREF _Toc243824174 \h </w:instrText>
          <w:fldChar w:fldCharType="separate"/>
          <w:t>28</w:t>
          <w:fldChar w:fldCharType="end"/>
        </w:r>
      </w:hyperlink>
    </w:p>
    <w:p w14:paraId="091BBC3D" w14:textId="0CB5827F" w:rsidR="00A92AC7" w:rsidRDefault="00A92AC7">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175" w:history="1">
        <w:r>
          <w:rPr>
            <w:rStyle w:val="Hyperlink"/>
            <w:noProof/>
          </w:rPr>
          <w:t>Abbildung 6: ABC-Klassenprofil: Anteile an Materialien, Wert, Bestellungen und Stückzahl</w:t>
        </w:r>
        <w:r>
          <w:rPr>
            <w:noProof/>
          </w:rPr>
          <w:tab/>
          <w:fldChar w:fldCharType="begin"/>
          <w:instrText xml:space="preserve"> PAGEREF _Toc243824175 \h </w:instrText>
          <w:fldChar w:fldCharType="separate"/>
          <w:t>28</w:t>
          <w:fldChar w:fldCharType="end"/>
        </w:r>
      </w:hyperlink>
    </w:p>
    <w:p w14:paraId="0811364C" w14:textId="27D2D837" w:rsidR="00A92AC7" w:rsidRDefault="00A92AC7">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176" w:history="1">
        <w:r>
          <w:rPr>
            <w:rStyle w:val="Hyperlink"/>
            <w:noProof/>
          </w:rPr>
          <w:t>Abbildung 7: Lieferanten-ABC: Lieferantenblatt der Daten und Neuberechnung aus dem RM-Blatt</w:t>
        </w:r>
        <w:r>
          <w:rPr>
            <w:noProof/>
          </w:rPr>
          <w:tab/>
          <w:fldChar w:fldCharType="begin"/>
          <w:instrText xml:space="preserve"> PAGEREF _Toc243824176 \h </w:instrText>
          <w:fldChar w:fldCharType="separate"/>
          <w:t>29</w:t>
          <w:fldChar w:fldCharType="end"/>
        </w:r>
      </w:hyperlink>
    </w:p>
    <w:p w14:paraId="175CB5B0" w14:textId="2477D42F" w:rsidR="00A92AC7" w:rsidRDefault="00A92AC7">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177" w:history="1">
        <w:r>
          <w:rPr>
            <w:rStyle w:val="Hyperlink"/>
            <w:noProof/>
          </w:rPr>
          <w:t>Abbildung 8: ABC × Bestellhäufigkeit mit Normstrategien</w:t>
        </w:r>
        <w:r>
          <w:rPr>
            <w:noProof/>
          </w:rPr>
          <w:tab/>
          <w:fldChar w:fldCharType="begin"/>
          <w:instrText xml:space="preserve"> PAGEREF _Toc243824177 \h </w:instrText>
          <w:fldChar w:fldCharType="separate"/>
          <w:t>30</w:t>
          <w:fldChar w:fldCharType="end"/>
        </w:r>
      </w:hyperlink>
    </w:p>
    <w:p w14:paraId="5AB2DDA1" w14:textId="2A09541F" w:rsidR="00A92AC7" w:rsidRDefault="00A92AC7">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178" w:history="1">
        <w:r>
          <w:rPr>
            <w:rStyle w:val="Hyperlink"/>
            <w:noProof/>
          </w:rPr>
          <w:t>Abbildung 9: Losgrössenbestand Ist und Soll nach ABC-Klasse</w:t>
        </w:r>
        <w:r>
          <w:rPr>
            <w:noProof/>
          </w:rPr>
          <w:tab/>
          <w:fldChar w:fldCharType="begin"/>
          <w:instrText xml:space="preserve"> PAGEREF _Toc243824178 \h </w:instrText>
          <w:fldChar w:fldCharType="separate"/>
          <w:t>31</w:t>
          <w:fldChar w:fldCharType="end"/>
        </w:r>
      </w:hyperlink>
    </w:p>
    <w:p w14:paraId="1AED4846" w14:textId="18A2B95F" w:rsidR="00A92AC7" w:rsidRDefault="00A92AC7">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179" w:history="1">
        <w:r>
          <w:rPr>
            <w:rStyle w:val="Hyperlink"/>
            <w:noProof/>
          </w:rPr>
          <w:t>Abbildung 10: Soll-Distributionsnetz je Segment</w:t>
        </w:r>
        <w:r>
          <w:rPr>
            <w:noProof/>
          </w:rPr>
          <w:tab/>
          <w:fldChar w:fldCharType="begin"/>
          <w:instrText xml:space="preserve"> PAGEREF _Toc243824179 \h </w:instrText>
          <w:fldChar w:fldCharType="separate"/>
          <w:t>34</w:t>
          <w:fldChar w:fldCharType="end"/>
        </w:r>
      </w:hyperlink>
    </w:p>
    <w:p w14:paraId="1BFA76A8" w14:textId="76B95977" w:rsidR="00A92AC7" w:rsidRDefault="00A92AC7">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180" w:history="1">
        <w:r>
          <w:rPr>
            <w:rStyle w:val="Hyperlink"/>
            <w:noProof/>
          </w:rPr>
          <w:t>Abbildung 11: Logistikkonzept Grofu: Leitbild, fünf Prinzipien, Fundament</w:t>
        </w:r>
        <w:r>
          <w:rPr>
            <w:noProof/>
          </w:rPr>
          <w:tab/>
          <w:fldChar w:fldCharType="begin"/>
          <w:instrText xml:space="preserve"> PAGEREF _Toc243824180 \h </w:instrText>
          <w:fldChar w:fldCharType="separate"/>
          <w:t>36</w:t>
          <w:fldChar w:fldCharType="end"/>
        </w:r>
      </w:hyperlink>
    </w:p>
    <w:p w14:paraId="52DDCF0A" w14:textId="72A6BA9C" w:rsidR="00D806ED" w:rsidRDefault="00000000">
      <w:pPr>
        <w:pStyle w:val="Abbildungsverzeichnis"/>
        <w:tabs>
          <w:tab w:val="right" w:leader="dot" w:pos="9069"/>
        </w:tabs>
      </w:pPr>
      <w:r>
        <w:fldChar w:fldCharType="end"/>
      </w:r>
    </w:p>
    <w:p w14:paraId="225C959D" w14:textId="77777777" w:rsidR="00D806ED" w:rsidRDefault="00000000">
      <w:pPr>
        <w:pStyle w:val="Inhaltsverzeichnisberschrift"/>
      </w:pPr>
      <w:r>
        <w:br w:type="page"/>
        <w:lastRenderedPageBreak/>
        <w:t>Tabellenverzeichnis</w:t>
      </w:r>
    </w:p>
    <w:p w14:paraId="1E986BAF" w14:textId="7214E67E" w:rsidR="00A40FB6" w:rsidRDefault="00000000">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r>
        <w:fldChar w:fldCharType="begin"/>
        <w:instrText xml:space="preserve"> TOC \c "Tabelle" \h </w:instrText>
        <w:fldChar w:fldCharType="separate"/>
      </w:r>
      <w:hyperlink w:anchor="_Toc243824208" w:history="1">
        <w:r>
          <w:rPr>
            <w:rStyle w:val="Hyperlink"/>
            <w:noProof/>
          </w:rPr>
          <w:t>Tabelle 1: ABC-Analyse der Rohmaterialien nach Einkaufsvolumen (Grenzen 70/20/10 %)</w:t>
        </w:r>
        <w:r>
          <w:rPr>
            <w:noProof/>
          </w:rPr>
          <w:tab/>
          <w:fldChar w:fldCharType="begin"/>
          <w:instrText xml:space="preserve"> PAGEREF _Toc243824208 \h </w:instrText>
          <w:fldChar w:fldCharType="separate"/>
          <w:t>6</w:t>
          <w:fldChar w:fldCharType="end"/>
        </w:r>
      </w:hyperlink>
    </w:p>
    <w:p w14:paraId="5867E646" w14:textId="4BA89876"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09" w:history="1">
        <w:r>
          <w:rPr>
            <w:rStyle w:val="Hyperlink"/>
            <w:noProof/>
          </w:rPr>
          <w:t>Tabelle 2: Zielabweichung zwischen Ist und Vorgaben der Holding</w:t>
        </w:r>
        <w:r>
          <w:rPr>
            <w:noProof/>
          </w:rPr>
          <w:tab/>
          <w:fldChar w:fldCharType="begin"/>
          <w:instrText xml:space="preserve"> PAGEREF _Toc243824209 \h </w:instrText>
          <w:fldChar w:fldCharType="separate"/>
          <w:t>7</w:t>
          <w:fldChar w:fldCharType="end"/>
        </w:r>
      </w:hyperlink>
    </w:p>
    <w:p w14:paraId="24F9F322" w14:textId="486DAA3D"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10" w:history="1">
        <w:r>
          <w:rPr>
            <w:rStyle w:val="Hyperlink"/>
            <w:noProof/>
          </w:rPr>
          <w:t>Tabelle 3: Variantenmatrix und Nutzwertanalyse der Importroute (Bewertung 1–5)</w:t>
        </w:r>
        <w:r>
          <w:rPr>
            <w:noProof/>
          </w:rPr>
          <w:tab/>
          <w:fldChar w:fldCharType="begin"/>
          <w:instrText xml:space="preserve"> PAGEREF _Toc243824210 \h </w:instrText>
          <w:fldChar w:fldCharType="separate"/>
          <w:t>9</w:t>
          <w:fldChar w:fldCharType="end"/>
        </w:r>
      </w:hyperlink>
    </w:p>
    <w:p w14:paraId="23F121D1" w14:textId="62E15492"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11" w:history="1">
        <w:r>
          <w:rPr>
            <w:rStyle w:val="Hyperlink"/>
            <w:noProof/>
          </w:rPr>
          <w:t>Tabelle 4: Beiträge der operativen Beschaffung zu den vier Zielen</w:t>
        </w:r>
        <w:r>
          <w:rPr>
            <w:noProof/>
          </w:rPr>
          <w:tab/>
          <w:fldChar w:fldCharType="begin"/>
          <w:instrText xml:space="preserve"> PAGEREF _Toc243824211 \h </w:instrText>
          <w:fldChar w:fldCharType="separate"/>
          <w:t>11</w:t>
          <w:fldChar w:fldCharType="end"/>
        </w:r>
      </w:hyperlink>
    </w:p>
    <w:p w14:paraId="74AB06D2" w14:textId="4D0B7939"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12" w:history="1">
        <w:r>
          <w:rPr>
            <w:rStyle w:val="Hyperlink"/>
            <w:noProof/>
          </w:rPr>
          <w:t>Tabelle 5: Fertigungsart und Ablaufprinzip je Segment (Nutzwerte, Skala 1–5)</w:t>
        </w:r>
        <w:r>
          <w:rPr>
            <w:noProof/>
          </w:rPr>
          <w:tab/>
          <w:fldChar w:fldCharType="begin"/>
          <w:instrText xml:space="preserve"> PAGEREF _Toc243824212 \h </w:instrText>
          <w:fldChar w:fldCharType="separate"/>
          <w:t>13</w:t>
          <w:fldChar w:fldCharType="end"/>
        </w:r>
      </w:hyperlink>
    </w:p>
    <w:p w14:paraId="60319375" w14:textId="5BF962D3"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13" w:history="1">
        <w:r>
          <w:rPr>
            <w:rStyle w:val="Hyperlink"/>
            <w:noProof/>
          </w:rPr>
          <w:t>Tabelle 6: Massnahmen der Produktionslogistik zu den vier Zielen</w:t>
        </w:r>
        <w:r>
          <w:rPr>
            <w:noProof/>
          </w:rPr>
          <w:tab/>
          <w:fldChar w:fldCharType="begin"/>
          <w:instrText xml:space="preserve"> PAGEREF _Toc243824213 \h </w:instrText>
          <w:fldChar w:fldCharType="separate"/>
          <w:t>15</w:t>
          <w:fldChar w:fldCharType="end"/>
        </w:r>
      </w:hyperlink>
    </w:p>
    <w:p w14:paraId="68F2E25E" w14:textId="069B3950"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14" w:history="1">
        <w:r>
          <w:rPr>
            <w:rStyle w:val="Hyperlink"/>
            <w:noProof/>
          </w:rPr>
          <w:t>Tabelle 7: Lagerlogistik: Ausgangslage, Soll und Massnahmen je Ziel</w:t>
        </w:r>
        <w:r>
          <w:rPr>
            <w:noProof/>
          </w:rPr>
          <w:tab/>
          <w:fldChar w:fldCharType="begin"/>
          <w:instrText xml:space="preserve"> PAGEREF _Toc243824214 \h </w:instrText>
          <w:fldChar w:fldCharType="separate"/>
          <w:t>18</w:t>
          <w:fldChar w:fldCharType="end"/>
        </w:r>
      </w:hyperlink>
    </w:p>
    <w:p w14:paraId="48E31B72" w14:textId="6A990E8C"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15" w:history="1">
        <w:r>
          <w:rPr>
            <w:rStyle w:val="Hyperlink"/>
            <w:noProof/>
          </w:rPr>
          <w:t>Tabelle 8: Kennzahlen-Cockpit Lagerlogistik</w:t>
        </w:r>
        <w:r>
          <w:rPr>
            <w:noProof/>
          </w:rPr>
          <w:tab/>
          <w:fldChar w:fldCharType="begin"/>
          <w:instrText xml:space="preserve"> PAGEREF _Toc243824215 \h </w:instrText>
          <w:fldChar w:fldCharType="separate"/>
          <w:t>19</w:t>
          <w:fldChar w:fldCharType="end"/>
        </w:r>
      </w:hyperlink>
    </w:p>
    <w:p w14:paraId="4BA0C273" w14:textId="236AF8A9"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16" w:history="1">
        <w:r>
          <w:rPr>
            <w:rStyle w:val="Hyperlink"/>
            <w:noProof/>
          </w:rPr>
          <w:t>Tabelle 9: Potenzialmatrix Distribution (L Lieferzeit, K Kosten, F Flexibilität, R SC-Risiken; Gewichte in % je Segment)</w:t>
        </w:r>
        <w:r>
          <w:rPr>
            <w:noProof/>
          </w:rPr>
          <w:tab/>
          <w:fldChar w:fldCharType="begin"/>
          <w:instrText xml:space="preserve"> PAGEREF _Toc243824216 \h </w:instrText>
          <w:fldChar w:fldCharType="separate"/>
          <w:t>20</w:t>
          <w:fldChar w:fldCharType="end"/>
        </w:r>
      </w:hyperlink>
    </w:p>
    <w:p w14:paraId="71508E0A" w14:textId="71413147"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17" w:history="1">
        <w:r>
          <w:rPr>
            <w:rStyle w:val="Hyperlink"/>
            <w:noProof/>
          </w:rPr>
          <w:t>Tabelle 10: Massnahmen und Wirkung auf die Ziele der Holding</w:t>
        </w:r>
        <w:r>
          <w:rPr>
            <w:noProof/>
          </w:rPr>
          <w:tab/>
          <w:fldChar w:fldCharType="begin"/>
          <w:instrText xml:space="preserve"> PAGEREF _Toc243824217 \h </w:instrText>
          <w:fldChar w:fldCharType="separate"/>
          <w:t>22</w:t>
          <w:fldChar w:fldCharType="end"/>
        </w:r>
      </w:hyperlink>
    </w:p>
    <w:p w14:paraId="3A6614C9" w14:textId="1112BB7E"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18" w:history="1">
        <w:r>
          <w:rPr>
            <w:rStyle w:val="Hyperlink"/>
            <w:noProof/>
          </w:rPr>
          <w:t>Tabelle 11: Ergebnisse der Datenprüfung</w:t>
        </w:r>
        <w:r>
          <w:rPr>
            <w:noProof/>
          </w:rPr>
          <w:tab/>
          <w:fldChar w:fldCharType="begin"/>
          <w:instrText xml:space="preserve"> PAGEREF _Toc243824218 \h </w:instrText>
          <w:fldChar w:fldCharType="separate"/>
          <w:t>27</w:t>
          <w:fldChar w:fldCharType="end"/>
        </w:r>
      </w:hyperlink>
    </w:p>
    <w:p w14:paraId="7938464C" w14:textId="65016D79"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19" w:history="1">
        <w:r>
          <w:rPr>
            <w:rStyle w:val="Hyperlink"/>
            <w:noProof/>
          </w:rPr>
          <w:t>Tabelle 12: Rohmaterialien nach Herkunft (Anteile am Total)</w:t>
        </w:r>
        <w:r>
          <w:rPr>
            <w:noProof/>
          </w:rPr>
          <w:tab/>
          <w:fldChar w:fldCharType="begin"/>
          <w:instrText xml:space="preserve"> PAGEREF _Toc243824219 \h </w:instrText>
          <w:fldChar w:fldCharType="separate"/>
          <w:t>29</w:t>
          <w:fldChar w:fldCharType="end"/>
        </w:r>
      </w:hyperlink>
    </w:p>
    <w:p w14:paraId="7EEDC54C" w14:textId="4184B6E5"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20" w:history="1">
        <w:r>
          <w:rPr>
            <w:rStyle w:val="Hyperlink"/>
            <w:noProof/>
          </w:rPr>
          <w:t>Tabelle 13: Lieferanten-ABC in zwei Lesarten</w:t>
        </w:r>
        <w:r>
          <w:rPr>
            <w:noProof/>
          </w:rPr>
          <w:tab/>
          <w:fldChar w:fldCharType="begin"/>
          <w:instrText xml:space="preserve"> PAGEREF _Toc243824220 \h </w:instrText>
          <w:fldChar w:fldCharType="separate"/>
          <w:t>29</w:t>
          <w:fldChar w:fldCharType="end"/>
        </w:r>
      </w:hyperlink>
    </w:p>
    <w:p w14:paraId="02B6DFD6" w14:textId="3357073C"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21" w:history="1">
        <w:r>
          <w:rPr>
            <w:rStyle w:val="Hyperlink"/>
            <w:noProof/>
          </w:rPr>
          <w:t>Tabelle 14: Bestandsmodell nach ABC-Klasse (Szenario A ≥ 24, B ≥ 12 Abrufe p. a.)</w:t>
        </w:r>
        <w:r>
          <w:rPr>
            <w:noProof/>
          </w:rPr>
          <w:tab/>
          <w:fldChar w:fldCharType="begin"/>
          <w:instrText xml:space="preserve"> PAGEREF _Toc243824221 \h </w:instrText>
          <w:fldChar w:fldCharType="separate"/>
          <w:t>30</w:t>
          <w:fldChar w:fldCharType="end"/>
        </w:r>
      </w:hyperlink>
    </w:p>
    <w:p w14:paraId="3CB5C585" w14:textId="76C04CEE"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22" w:history="1">
        <w:r>
          <w:rPr>
            <w:rStyle w:val="Hyperlink"/>
            <w:noProof/>
          </w:rPr>
          <w:t>Tabelle 15: Sensitivität der Bestandssenkung (C-Teile mit 0 % gerechnet)</w:t>
        </w:r>
        <w:r>
          <w:rPr>
            <w:noProof/>
          </w:rPr>
          <w:tab/>
          <w:fldChar w:fldCharType="begin"/>
          <w:instrText xml:space="preserve"> PAGEREF _Toc243824222 \h </w:instrText>
          <w:fldChar w:fldCharType="separate"/>
          <w:t>31</w:t>
          <w:fldChar w:fldCharType="end"/>
        </w:r>
      </w:hyperlink>
    </w:p>
    <w:p w14:paraId="246762AD" w14:textId="1C13F182"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23" w:history="1">
        <w:r>
          <w:rPr>
            <w:rStyle w:val="Hyperlink"/>
            <w:noProof/>
          </w:rPr>
          <w:t>Tabelle 16: Nutzwertanalyse Importroute: Bewertung (1–5) und Begründung je Kriterium</w:t>
        </w:r>
        <w:r>
          <w:rPr>
            <w:noProof/>
          </w:rPr>
          <w:tab/>
          <w:fldChar w:fldCharType="begin"/>
          <w:instrText xml:space="preserve"> PAGEREF _Toc243824223 \h </w:instrText>
          <w:fldChar w:fldCharType="separate"/>
          <w:t>32</w:t>
          <w:fldChar w:fldCharType="end"/>
        </w:r>
      </w:hyperlink>
    </w:p>
    <w:p w14:paraId="2D414BC8" w14:textId="518C4B30"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24" w:history="1">
        <w:r>
          <w:rPr>
            <w:rStyle w:val="Hyperlink"/>
            <w:noProof/>
          </w:rPr>
          <w:t>Tabelle 17: Sensitivität der Nutzwertanalyse Importroute</w:t>
        </w:r>
        <w:r>
          <w:rPr>
            <w:noProof/>
          </w:rPr>
          <w:tab/>
          <w:fldChar w:fldCharType="begin"/>
          <w:instrText xml:space="preserve"> PAGEREF _Toc243824224 \h </w:instrText>
          <w:fldChar w:fldCharType="separate"/>
          <w:t>32</w:t>
          <w:fldChar w:fldCharType="end"/>
        </w:r>
      </w:hyperlink>
    </w:p>
    <w:p w14:paraId="3D0515B1" w14:textId="7E2D8D6E"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25" w:history="1">
        <w:r>
          <w:rPr>
            <w:rStyle w:val="Hyperlink"/>
            <w:noProof/>
          </w:rPr>
          <w:t>Tabelle 18: Make-or-Buy für wertschöpfungsneutrale Prozesse</w:t>
        </w:r>
        <w:r>
          <w:rPr>
            <w:noProof/>
          </w:rPr>
          <w:tab/>
          <w:fldChar w:fldCharType="begin"/>
          <w:instrText xml:space="preserve"> PAGEREF _Toc243824225 \h </w:instrText>
          <w:fldChar w:fldCharType="separate"/>
          <w:t>33</w:t>
          <w:fldChar w:fldCharType="end"/>
        </w:r>
      </w:hyperlink>
    </w:p>
    <w:p w14:paraId="071DFF92" w14:textId="3B7DF909"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26" w:history="1">
        <w:r>
          <w:rPr>
            <w:rStyle w:val="Hyperlink"/>
            <w:noProof/>
          </w:rPr>
          <w:t>Tabelle 19: ABC/XYZ-Normstrategien der operativen Beschaffung</w:t>
        </w:r>
        <w:r>
          <w:rPr>
            <w:noProof/>
          </w:rPr>
          <w:tab/>
          <w:fldChar w:fldCharType="begin"/>
          <w:instrText xml:space="preserve"> PAGEREF _Toc243824226 \h </w:instrText>
          <w:fldChar w:fldCharType="separate"/>
          <w:t>33</w:t>
          <w:fldChar w:fldCharType="end"/>
        </w:r>
      </w:hyperlink>
    </w:p>
    <w:p w14:paraId="24E23678" w14:textId="0977A11D"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27" w:history="1">
        <w:r>
          <w:rPr>
            <w:rStyle w:val="Hyperlink"/>
            <w:noProof/>
          </w:rPr>
          <w:t>Tabelle 20: Nutzwertanalyse Produktionsform je Segment</w:t>
        </w:r>
        <w:r>
          <w:rPr>
            <w:noProof/>
          </w:rPr>
          <w:tab/>
          <w:fldChar w:fldCharType="begin"/>
          <w:instrText xml:space="preserve"> PAGEREF _Toc243824227 \h </w:instrText>
          <w:fldChar w:fldCharType="separate"/>
          <w:t>34</w:t>
          <w:fldChar w:fldCharType="end"/>
        </w:r>
      </w:hyperlink>
    </w:p>
    <w:p w14:paraId="15505670" w14:textId="583E44D9"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28" w:history="1">
        <w:r>
          <w:rPr>
            <w:rStyle w:val="Hyperlink"/>
            <w:noProof/>
          </w:rPr>
          <w:t>Tabelle 21: Herleitung der Punktwerte aus den Skript-Merkmalen</w:t>
        </w:r>
        <w:r>
          <w:rPr>
            <w:noProof/>
          </w:rPr>
          <w:tab/>
          <w:fldChar w:fldCharType="begin"/>
          <w:instrText xml:space="preserve"> PAGEREF _Toc243824228 \h </w:instrText>
          <w:fldChar w:fldCharType="separate"/>
          <w:t>35</w:t>
          <w:fldChar w:fldCharType="end"/>
        </w:r>
      </w:hyperlink>
    </w:p>
    <w:p w14:paraId="4610CD0C" w14:textId="3323285D"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29" w:history="1">
        <w:r>
          <w:rPr>
            <w:rStyle w:val="Hyperlink"/>
            <w:noProof/>
          </w:rPr>
          <w:t>Tabelle 22: Modellrechnung Lieferzeit Anlagenbau</w:t>
        </w:r>
        <w:r>
          <w:rPr>
            <w:noProof/>
          </w:rPr>
          <w:tab/>
          <w:fldChar w:fldCharType="begin"/>
          <w:instrText xml:space="preserve"> PAGEREF _Toc243824229 \h </w:instrText>
          <w:fldChar w:fldCharType="separate"/>
          <w:t>36</w:t>
          <w:fldChar w:fldCharType="end"/>
        </w:r>
      </w:hyperlink>
    </w:p>
    <w:p w14:paraId="0D970E58" w14:textId="61ACEF3A"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30" w:history="1">
        <w:r>
          <w:rPr>
            <w:rStyle w:val="Hyperlink"/>
            <w:noProof/>
          </w:rPr>
          <w:t>Tabelle 23: Nutzwertanalyse Lagerstruktur</w:t>
        </w:r>
        <w:r>
          <w:rPr>
            <w:noProof/>
          </w:rPr>
          <w:tab/>
          <w:fldChar w:fldCharType="begin"/>
          <w:instrText xml:space="preserve"> PAGEREF _Toc243824230 \h </w:instrText>
          <w:fldChar w:fldCharType="separate"/>
          <w:t>36</w:t>
          <w:fldChar w:fldCharType="end"/>
        </w:r>
      </w:hyperlink>
    </w:p>
    <w:p w14:paraId="770DF64B" w14:textId="52F302BB"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31" w:history="1">
        <w:r>
          <w:rPr>
            <w:rStyle w:val="Hyperlink"/>
            <w:noProof/>
          </w:rPr>
          <w:t>Tabelle 24: Nutzwertanalyse Kommissioniersystem und Betreiber</w:t>
        </w:r>
        <w:r>
          <w:rPr>
            <w:noProof/>
          </w:rPr>
          <w:tab/>
          <w:fldChar w:fldCharType="begin"/>
          <w:instrText xml:space="preserve"> PAGEREF _Toc243824231 \h </w:instrText>
          <w:fldChar w:fldCharType="separate"/>
          <w:t>37</w:t>
          <w:fldChar w:fldCharType="end"/>
        </w:r>
      </w:hyperlink>
    </w:p>
    <w:p w14:paraId="6DAEA184" w14:textId="10785D36"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32" w:history="1">
        <w:r>
          <w:rPr>
            <w:rStyle w:val="Hyperlink"/>
            <w:noProof/>
          </w:rPr>
          <w:t>Tabelle 25: Begründung der Punktwerte Lagerstruktur und Kommissionierung</w:t>
        </w:r>
        <w:r>
          <w:rPr>
            <w:noProof/>
          </w:rPr>
          <w:tab/>
          <w:fldChar w:fldCharType="begin"/>
          <w:instrText xml:space="preserve"> PAGEREF _Toc243824232 \h </w:instrText>
          <w:fldChar w:fldCharType="separate"/>
          <w:t>37</w:t>
          <w:fldChar w:fldCharType="end"/>
        </w:r>
      </w:hyperlink>
    </w:p>
    <w:p w14:paraId="5F7731F9" w14:textId="34BF3BD7"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33" w:history="1">
        <w:r>
          <w:rPr>
            <w:rStyle w:val="Hyperlink"/>
            <w:noProof/>
          </w:rPr>
          <w:t>Tabelle 26: Berechnungen zu Block 4</w:t>
        </w:r>
        <w:r>
          <w:rPr>
            <w:noProof/>
          </w:rPr>
          <w:tab/>
          <w:fldChar w:fldCharType="begin"/>
          <w:instrText xml:space="preserve"> PAGEREF _Toc243824233 \h </w:instrText>
          <w:fldChar w:fldCharType="separate"/>
          <w:t>37</w:t>
          <w:fldChar w:fldCharType="end"/>
        </w:r>
      </w:hyperlink>
    </w:p>
    <w:p w14:paraId="7AC50262" w14:textId="49BC0AB9" w:rsidR="00A40FB6" w:rsidRDefault="00A40FB6">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hyperlink w:anchor="_Toc243824234" w:history="1">
        <w:r>
          <w:rPr>
            <w:rStyle w:val="Hyperlink"/>
            <w:noProof/>
          </w:rPr>
          <w:t>Tabelle 27: Risiken und Gegenmassnahmen</w:t>
        </w:r>
        <w:r>
          <w:rPr>
            <w:noProof/>
          </w:rPr>
          <w:tab/>
          <w:fldChar w:fldCharType="begin"/>
          <w:instrText xml:space="preserve"> PAGEREF _Toc243824234 \h </w:instrText>
          <w:fldChar w:fldCharType="separate"/>
          <w:t>38</w:t>
          <w:fldChar w:fldCharType="end"/>
        </w:r>
      </w:hyperlink>
    </w:p>
    <w:p>
      <w:pPr>
        <w:pStyle w:val="Abbildungsverzeichnis"/>
        <w:tabs>
          <w:tab w:val="right" w:leader="dot" w:pos="9060"/>
        </w:tabs>
        <w:rPr>
          <w:rFonts w:asciiTheme="minorHAnsi" w:eastAsiaTheme="minorEastAsia" w:hAnsiTheme="minorHAnsi" w:cstheme="minorBidi"/>
          <w:noProof/>
          <w:kern w:val="2"/>
          <w:sz w:val="24"/>
          <w:szCs w:val="24"/>
          <w:lang w:eastAsia="de-CH"/>
          <w14:ligatures w14:val="standardContextual"/>
        </w:rPr>
      </w:pPr>
      <w:r>
        <w:rPr>
          <w:rStyle w:val="Hyperlink"/>
          <w:noProof/>
          <w:shd w:val="clear" w:color="auto" w:fill="DDEBF7"/>
        </w:rPr>
        <w:t xml:space="preserve">Tabelle 28: Annahmenverzeichnis</w:t>
      </w:r>
      <w:r>
        <w:rPr>
          <w:rStyle w:val="Hyperlink"/>
          <w:noProof/>
        </w:rPr>
        <w:tab/>
      </w:r>
      <w:r>
        <w:rPr>
          <w:rStyle w:val="Hyperlink"/>
          <w:noProof/>
          <w:shd w:val="clear" w:color="auto" w:fill="DDEBF7"/>
        </w:rPr>
        <w:t xml:space="preserve">39</w:t>
      </w:r>
    </w:p>
    <w:p w14:paraId="563EFB35" w14:textId="72F95D23" w:rsidR="00D806ED" w:rsidRDefault="00000000">
      <w:pPr>
        <w:pStyle w:val="Abbildungsverzeichnis"/>
        <w:tabs>
          <w:tab w:val="right" w:leader="dot" w:pos="9069"/>
        </w:tabs>
      </w:pPr>
      <w:r>
        <w:fldChar w:fldCharType="end"/>
      </w:r>
    </w:p>
    <w:p w14:paraId="49380A6D" w14:textId="28E99407" w:rsidR="00D806ED" w:rsidRDefault="00212347">
      <w:pPr>
        <w:pStyle w:val="berschrift1"/>
        <w:numPr>
          <w:ilvl w:val="0"/>
          <w:numId w:val="0"/>
        </w:numPr>
      </w:pPr>
      <w:r>
        <w:t xml:space="preserve"> </w:t>
        <w:br w:type="page"/>
      </w:r>
      <w:bookmarkStart w:id="1" w:name="_Toc243825018"/>
      <w:r>
        <w:lastRenderedPageBreak/>
        <w:t>Abkürzungsverzeichnis</w:t>
      </w:r>
      <w:bookmarkEnd w:id="1"/>
    </w:p>
    <w:tbl>
      <w:tblPr>
        <w:tblStyle w:val="Tabellenraster"/>
        <w:tblW w:w="9070" w:type="dxa"/>
        <w:tblInd w:w="113" w:type="dxa"/>
        <w:tblLayout w:type="fixed"/>
        <w:tblLook w:val="0020" w:firstRow="1" w:lastRow="0" w:firstColumn="0" w:lastColumn="0" w:noHBand="0" w:noVBand="0"/>
      </w:tblPr>
      <w:tblGrid>
        <w:gridCol w:w="1728"/>
        <w:gridCol w:w="7342"/>
      </w:tblGrid>
      <w:tr w:rsidR="00D806ED" w14:paraId="106C2A46" w14:textId="77777777">
        <w:trPr>
          <w:tblHeader/>
        </w:trPr>
        <w:tc>
          <w:tcPr>
            <w:tcW w:w="1728" w:type="dxa"/>
            <w:shd w:val="clear" w:color="auto" w:fill="D9D9D9"/>
          </w:tcPr>
          <w:p w14:paraId="05F4E034" w14:textId="77777777" w:rsidR="00D806ED" w:rsidRDefault="00000000">
            <w:pPr>
              <w:pStyle w:val="Tabelleninhalt"/>
            </w:pPr>
            <w:r>
              <w:rPr>
                <w:b/>
              </w:rPr>
              <w:t>Abkürzung</w:t>
            </w:r>
          </w:p>
        </w:tc>
        <w:tc>
          <w:tcPr>
            <w:tcW w:w="7342" w:type="dxa"/>
            <w:shd w:val="clear" w:color="auto" w:fill="D9D9D9"/>
          </w:tcPr>
          <w:p w14:paraId="1E49CDE2" w14:textId="77777777" w:rsidR="00D806ED" w:rsidRDefault="00000000">
            <w:pPr>
              <w:pStyle w:val="Tabelleninhalt"/>
            </w:pPr>
            <w:r>
              <w:rPr>
                <w:b/>
              </w:rPr>
              <w:t>Bedeutung</w:t>
            </w:r>
          </w:p>
        </w:tc>
      </w:tr>
      <w:tr w:rsidR="00D806ED" w14:paraId="2BA19643" w14:textId="77777777">
        <w:trPr>
          <w:cantSplit/>
        </w:trPr>
        <w:tc>
          <w:tcPr>
            <w:tcW w:w="1728" w:type="dxa"/>
          </w:tcPr>
          <w:p w14:paraId="209E8ABC" w14:textId="77777777" w:rsidR="00D806ED" w:rsidRDefault="00000000">
            <w:pPr>
              <w:pStyle w:val="Tabelleninhalt"/>
            </w:pPr>
            <w:r>
              <w:t>3PL</w:t>
            </w:r>
          </w:p>
        </w:tc>
        <w:tc>
          <w:tcPr>
            <w:tcW w:w="7342" w:type="dxa"/>
          </w:tcPr>
          <w:p w14:paraId="7D3D16D3" w14:textId="77777777" w:rsidR="00D806ED" w:rsidRDefault="00000000">
            <w:pPr>
              <w:pStyle w:val="Tabelleninhalt"/>
            </w:pPr>
            <w:r>
              <w:t xml:space="preserve">Third Party Logistics Provider (Logistikdienstleister)</w:t>
            </w:r>
          </w:p>
        </w:tc>
      </w:tr>
      <w:tr w:rsidR="00D806ED" w14:paraId="4B6C3C13" w14:textId="77777777">
        <w:trPr>
          <w:cantSplit/>
        </w:trPr>
        <w:tc>
          <w:tcPr>
            <w:tcW w:w="1728" w:type="dxa"/>
          </w:tcPr>
          <w:p w14:paraId="710E5AAF" w14:textId="77777777" w:rsidR="00D806ED" w:rsidRDefault="00000000">
            <w:pPr>
              <w:pStyle w:val="Tabelleninhalt"/>
            </w:pPr>
            <w:r>
              <w:t>APO</w:t>
            </w:r>
          </w:p>
        </w:tc>
        <w:tc>
          <w:tcPr>
            <w:tcW w:w="7342" w:type="dxa"/>
          </w:tcPr>
          <w:p w14:paraId="4EB9DD51" w14:textId="77777777" w:rsidR="00D806ED" w:rsidRDefault="00000000">
            <w:pPr>
              <w:pStyle w:val="Tabelleninhalt"/>
            </w:pPr>
            <w:r>
              <w:t xml:space="preserve">Advanced Planning Optimizer</w:t>
            </w:r>
          </w:p>
        </w:tc>
      </w:tr>
      <w:tr w:rsidR="00D806ED" w14:paraId="3FB11F5A" w14:textId="77777777">
        <w:trPr>
          <w:cantSplit/>
        </w:trPr>
        <w:tc>
          <w:tcPr>
            <w:tcW w:w="1728" w:type="dxa"/>
          </w:tcPr>
          <w:p w14:paraId="124981F7" w14:textId="77777777" w:rsidR="00D806ED" w:rsidRDefault="00000000">
            <w:pPr>
              <w:pStyle w:val="Tabelleninhalt"/>
            </w:pPr>
            <w:r>
              <w:t>AT</w:t>
            </w:r>
          </w:p>
        </w:tc>
        <w:tc>
          <w:tcPr>
            <w:tcW w:w="7342" w:type="dxa"/>
          </w:tcPr>
          <w:p w14:paraId="290BAB23" w14:textId="77777777" w:rsidR="00D806ED" w:rsidRDefault="00000000">
            <w:pPr>
              <w:pStyle w:val="Tabelleninhalt"/>
            </w:pPr>
            <w:r>
              <w:t>Arbeitstag(e)</w:t>
            </w:r>
          </w:p>
        </w:tc>
      </w:tr>
      <w:tr w:rsidR="00D806ED" w14:paraId="50CB0FE1" w14:textId="77777777">
        <w:trPr>
          <w:cantSplit/>
        </w:trPr>
        <w:tc>
          <w:tcPr>
            <w:tcW w:w="1728" w:type="dxa"/>
          </w:tcPr>
          <w:p w14:paraId="090C9E09" w14:textId="77777777" w:rsidR="00D806ED" w:rsidRDefault="00000000">
            <w:pPr>
              <w:pStyle w:val="Tabelleninhalt"/>
            </w:pPr>
            <w:r>
              <w:t>ATO</w:t>
            </w:r>
          </w:p>
        </w:tc>
        <w:tc>
          <w:tcPr>
            <w:tcW w:w="7342" w:type="dxa"/>
          </w:tcPr>
          <w:p w14:paraId="441766AF" w14:textId="77777777" w:rsidR="00D806ED" w:rsidRDefault="00000000">
            <w:pPr>
              <w:pStyle w:val="Tabelleninhalt"/>
            </w:pPr>
            <w:r>
              <w:t>Assemble-to-Order (Montage auf Kundenauftrag)</w:t>
            </w:r>
          </w:p>
        </w:tc>
      </w:tr>
      <w:tr w:rsidR="00D806ED" w14:paraId="1ADC633A" w14:textId="77777777">
        <w:trPr>
          <w:cantSplit/>
        </w:trPr>
        <w:tc>
          <w:tcPr>
            <w:tcW w:w="1728" w:type="dxa"/>
          </w:tcPr>
          <w:p w14:paraId="192D0F72" w14:textId="77777777" w:rsidR="00D806ED" w:rsidRDefault="00000000">
            <w:pPr>
              <w:pStyle w:val="Tabelleninhalt"/>
            </w:pPr>
            <w:r>
              <w:t>BVL</w:t>
            </w:r>
          </w:p>
        </w:tc>
        <w:tc>
          <w:tcPr>
            <w:tcW w:w="7342" w:type="dxa"/>
          </w:tcPr>
          <w:p w14:paraId="70B640AF" w14:textId="77777777" w:rsidR="00D806ED" w:rsidRDefault="00000000">
            <w:pPr>
              <w:pStyle w:val="Tabelleninhalt"/>
            </w:pPr>
            <w:r>
              <w:t>Bundesvereinigung Logistik</w:t>
            </w:r>
          </w:p>
        </w:tc>
      </w:tr>
      <w:tr w:rsidR="00D806ED" w14:paraId="4A769B3C" w14:textId="77777777">
        <w:trPr>
          <w:cantSplit/>
        </w:trPr>
        <w:tc>
          <w:tcPr>
            <w:tcW w:w="1728" w:type="dxa"/>
          </w:tcPr>
          <w:p w14:paraId="13D7600B" w14:textId="77777777" w:rsidR="00D806ED" w:rsidRDefault="00000000">
            <w:pPr>
              <w:pStyle w:val="Tabelleninhalt"/>
            </w:pPr>
            <w:r>
              <w:t>CODP</w:t>
            </w:r>
          </w:p>
        </w:tc>
        <w:tc>
          <w:tcPr>
            <w:tcW w:w="7342" w:type="dxa"/>
          </w:tcPr>
          <w:p w14:paraId="488C53C5" w14:textId="77777777" w:rsidR="00D806ED" w:rsidRDefault="00000000">
            <w:pPr>
              <w:pStyle w:val="Tabelleninhalt"/>
            </w:pPr>
            <w:r>
              <w:t xml:space="preserve">Customer Order Decoupling Point (Kundenauftragsentkopplungspunkt)</w:t>
            </w:r>
          </w:p>
        </w:tc>
      </w:tr>
      <w:tr w:rsidR="00D806ED" w:rsidRPr="004E094B" w14:paraId="20163401" w14:textId="77777777">
        <w:trPr>
          <w:cantSplit/>
        </w:trPr>
        <w:tc>
          <w:tcPr>
            <w:tcW w:w="1728" w:type="dxa"/>
          </w:tcPr>
          <w:p w14:paraId="432E3180" w14:textId="77777777" w:rsidR="00D806ED" w:rsidRDefault="00000000">
            <w:pPr>
              <w:pStyle w:val="Tabelleninhalt"/>
            </w:pPr>
            <w:r>
              <w:t>DGFT</w:t>
            </w:r>
          </w:p>
        </w:tc>
        <w:tc>
          <w:tcPr>
            <w:tcW w:w="7342" w:type="dxa"/>
          </w:tcPr>
          <w:p w14:paraId="5E2DDA22" w14:textId="77777777" w:rsidR="00D806ED" w:rsidRPr="004E094B" w:rsidRDefault="00000000">
            <w:pPr>
              <w:pStyle w:val="Tabelleninhalt"/>
              <w:rPr>
                <w:lang w:val="fr-CH"/>
              </w:rPr>
            </w:pPr>
            <w:r>
              <w:rPr>
                <w:lang w:val="fr-CH"/>
              </w:rPr>
              <w:t xml:space="preserve">Directorate General of Foreign Trade (Indien)</w:t>
            </w:r>
          </w:p>
        </w:tc>
      </w:tr>
      <w:tr w:rsidR="00D806ED" w14:paraId="1B2B5358" w14:textId="77777777">
        <w:trPr>
          <w:cantSplit/>
        </w:trPr>
        <w:tc>
          <w:tcPr>
            <w:tcW w:w="1728" w:type="dxa"/>
          </w:tcPr>
          <w:p w14:paraId="0ED5C230" w14:textId="77777777" w:rsidR="00D806ED" w:rsidRDefault="00000000">
            <w:pPr>
              <w:pStyle w:val="Tabelleninhalt"/>
            </w:pPr>
            <w:r>
              <w:t>DLZ</w:t>
            </w:r>
          </w:p>
        </w:tc>
        <w:tc>
          <w:tcPr>
            <w:tcW w:w="7342" w:type="dxa"/>
          </w:tcPr>
          <w:p w14:paraId="39876B47" w14:textId="77777777" w:rsidR="00D806ED" w:rsidRDefault="00000000">
            <w:pPr>
              <w:pStyle w:val="Tabelleninhalt"/>
            </w:pPr>
            <w:r>
              <w:t>Durchlaufzeit</w:t>
            </w:r>
          </w:p>
        </w:tc>
      </w:tr>
      <w:tr w:rsidR="00D806ED" w14:paraId="16F3C1A0" w14:textId="77777777">
        <w:trPr>
          <w:cantSplit/>
        </w:trPr>
        <w:tc>
          <w:tcPr>
            <w:tcW w:w="1728" w:type="dxa"/>
          </w:tcPr>
          <w:p w14:paraId="6829148F" w14:textId="77777777" w:rsidR="00D806ED" w:rsidRDefault="00000000">
            <w:pPr>
              <w:pStyle w:val="Tabelleninhalt"/>
            </w:pPr>
            <w:r>
              <w:t>EDI</w:t>
            </w:r>
          </w:p>
        </w:tc>
        <w:tc>
          <w:tcPr>
            <w:tcW w:w="7342" w:type="dxa"/>
          </w:tcPr>
          <w:p w14:paraId="0B0697A1" w14:textId="77777777" w:rsidR="00D806ED" w:rsidRDefault="00000000">
            <w:pPr>
              <w:pStyle w:val="Tabelleninhalt"/>
            </w:pPr>
            <w:r>
              <w:t>Electronic Data Interchange</w:t>
            </w:r>
          </w:p>
        </w:tc>
      </w:tr>
      <w:tr w:rsidR="00D806ED" w14:paraId="286FA0EA" w14:textId="77777777">
        <w:trPr>
          <w:cantSplit/>
        </w:trPr>
        <w:tc>
          <w:tcPr>
            <w:tcW w:w="1728" w:type="dxa"/>
          </w:tcPr>
          <w:p w14:paraId="2057CB34" w14:textId="77777777" w:rsidR="00D806ED" w:rsidRDefault="00000000">
            <w:pPr>
              <w:pStyle w:val="Tabelleninhalt"/>
            </w:pPr>
            <w:r>
              <w:t>FTWZ</w:t>
            </w:r>
          </w:p>
        </w:tc>
        <w:tc>
          <w:tcPr>
            <w:tcW w:w="7342" w:type="dxa"/>
          </w:tcPr>
          <w:p w14:paraId="631B4695" w14:textId="77777777" w:rsidR="00D806ED" w:rsidRDefault="00000000">
            <w:pPr>
              <w:pStyle w:val="Tabelleninhalt"/>
            </w:pPr>
            <w:r>
              <w:t>Free Trade Warehousing Zone (Freihandels- und Lagerzone, Indien)</w:t>
            </w:r>
          </w:p>
        </w:tc>
      </w:tr>
      <w:tr w:rsidR="00D806ED" w14:paraId="5949B4D3" w14:textId="77777777">
        <w:trPr>
          <w:cantSplit/>
        </w:trPr>
        <w:tc>
          <w:tcPr>
            <w:tcW w:w="1728" w:type="dxa"/>
          </w:tcPr>
          <w:p w14:paraId="5D7D023B" w14:textId="77777777" w:rsidR="00D806ED" w:rsidRDefault="00000000">
            <w:pPr>
              <w:pStyle w:val="Tabelleninhalt"/>
            </w:pPr>
            <w:r>
              <w:t>IGST</w:t>
            </w:r>
          </w:p>
        </w:tc>
        <w:tc>
          <w:tcPr>
            <w:tcW w:w="7342" w:type="dxa"/>
          </w:tcPr>
          <w:p w14:paraId="1FCB6761" w14:textId="77777777" w:rsidR="00D806ED" w:rsidRDefault="00000000">
            <w:pPr>
              <w:pStyle w:val="Tabelleninhalt"/>
            </w:pPr>
            <w:r>
              <w:t xml:space="preserve">Integrated Goods and Services Tax (Indien)</w:t>
            </w:r>
          </w:p>
        </w:tc>
      </w:tr>
      <w:tr w:rsidR="00D806ED" w14:paraId="30A44DA9" w14:textId="77777777">
        <w:trPr>
          <w:cantSplit/>
        </w:trPr>
        <w:tc>
          <w:tcPr>
            <w:tcW w:w="1728" w:type="dxa"/>
          </w:tcPr>
          <w:p w14:paraId="7BAAF284" w14:textId="77777777" w:rsidR="00D806ED" w:rsidRDefault="00000000">
            <w:pPr>
              <w:pStyle w:val="Tabelleninhalt"/>
            </w:pPr>
            <w:r>
              <w:t>JIS</w:t>
            </w:r>
          </w:p>
        </w:tc>
        <w:tc>
          <w:tcPr>
            <w:tcW w:w="7342" w:type="dxa"/>
          </w:tcPr>
          <w:p w14:paraId="6826B96C" w14:textId="77777777" w:rsidR="00D806ED" w:rsidRDefault="00000000">
            <w:pPr>
              <w:pStyle w:val="Tabelleninhalt"/>
            </w:pPr>
            <w:r>
              <w:t>Just-in-Sequence</w:t>
            </w:r>
          </w:p>
        </w:tc>
      </w:tr>
      <w:tr w:rsidR="00D806ED" w14:paraId="558B7425" w14:textId="77777777">
        <w:trPr>
          <w:cantSplit/>
        </w:trPr>
        <w:tc>
          <w:tcPr>
            <w:tcW w:w="1728" w:type="dxa"/>
          </w:tcPr>
          <w:p w14:paraId="2A4415AD" w14:textId="77777777" w:rsidR="00D806ED" w:rsidRDefault="00000000">
            <w:pPr>
              <w:pStyle w:val="Tabelleninhalt"/>
            </w:pPr>
            <w:r>
              <w:t>JIT</w:t>
            </w:r>
          </w:p>
        </w:tc>
        <w:tc>
          <w:tcPr>
            <w:tcW w:w="7342" w:type="dxa"/>
          </w:tcPr>
          <w:p w14:paraId="11005A0E" w14:textId="77777777" w:rsidR="00D806ED" w:rsidRDefault="00000000">
            <w:pPr>
              <w:pStyle w:val="Tabelleninhalt"/>
            </w:pPr>
            <w:r>
              <w:t>Just-in-Time</w:t>
            </w:r>
          </w:p>
        </w:tc>
      </w:tr>
      <w:tr w:rsidR="00D806ED" w14:paraId="4307A83A" w14:textId="77777777">
        <w:trPr>
          <w:cantSplit/>
        </w:trPr>
        <w:tc>
          <w:tcPr>
            <w:tcW w:w="1728" w:type="dxa"/>
          </w:tcPr>
          <w:p w14:paraId="61F39DF5" w14:textId="77777777" w:rsidR="00D806ED" w:rsidRDefault="00000000">
            <w:pPr>
              <w:pStyle w:val="Tabelleninhalt"/>
            </w:pPr>
            <w:r>
              <w:t>KVP</w:t>
            </w:r>
          </w:p>
        </w:tc>
        <w:tc>
          <w:tcPr>
            <w:tcW w:w="7342" w:type="dxa"/>
          </w:tcPr>
          <w:p w14:paraId="59FFBD22" w14:textId="77777777" w:rsidR="00D806ED" w:rsidRDefault="00000000">
            <w:pPr>
              <w:pStyle w:val="Tabelleninhalt"/>
            </w:pPr>
            <w:r>
              <w:t>Kontinuierlicher Verbesserungsprozess</w:t>
            </w:r>
          </w:p>
        </w:tc>
      </w:tr>
      <w:tr w:rsidR="00D806ED" w14:paraId="09D30ED8" w14:textId="77777777">
        <w:trPr>
          <w:cantSplit/>
        </w:trPr>
        <w:tc>
          <w:tcPr>
            <w:tcW w:w="1728" w:type="dxa"/>
          </w:tcPr>
          <w:p w14:paraId="17CDA1F9" w14:textId="77777777" w:rsidR="00D806ED" w:rsidRDefault="00000000">
            <w:pPr>
              <w:pStyle w:val="Tabelleninhalt"/>
            </w:pPr>
            <w:r>
              <w:t>MOOWR</w:t>
            </w:r>
          </w:p>
        </w:tc>
        <w:tc>
          <w:tcPr>
            <w:tcW w:w="7342" w:type="dxa"/>
          </w:tcPr>
          <w:p w14:paraId="46CB8C52" w14:textId="77777777" w:rsidR="00D806ED" w:rsidRDefault="00000000">
            <w:pPr>
              <w:pStyle w:val="Tabelleninhalt"/>
            </w:pPr>
            <w:r>
              <w:t xml:space="preserve">Manufacture and Other Operations in Warehouse Regulations (Indien, 2019)</w:t>
            </w:r>
          </w:p>
        </w:tc>
      </w:tr>
      <w:tr w:rsidR="00D806ED" w14:paraId="3A389AE8" w14:textId="77777777">
        <w:trPr>
          <w:cantSplit/>
        </w:trPr>
        <w:tc>
          <w:tcPr>
            <w:tcW w:w="1728" w:type="dxa"/>
          </w:tcPr>
          <w:p w14:paraId="00ED1AE9" w14:textId="77777777" w:rsidR="00D806ED" w:rsidRDefault="00000000">
            <w:pPr>
              <w:pStyle w:val="Tabelleninhalt"/>
            </w:pPr>
            <w:r>
              <w:t>MtO</w:t>
            </w:r>
          </w:p>
        </w:tc>
        <w:tc>
          <w:tcPr>
            <w:tcW w:w="7342" w:type="dxa"/>
          </w:tcPr>
          <w:p w14:paraId="232E1717" w14:textId="77777777" w:rsidR="00D806ED" w:rsidRDefault="00000000">
            <w:pPr>
              <w:pStyle w:val="Tabelleninhalt"/>
            </w:pPr>
            <w:r>
              <w:t>Make-to-Order (Kundenauftragsfertigung)</w:t>
            </w:r>
          </w:p>
        </w:tc>
      </w:tr>
      <w:tr w:rsidR="00D806ED" w14:paraId="64713C9A" w14:textId="77777777">
        <w:trPr>
          <w:cantSplit/>
        </w:trPr>
        <w:tc>
          <w:tcPr>
            <w:tcW w:w="1728" w:type="dxa"/>
          </w:tcPr>
          <w:p w14:paraId="289B9B8C" w14:textId="77777777" w:rsidR="00D806ED" w:rsidRDefault="00000000">
            <w:pPr>
              <w:pStyle w:val="Tabelleninhalt"/>
            </w:pPr>
            <w:r>
              <w:t>MtS</w:t>
            </w:r>
          </w:p>
        </w:tc>
        <w:tc>
          <w:tcPr>
            <w:tcW w:w="7342" w:type="dxa"/>
          </w:tcPr>
          <w:p w14:paraId="74AB232C" w14:textId="77777777" w:rsidR="00D806ED" w:rsidRDefault="00000000">
            <w:pPr>
              <w:pStyle w:val="Tabelleninhalt"/>
            </w:pPr>
            <w:r>
              <w:t>Make-to-Stock (Lagerfertigung)</w:t>
            </w:r>
          </w:p>
        </w:tc>
      </w:tr>
      <w:tr w:rsidR="00D806ED" w14:paraId="1329FF25" w14:textId="77777777">
        <w:trPr>
          <w:cantSplit/>
        </w:trPr>
        <w:tc>
          <w:tcPr>
            <w:tcW w:w="1728" w:type="dxa"/>
          </w:tcPr>
          <w:p w14:paraId="672ED641" w14:textId="77777777" w:rsidR="00D806ED" w:rsidRDefault="00000000">
            <w:pPr>
              <w:pStyle w:val="Tabelleninhalt"/>
            </w:pPr>
            <w:r>
              <w:t>OEM</w:t>
            </w:r>
          </w:p>
        </w:tc>
        <w:tc>
          <w:tcPr>
            <w:tcW w:w="7342" w:type="dxa"/>
          </w:tcPr>
          <w:p w14:paraId="0ADE748D" w14:textId="77777777" w:rsidR="00D806ED" w:rsidRDefault="00000000">
            <w:pPr>
              <w:pStyle w:val="Tabelleninhalt"/>
            </w:pPr>
            <w:r>
              <w:t xml:space="preserve">Original Equipment Manufacturer</w:t>
            </w:r>
          </w:p>
        </w:tc>
      </w:tr>
      <w:tr w:rsidR="00D806ED" w14:paraId="7B76E088" w14:textId="77777777">
        <w:trPr>
          <w:cantSplit/>
        </w:trPr>
        <w:tc>
          <w:tcPr>
            <w:tcW w:w="1728" w:type="dxa"/>
          </w:tcPr>
          <w:p w14:paraId="4D2DF194" w14:textId="77777777" w:rsidR="00D806ED" w:rsidRDefault="00000000">
            <w:pPr>
              <w:pStyle w:val="Tabelleninhalt"/>
            </w:pPr>
            <w:r>
              <w:t>p. a.</w:t>
            </w:r>
          </w:p>
        </w:tc>
        <w:tc>
          <w:tcPr>
            <w:tcW w:w="7342" w:type="dxa"/>
          </w:tcPr>
          <w:p w14:paraId="76998B03" w14:textId="77777777" w:rsidR="00D806ED" w:rsidRDefault="00000000">
            <w:pPr>
              <w:pStyle w:val="Tabelleninhalt"/>
            </w:pPr>
            <w:r>
              <w:t>per annum (pro Jahr)</w:t>
            </w:r>
          </w:p>
        </w:tc>
      </w:tr>
      <w:tr w:rsidR="00D806ED" w14:paraId="338502AA" w14:textId="77777777">
        <w:trPr>
          <w:cantSplit/>
        </w:trPr>
        <w:tc>
          <w:tcPr>
            <w:tcW w:w="1728" w:type="dxa"/>
          </w:tcPr>
          <w:p w14:paraId="1A90B7B8" w14:textId="77777777" w:rsidR="00D806ED" w:rsidRDefault="00000000">
            <w:pPr>
              <w:pStyle w:val="Tabelleninhalt"/>
            </w:pPr>
            <w:r>
              <w:t>PIB</w:t>
            </w:r>
          </w:p>
        </w:tc>
        <w:tc>
          <w:tcPr>
            <w:tcW w:w="7342" w:type="dxa"/>
          </w:tcPr>
          <w:p w14:paraId="3CE4E07D" w14:textId="77777777" w:rsidR="00D806ED" w:rsidRDefault="00000000">
            <w:pPr>
              <w:pStyle w:val="Tabelleninhalt"/>
            </w:pPr>
            <w:r>
              <w:t>Press Information Bureau (Indien)</w:t>
            </w:r>
          </w:p>
        </w:tc>
      </w:tr>
      <w:tr w:rsidR="00D806ED" w14:paraId="297C1A26" w14:textId="77777777">
        <w:trPr>
          <w:cantSplit/>
        </w:trPr>
        <w:tc>
          <w:tcPr>
            <w:tcW w:w="1728" w:type="dxa"/>
          </w:tcPr>
          <w:p w14:paraId="10C3F2C7" w14:textId="77777777" w:rsidR="00D806ED" w:rsidRDefault="00000000">
            <w:pPr>
              <w:pStyle w:val="Tabelleninhalt"/>
            </w:pPr>
            <w:r>
              <w:t>QSV</w:t>
            </w:r>
          </w:p>
        </w:tc>
        <w:tc>
          <w:tcPr>
            <w:tcW w:w="7342" w:type="dxa"/>
          </w:tcPr>
          <w:p w14:paraId="4845668D" w14:textId="77777777" w:rsidR="00D806ED" w:rsidRDefault="00000000">
            <w:pPr>
              <w:pStyle w:val="Tabelleninhalt"/>
            </w:pPr>
            <w:r>
              <w:t>Qualitätssicherungsvereinbarung</w:t>
            </w:r>
          </w:p>
        </w:tc>
      </w:tr>
      <w:tr w:rsidR="00D806ED" w14:paraId="34D55725" w14:textId="77777777">
        <w:trPr>
          <w:cantSplit/>
        </w:trPr>
        <w:tc>
          <w:tcPr>
            <w:tcW w:w="1728" w:type="dxa"/>
          </w:tcPr>
          <w:p w14:paraId="1903DF00" w14:textId="77777777" w:rsidR="00D806ED" w:rsidRDefault="00000000">
            <w:pPr>
              <w:pStyle w:val="Tabelleninhalt"/>
            </w:pPr>
            <w:r>
              <w:t>RM</w:t>
            </w:r>
          </w:p>
        </w:tc>
        <w:tc>
          <w:tcPr>
            <w:tcW w:w="7342" w:type="dxa"/>
          </w:tcPr>
          <w:p w14:paraId="448EC982" w14:textId="77777777" w:rsidR="00D806ED" w:rsidRDefault="00000000">
            <w:pPr>
              <w:pStyle w:val="Tabelleninhalt"/>
            </w:pPr>
            <w:r>
              <w:t>Raw Materials (Rohmaterial)</w:t>
            </w:r>
          </w:p>
        </w:tc>
      </w:tr>
      <w:tr w:rsidR="00D806ED" w14:paraId="14180E2D" w14:textId="77777777">
        <w:trPr>
          <w:cantSplit/>
        </w:trPr>
        <w:tc>
          <w:tcPr>
            <w:tcW w:w="1728" w:type="dxa"/>
          </w:tcPr>
          <w:p w14:paraId="777CF4E3" w14:textId="77777777" w:rsidR="00D806ED" w:rsidRDefault="00000000">
            <w:pPr>
              <w:pStyle w:val="Tabelleninhalt"/>
            </w:pPr>
            <w:r>
              <w:t>ROI</w:t>
            </w:r>
          </w:p>
        </w:tc>
        <w:tc>
          <w:tcPr>
            <w:tcW w:w="7342" w:type="dxa"/>
          </w:tcPr>
          <w:p w14:paraId="0FCBAF7D" w14:textId="77777777" w:rsidR="00D806ED" w:rsidRDefault="00000000">
            <w:pPr>
              <w:pStyle w:val="Tabelleninhalt"/>
            </w:pPr>
            <w:r>
              <w:t>Return on Investment</w:t>
            </w:r>
          </w:p>
        </w:tc>
      </w:tr>
      <w:tr w:rsidR="00D806ED" w14:paraId="4B1AFE5D" w14:textId="77777777">
        <w:trPr>
          <w:cantSplit/>
        </w:trPr>
        <w:tc>
          <w:tcPr>
            <w:tcW w:w="1728" w:type="dxa"/>
          </w:tcPr>
          <w:p w14:paraId="79E49DED" w14:textId="77777777" w:rsidR="00D806ED" w:rsidRDefault="00000000">
            <w:pPr>
              <w:pStyle w:val="Tabelleninhalt"/>
            </w:pPr>
            <w:r>
              <w:t>S&amp;OP</w:t>
            </w:r>
          </w:p>
        </w:tc>
        <w:tc>
          <w:tcPr>
            <w:tcW w:w="7342" w:type="dxa"/>
          </w:tcPr>
          <w:p w14:paraId="528B752C" w14:textId="77777777" w:rsidR="00D806ED" w:rsidRDefault="00000000">
            <w:pPr>
              <w:pStyle w:val="Tabelleninhalt"/>
            </w:pPr>
            <w:r>
              <w:t xml:space="preserve">Sales and Operations Planning</w:t>
            </w:r>
          </w:p>
        </w:tc>
      </w:tr>
      <w:tr w:rsidR="00D806ED" w14:paraId="5F3A10F2" w14:textId="77777777">
        <w:trPr>
          <w:cantSplit/>
        </w:trPr>
        <w:tc>
          <w:tcPr>
            <w:tcW w:w="1728" w:type="dxa"/>
          </w:tcPr>
          <w:p w14:paraId="659D0668" w14:textId="77777777" w:rsidR="00D806ED" w:rsidRDefault="00000000">
            <w:pPr>
              <w:pStyle w:val="Tabelleninhalt"/>
            </w:pPr>
            <w:r>
              <w:t>SC</w:t>
            </w:r>
          </w:p>
        </w:tc>
        <w:tc>
          <w:tcPr>
            <w:tcW w:w="7342" w:type="dxa"/>
          </w:tcPr>
          <w:p w14:paraId="540BAEB4" w14:textId="77777777" w:rsidR="00D806ED" w:rsidRDefault="00000000">
            <w:pPr>
              <w:pStyle w:val="Tabelleninhalt"/>
            </w:pPr>
            <w:r>
              <w:t>Supply Chain</w:t>
            </w:r>
          </w:p>
        </w:tc>
      </w:tr>
      <w:tr w:rsidR="00D806ED" w14:paraId="3CDAC6A3" w14:textId="77777777">
        <w:trPr>
          <w:cantSplit/>
        </w:trPr>
        <w:tc>
          <w:tcPr>
            <w:tcW w:w="1728" w:type="dxa"/>
          </w:tcPr>
          <w:p w14:paraId="51A900C9" w14:textId="77777777" w:rsidR="00D806ED" w:rsidRDefault="00000000">
            <w:pPr>
              <w:pStyle w:val="Tabelleninhalt"/>
            </w:pPr>
            <w:r>
              <w:t>SCM</w:t>
            </w:r>
          </w:p>
        </w:tc>
        <w:tc>
          <w:tcPr>
            <w:tcW w:w="7342" w:type="dxa"/>
          </w:tcPr>
          <w:p w14:paraId="5B8FF5EF" w14:textId="77777777" w:rsidR="00D806ED" w:rsidRDefault="00000000">
            <w:pPr>
              <w:pStyle w:val="Tabelleninhalt"/>
            </w:pPr>
            <w:r>
              <w:t>Supply Chain Management</w:t>
            </w:r>
          </w:p>
        </w:tc>
      </w:tr>
      <w:tr w:rsidR="00D806ED" w14:paraId="74FE2EEA" w14:textId="77777777">
        <w:trPr>
          <w:cantSplit/>
        </w:trPr>
        <w:tc>
          <w:tcPr>
            <w:tcW w:w="1728" w:type="dxa"/>
          </w:tcPr>
          <w:p w14:paraId="30033BE0" w14:textId="77777777" w:rsidR="00D806ED" w:rsidRDefault="00000000">
            <w:pPr>
              <w:pStyle w:val="Tabelleninhalt"/>
            </w:pPr>
            <w:r>
              <w:t>SFG</w:t>
            </w:r>
          </w:p>
        </w:tc>
        <w:tc>
          <w:tcPr>
            <w:tcW w:w="7342" w:type="dxa"/>
          </w:tcPr>
          <w:p w14:paraId="071CBFFE" w14:textId="77777777" w:rsidR="00D806ED" w:rsidRDefault="00000000">
            <w:pPr>
              <w:pStyle w:val="Tabelleninhalt"/>
            </w:pPr>
            <w:r>
              <w:t xml:space="preserve">Semi-Finished Goods (Halbfabrikat)</w:t>
            </w:r>
          </w:p>
        </w:tc>
      </w:tr>
      <w:tr w:rsidR="00D806ED" w14:paraId="052B0354" w14:textId="77777777">
        <w:trPr>
          <w:cantSplit/>
        </w:trPr>
        <w:tc>
          <w:tcPr>
            <w:tcW w:w="1728" w:type="dxa"/>
          </w:tcPr>
          <w:p w14:paraId="565AB753" w14:textId="77777777" w:rsidR="00D806ED" w:rsidRDefault="00000000">
            <w:pPr>
              <w:pStyle w:val="Tabelleninhalt"/>
            </w:pPr>
            <w:r>
              <w:t>SPOF</w:t>
            </w:r>
          </w:p>
        </w:tc>
        <w:tc>
          <w:tcPr>
            <w:tcW w:w="7342" w:type="dxa"/>
          </w:tcPr>
          <w:p w14:paraId="7137CFC7" w14:textId="77777777" w:rsidR="00D806ED" w:rsidRDefault="00000000">
            <w:pPr>
              <w:pStyle w:val="Tabelleninhalt"/>
            </w:pPr>
            <w:r>
              <w:t xml:space="preserve">Single Point of Failure</w:t>
            </w:r>
          </w:p>
        </w:tc>
      </w:tr>
      <w:tr w:rsidR="00D806ED" w:rsidRPr="004E094B" w14:paraId="04E44CFC" w14:textId="77777777">
        <w:trPr>
          <w:cantSplit/>
        </w:trPr>
        <w:tc>
          <w:tcPr>
            <w:tcW w:w="1728" w:type="dxa"/>
          </w:tcPr>
          <w:p w14:paraId="5E2B4EB5" w14:textId="77777777" w:rsidR="00D806ED" w:rsidRDefault="00000000">
            <w:pPr>
              <w:pStyle w:val="Tabelleninhalt"/>
            </w:pPr>
            <w:r>
              <w:t>UNCTAD</w:t>
            </w:r>
          </w:p>
        </w:tc>
        <w:tc>
          <w:tcPr>
            <w:tcW w:w="7342" w:type="dxa"/>
          </w:tcPr>
          <w:p w14:paraId="3E776180" w14:textId="77777777" w:rsidR="00D806ED" w:rsidRPr="004E094B" w:rsidRDefault="00000000">
            <w:pPr>
              <w:pStyle w:val="Tabelleninhalt"/>
              <w:rPr>
                <w:lang w:val="fr-CH"/>
              </w:rPr>
            </w:pPr>
            <w:r>
              <w:rPr>
                <w:lang w:val="fr-CH"/>
              </w:rPr>
              <w:t xml:space="preserve">United Nations Conference on Trade and Development</w:t>
            </w:r>
          </w:p>
        </w:tc>
      </w:tr>
      <w:tr w:rsidR="00D806ED" w14:paraId="4FEB82FB" w14:textId="77777777">
        <w:trPr>
          <w:cantSplit/>
        </w:trPr>
        <w:tc>
          <w:tcPr>
            <w:tcW w:w="1728" w:type="dxa"/>
          </w:tcPr>
          <w:p w14:paraId="456A1F16" w14:textId="77777777" w:rsidR="00D806ED" w:rsidRDefault="00000000">
            <w:pPr>
              <w:pStyle w:val="Tabelleninhalt"/>
              <w:keepNext/>
            </w:pPr>
            <w:r>
              <w:t>VDI</w:t>
            </w:r>
          </w:p>
        </w:tc>
        <w:tc>
          <w:tcPr>
            <w:tcW w:w="7342" w:type="dxa"/>
          </w:tcPr>
          <w:p w14:paraId="13376A08" w14:textId="77777777" w:rsidR="00D806ED" w:rsidRDefault="00000000">
            <w:pPr>
              <w:pStyle w:val="Tabelleninhalt"/>
              <w:keepNext/>
            </w:pPr>
            <w:r>
              <w:t>Verein Deutscher Ingenieure</w:t>
            </w:r>
          </w:p>
        </w:tc>
      </w:tr>
    </w:tbl>
    <w:p w14:paraId="190CBB5E" w14:textId="77777777" w:rsidR="00D806ED" w:rsidRDefault="00D806ED">
      <w:pPr>
        <w:sectPr w:rsidR="00D806ED">
          <w:footerReference w:type="even" r:id="rId7"/>
          <w:footerReference w:type="default" r:id="rId8"/>
          <w:footerReference w:type="first" r:id="rId9"/>
          <w:pgSz w:w="11906" w:h="16838"/>
          <w:pgMar w:top="1418" w:right="1418" w:bottom="1134" w:left="1418" w:header="0" w:footer="709" w:gutter="0"/>
          <w:pgNumType w:fmt="upperRoman" w:start="1"/>
          <w:cols w:space="720"/>
          <w:formProt w:val="0"/>
          <w:titlePg/>
          <w:docGrid w:linePitch="100"/>
        </w:sectPr>
      </w:pPr>
    </w:p>
    <w:p w14:paraId="187CB302" w14:textId="77777777" w:rsidR="00D806ED" w:rsidRDefault="00000000">
      <w:pPr>
        <w:pStyle w:val="berschrift1"/>
      </w:pPr>
      <w:bookmarkStart w:id="2" w:name="_Toc243825019"/>
      <w:r>
        <w:lastRenderedPageBreak/>
        <w:t>Einleitung</w:t>
      </w:r>
      <w:bookmarkEnd w:id="2"/>
    </w:p>
    <w:p w14:paraId="02EC0D80" w14:textId="77777777" w:rsidR="00D806ED" w:rsidRDefault="00000000">
      <w:pPr>
        <w:pStyle w:val="berschrift2"/>
      </w:pPr>
      <w:bookmarkStart w:id="3" w:name="_Toc243825020"/>
      <w:r>
        <w:t>Ausgangslage und Zielsetzung</w:t>
      </w:r>
      <w:bookmarkEnd w:id="3"/>
    </w:p>
    <w:p w14:paraId="34CE9CB3" w14:textId="77777777" w:rsidR="00D806ED" w:rsidRDefault="00000000">
      <w:pPr>
        <w:pStyle w:val="FirstParagraph"/>
      </w:pPr>
      <w:bookmarkStart w:id="4" w:name="ausgangslage-und-zielsetzung"/>
      <w:r>
        <w:t xml:space="preserve">Die Grofu AG Indien Ltd. fertigt elektronische Systemkomponenten für Anlagen der Grofu-Gruppe, die überwiegend im Nahen Osten eingesetzt werden. Weil das bestehende Werk an seine Kapazitätsgrenze gestossen ist, baut sie ein neues, als eigenständiges Unternehmen organisiertes Werk. Die Holding verlangt dafür ein Konzept für die Inbound-Logistik (HWZ, o. J., S. 2–3, 5). Die Lieferzeiten liegen 30–50 % über dem Wettbewerb. Das Potenzial zur Bestandssenkung schätzt die Holding auf 30–40 %, und die Begründung des indischen Managements, der hohe Importanteil sei schuld, hält sie für «nicht stichhaltig» (HWZ, o. J., S. 5). Ziel dieser Arbeit ist neben der persönlichen Reflexion des Kurses (HWZ, o. J., S. 7) ein widerspruchsfreies Soll-Konzept für die Supply Chain. Es umfasst den Materialfluss (Block 1), die Beschaffung (Block 2), die Produktions- und die Lagerlogistik (Block 3 und 4) sowie eine Potenzialmatrix für die Distribution. Leitidee ist «Bewegungsmanagement statt Bestände-Management» (Hutzler &amp; Fuchs, 2021, S. 11).</w:t>
      </w:r>
      <w:bookmarkEnd w:id="4"/>
    </w:p>
    <w:p w14:paraId="755E5784" w14:textId="77777777" w:rsidR="00D806ED" w:rsidRDefault="00000000">
      <w:pPr>
        <w:pStyle w:val="berschrift2"/>
      </w:pPr>
      <w:bookmarkStart w:id="5" w:name="_Toc243825021"/>
      <w:r>
        <w:t>Vorgehen und Abgrenzung</w:t>
      </w:r>
      <w:bookmarkEnd w:id="5"/>
    </w:p>
    <w:p w14:paraId="3F5067A7" w14:textId="77777777" w:rsidR="00D806ED" w:rsidRDefault="00000000">
      <w:pPr>
        <w:pStyle w:val="FirstParagraph"/>
      </w:pPr>
      <w:bookmarkStart w:id="6" w:name="vorgehen-und-abgrenzung"/>
      <w:r>
        <w:t xml:space="preserve">Nach der Kurszusammenfassung wertet eine Ist-Analyse den Datensatz der Fallstudie aus (ABC, Herkunft, Lieferanten). Jeder wesentliche Entscheid folgt demselben Muster: Varianten, aus den Vorgaben der Holding begründete Gewichte, Nutzwertanalyse mit Sensitivität, danach Entscheid mit Vor- und Nachteilen. Fehlende Zahlen werden als nummerierte </w:t>
      </w:r>
      <w:r>
        <w:rPr>
          <w:shd w:val="clear" w:color="auto" w:fill="DDEBF7"/>
        </w:rPr>
        <w:t xml:space="preserve">Annahmen offengelegt (Anhang H)</w:t>
      </w:r>
      <w:r>
        <w:t xml:space="preserve">. Lager 3 bleibt gemäss Auftrag ausgeklammert (HWZ, o. J., S. 6). Für die Distribution liegen keine Ist-Daten vor, die Potenzialmatrix ist deshalb eine qualitative Bewertung. Die Fallstudie mit der Importroute über Karatschi bildet die Basis. Das indische Import- und Transitverbot für Waren aus oder über Pakistan von 2025 (Directorate General of Foreign Trade [DGFT], 2025) fliesst als Risikoszenario ein (Block 1).</w:t>
      </w:r>
      <w:bookmarkEnd w:id="6"/>
    </w:p>
    <w:p w14:paraId="0AA53F86" w14:textId="77777777" w:rsidR="00D806ED" w:rsidRDefault="00000000">
      <w:pPr>
        <w:pStyle w:val="berschrift1"/>
        <w:pageBreakBefore/>
      </w:pPr>
      <w:bookmarkStart w:id="7" w:name="_Toc243825022"/>
      <w:r>
        <w:lastRenderedPageBreak/>
        <w:t>Kursbegleitende Zusammenfassung</w:t>
      </w:r>
      <w:bookmarkEnd w:id="7"/>
    </w:p>
    <w:p w14:paraId="0082A098" w14:textId="77777777" w:rsidR="00D806ED" w:rsidRDefault="00000000">
      <w:pPr>
        <w:pStyle w:val="FirstParagraph"/>
      </w:pPr>
      <w:r>
        <w:t xml:space="preserve">Dieses Kapitel fasst die Kursinhalte in der Reihenfolge der Kursgliederung zusammen (Hutzler &amp; Fuchs, 2021, S. 2–3). Je ein Satz «Für Grofu» hält fest, was in den Transferteil einfliesst.</w:t>
      </w:r>
    </w:p>
    <w:p w14:paraId="2E57A170" w14:textId="77777777" w:rsidR="00D806ED" w:rsidRDefault="00000000">
      <w:pPr>
        <w:pStyle w:val="berschrift2"/>
      </w:pPr>
      <w:bookmarkStart w:id="8" w:name="Xab5d0341bdecc66bb3fed0e566ec003c6de9559"/>
      <w:bookmarkStart w:id="9" w:name="_Toc243825023"/>
      <w:r>
        <w:t>Supply Chain Management als Erfolgsfaktor</w:t>
      </w:r>
      <w:bookmarkEnd w:id="9"/>
    </w:p>
    <w:p w14:paraId="72D924B2" w14:textId="77777777" w:rsidR="00D806ED" w:rsidRDefault="00000000">
      <w:pPr>
        <w:pStyle w:val="FirstParagraph"/>
      </w:pPr>
      <w:r>
        <w:t xml:space="preserve">Logistik kostet Handel und Industrie im Schnitt über 15 % des Umsatzes und ist damit ein strategischer Erfolgsfaktor (Hutzler &amp; Fuchs, 2021, S. 4). Logistik liefert nach dem 8R-Prinzip, SCM betrachtet dagegen die ganze Kette vom Lieferanten des Lieferanten bis zum Endkunden. Sein Ziel sind kurze Durchlaufzeiten, minimale Gesamtkosten und niedrige Bestände: </w:t>
      </w:r>
      <w:r>
        <w:rPr>
          <w:b/>
          <w:bCs/>
        </w:rPr>
        <w:t>«Bewegungsmanagement statt Bestände-Management»</w:t>
      </w:r>
      <w:r>
        <w:t xml:space="preserve"> (S. 11). Über das magische Dreieck Qualität, Kosten und Zeit hinaus zählen heute Reaktionsfähigkeit, Agilität und Schlankheit (S. 10). Ziele werden top-down von qualitativ zu messbar heruntergebrochen (S. 9).</w:t>
      </w:r>
    </w:p>
    <w:p w14:paraId="0F61B24C" w14:textId="77777777" w:rsidR="00D806ED" w:rsidRDefault="00000000">
      <w:pPr>
        <w:pStyle w:val="Textkrper"/>
      </w:pPr>
      <w:r>
        <w:rPr>
          <w:i/>
          <w:iCs/>
        </w:rPr>
        <w:t xml:space="preserve">Für Grofu:</w:t>
      </w:r>
      <w:r>
        <w:t xml:space="preserve"> Reaktionsfähigkeit, Agilität und Schlankheit begründen die Segmentierung der Supply Chain (Block 1).</w:t>
      </w:r>
      <w:bookmarkEnd w:id="8"/>
    </w:p>
    <w:p w14:paraId="3201BF96" w14:textId="77777777" w:rsidR="00D806ED" w:rsidRDefault="00000000">
      <w:pPr>
        <w:pStyle w:val="berschrift2"/>
      </w:pPr>
      <w:bookmarkStart w:id="10" w:name="analysemethoden"/>
      <w:bookmarkStart w:id="11" w:name="_Toc243825024"/>
      <w:r>
        <w:t>Analysemethoden</w:t>
      </w:r>
      <w:bookmarkEnd w:id="11"/>
    </w:p>
    <w:p w14:paraId="081FBD41" w14:textId="77777777" w:rsidR="00D806ED" w:rsidRDefault="00000000">
      <w:pPr>
        <w:pStyle w:val="FirstParagraph"/>
      </w:pPr>
      <w:r>
        <w:t xml:space="preserve">Die </w:t>
      </w:r>
      <w:r>
        <w:rPr>
          <w:b/>
          <w:bCs/>
        </w:rPr>
        <w:t>Wertstromanalyse</w:t>
      </w:r>
      <w:r>
        <w:t xml:space="preserve"> trennt aus Kundensicht wertschöpfende von nicht wertschöpfenden Tätigkeiten (Hutzler &amp; Fuchs, 2021, S. 14). Die Durchlaufzeit besteht oft zu 95–98 % aus Wartezeit. Laut Womack steigert eine Verkürzung auf ein Viertel die Produktivität um rund 50 % und senkt die Kosten um rund 20 % (zit. in Hutzler &amp; Fuchs, 2021, S. 15). </w:t>
      </w:r>
      <w:r>
        <w:rPr>
          <w:b/>
          <w:bCs/>
        </w:rPr>
        <w:t>Sankey-Diagramme</w:t>
      </w:r>
      <w:r>
        <w:t xml:space="preserve"> zeigen Mengenflüsse mit mengenproportionalen Pfeilen (S. 15).</w:t>
      </w:r>
    </w:p>
    <w:p w14:paraId="44AC1F56" w14:textId="77777777" w:rsidR="00D806ED" w:rsidRDefault="00000000">
      <w:pPr>
        <w:pStyle w:val="Textkrper"/>
      </w:pPr>
      <w:r>
        <w:rPr>
          <w:i/>
          <w:iCs/>
        </w:rPr>
        <w:t xml:space="preserve">Für Grofu:</w:t>
      </w:r>
      <w:r>
        <w:t xml:space="preserve"> Die Mehrwochenbestände in Lager 2 sind Wartezeit. Bestand und Durchlaufzeit setzen deshalb bei den internen Liegezeiten an.</w:t>
      </w:r>
      <w:bookmarkEnd w:id="10"/>
    </w:p>
    <w:p w14:paraId="1A3AECFA" w14:textId="77777777" w:rsidR="00D806ED" w:rsidRDefault="00000000">
      <w:pPr>
        <w:pStyle w:val="berschrift2"/>
      </w:pPr>
      <w:bookmarkStart w:id="12" w:name="X6a4471b2de9f2fd4e48abd8ff7b2a13349377cb"/>
      <w:bookmarkStart w:id="13" w:name="_Toc243825025"/>
      <w:r>
        <w:t>Nachhaltigkeit, Risiko und Digitalisierung</w:t>
      </w:r>
      <w:bookmarkEnd w:id="13"/>
    </w:p>
    <w:p w14:paraId="61A1F847" w14:textId="77777777" w:rsidR="00D806ED" w:rsidRDefault="00000000">
      <w:pPr>
        <w:pStyle w:val="FirstParagraph"/>
      </w:pPr>
      <w:r>
        <w:t xml:space="preserve">Nachhaltiges Lieferkettenmanagement hat vier Treiber: Risikomanagement, Effizienz, Produkte und Innovation sowie Unternehmenskultur. Weil Lieferanten oft in einem anderen rechtlichen, gesellschaftlichen und wirtschaftlichen Umfeld arbeiten, entstehen Liefer- und Reputationsrisiken (Hutzler &amp; Fuchs, 2021, S. 17). Laut der BVL-Studie sind 61 % der Datenbedarfe zu Materialflussstörungen unbefriedigt, und Realtime Visibility wird essenziell (S. 19–20). Die Digitalisierung ersetzt klassische Tätigkeiten (S. 22).</w:t>
      </w:r>
    </w:p>
    <w:p w14:paraId="1DBEA43F" w14:textId="77777777" w:rsidR="00D806ED" w:rsidRDefault="00000000">
      <w:pPr>
        <w:pStyle w:val="Textkrper"/>
      </w:pPr>
      <w:r>
        <w:rPr>
          <w:i/>
          <w:iCs/>
        </w:rPr>
        <w:t xml:space="preserve">Für Grofu:</w:t>
      </w:r>
      <w:r>
        <w:t xml:space="preserve"> Karatschi ist ein Lieferkettenrisiko. Ein Control Tower und automatisierte Kommissionierung sind die digitalen Hebel.</w:t>
      </w:r>
      <w:bookmarkEnd w:id="12"/>
    </w:p>
    <w:p w14:paraId="35AFC04E" w14:textId="77777777" w:rsidR="00D806ED" w:rsidRDefault="00000000">
      <w:pPr>
        <w:pStyle w:val="berschrift2"/>
      </w:pPr>
      <w:bookmarkStart w:id="14" w:name="beschaffungslogistik"/>
      <w:bookmarkStart w:id="15" w:name="_Toc243825026"/>
      <w:r>
        <w:t>Beschaffungslogistik</w:t>
      </w:r>
      <w:bookmarkEnd w:id="15"/>
    </w:p>
    <w:p w14:paraId="32714BC0" w14:textId="77777777" w:rsidR="00D806ED" w:rsidRDefault="00000000">
      <w:pPr>
        <w:pStyle w:val="FirstParagraph"/>
      </w:pPr>
      <w:r>
        <w:t xml:space="preserve">Das Material macht oft über 60 % der variablen Herstellkosten aus, seine Lieferzeit über 70 % der Durchlaufzeit (Hutzler &amp; Fuchs, 2021, S. 32). Die </w:t>
      </w:r>
      <w:r>
        <w:rPr>
          <w:b/>
          <w:bCs/>
        </w:rPr>
        <w:t>ABC- und XYZ-Analyse</w:t>
      </w:r>
      <w:r>
        <w:t xml:space="preserve"> sind die </w:t>
        <w:lastRenderedPageBreak/>
        <w:t xml:space="preserve">Grundlage differenzierter Strategien von Single bis System Sourcing (S. 35–37). </w:t>
      </w:r>
      <w:r>
        <w:rPr>
          <w:b/>
          <w:bCs/>
        </w:rPr>
        <w:t>Just-in-Time</w:t>
      </w:r>
      <w:r>
        <w:t xml:space="preserve"> kann die Durchlaufzeit um bis zu 70 % und Bestände um über 50 % senken, macht aber abhängig und setzt eine Qualitätssicherungsvereinbarung voraus (S. 37–38). Für C-Teile übernehmen Dienstleister das </w:t>
      </w:r>
      <w:r>
        <w:rPr>
          <w:b/>
          <w:bCs/>
        </w:rPr>
        <w:t>C-Teile-Management</w:t>
      </w:r>
      <w:r>
        <w:t xml:space="preserve"> mit Abrechnung nach Verbrauch (S. 38). Das </w:t>
      </w:r>
      <w:r>
        <w:rPr>
          <w:b/>
          <w:bCs/>
        </w:rPr>
        <w:t>Lieferantenmanagement</w:t>
      </w:r>
      <w:r>
        <w:t xml:space="preserve"> gestaltet, bewertet, entwickelt und integriert die Lieferantenbasis (S. 38–41).</w:t>
      </w:r>
    </w:p>
    <w:p w14:paraId="3F73CF4E" w14:textId="77777777" w:rsidR="00D806ED" w:rsidRDefault="00000000">
      <w:pPr>
        <w:pStyle w:val="Textkrper"/>
      </w:pPr>
      <w:r>
        <w:rPr>
          <w:i/>
          <w:iCs/>
        </w:rPr>
        <w:t xml:space="preserve">Für Grofu:</w:t>
      </w:r>
      <w:r>
        <w:t xml:space="preserve"> Bei über 23 000 Materialien ist Segmentierung zwingend (Block 2).</w:t>
      </w:r>
      <w:bookmarkEnd w:id="14"/>
    </w:p>
    <w:p w14:paraId="58E4B2E9" w14:textId="77777777" w:rsidR="00D806ED" w:rsidRDefault="00000000">
      <w:pPr>
        <w:pStyle w:val="berschrift2"/>
      </w:pPr>
      <w:bookmarkStart w:id="16" w:name="produktionslogistik"/>
      <w:bookmarkStart w:id="17" w:name="_Toc243825027"/>
      <w:r>
        <w:t>Produktionslogistik</w:t>
      </w:r>
      <w:bookmarkEnd w:id="17"/>
    </w:p>
    <w:p w14:paraId="58B06ABC" w14:textId="77777777" w:rsidR="00D806ED" w:rsidRDefault="00000000">
      <w:pPr>
        <w:pStyle w:val="FirstParagraph"/>
      </w:pPr>
      <w:r>
        <w:t xml:space="preserve">Die Fertigungsart richtet sich nach Stückzahl, Varianten, Automatisierbarkeit und Auftragsstruktur (Hutzler &amp; Fuchs, 2021, S. 43). Werkstattfertigung ist flexibel, hat aber hohe Zwischenlager. Fliessfertigung ist hochproduktiv, aber kapitalintensiv. Gruppenfertigung kombiniert beide Prinzipien, und Fertigungsinseln bearbeiten Teilefamilien komplett, ähnlich wie eine Linie (S. 44–47). </w:t>
      </w:r>
      <w:r>
        <w:rPr>
          <w:b/>
          <w:bCs/>
        </w:rPr>
        <w:t>Kanban</w:t>
      </w:r>
      <w:r>
        <w:t xml:space="preserve"> steuert nach dem Hol-Prinzip und senkte bei Toyota Lagerplatz und Bestände um 30 % und mehr; kleine Puffer machen das System aber störanfällig (S. 48). Modulare Produkte begrenzen den Kostenanstieg durch Varianten (S. 31).</w:t>
      </w:r>
    </w:p>
    <w:p w14:paraId="02FBA330" w14:textId="77777777" w:rsidR="00D806ED" w:rsidRDefault="00000000">
      <w:pPr>
        <w:pStyle w:val="Textkrper"/>
      </w:pPr>
      <w:r>
        <w:rPr>
          <w:i/>
          <w:iCs/>
        </w:rPr>
        <w:t xml:space="preserve">Für Grofu:</w:t>
      </w:r>
      <w:r>
        <w:t xml:space="preserve"> Standardmodule plus kundenspezifische Endmontage (Block 3).</w:t>
      </w:r>
      <w:bookmarkEnd w:id="16"/>
    </w:p>
    <w:p w14:paraId="0AB029B4" w14:textId="77777777" w:rsidR="00D806ED" w:rsidRDefault="00000000">
      <w:pPr>
        <w:pStyle w:val="berschrift2"/>
      </w:pPr>
      <w:bookmarkStart w:id="18" w:name="lager-distribution-und-make-or-buy"/>
      <w:bookmarkStart w:id="19" w:name="_Toc243825028"/>
      <w:r>
        <w:t xml:space="preserve">Lager, Distribution und Make-or-Buy</w:t>
      </w:r>
      <w:bookmarkEnd w:id="19"/>
    </w:p>
    <w:p w14:paraId="233C99E3" w14:textId="77777777" w:rsidR="00D806ED" w:rsidRDefault="00000000">
      <w:pPr>
        <w:pStyle w:val="FirstParagraph"/>
      </w:pPr>
      <w:r>
        <w:t xml:space="preserve">Lager haben eine Ausgleichs-, Sicherungs-, Spekulations- oder Veredelungsfunktion (Hutzler &amp; Fuchs, 2021, S. 50). Kommissioniert wird nach dem Prinzip «Mann zur Ware» oder «Ware zum Mann» (S. 51). Einstufige Distribution spart Umschlag, mehrstufige bringt Kundennähe bei höherem Bestand, gemischte kombiniert beides (S. 53–54). Make-or-Buy: Selbst gemacht wird, was wesentlich zur Wertschöpfung beiträgt, Kundennutzen schafft und schwer imitierbar ist. Den Rest übernehmen Dienstleister, wodurch aus fixen Kosten variable werden (S. 59–60).</w:t>
      </w:r>
    </w:p>
    <w:p>
      <w:pPr>
        <w:pStyle w:val="Textkrper"/>
      </w:pPr>
      <w:r>
        <w:rPr>
          <w:shd w:val="clear" w:color="auto" w:fill="DDEBF7"/>
        </w:rPr>
        <w:t xml:space="preserve">Die Kursfolien ergänzen zwei Themen. Die </w:t>
      </w:r>
      <w:r>
        <w:rPr>
          <w:b/>
          <w:bCs/>
          <w:shd w:val="clear" w:color="auto" w:fill="DDEBF7"/>
        </w:rPr>
        <w:t xml:space="preserve">Entsorgungslogistik</w:t>
      </w:r>
      <w:r>
        <w:rPr>
          <w:shd w:val="clear" w:color="auto" w:fill="DDEBF7"/>
        </w:rPr>
        <w:t xml:space="preserve"> führt Rückstände und Abfälle möglichst in Gegenrichtung mit denselben Transportsystemen zurück und erfasst dafür Ströme, Kosten und Kennzahlen (Fuchs, 2024b, Folien 22, 24); ihr Anteil an den Logistikkosten liegt bei 5–15 % (Hutzler &amp; Fuchs, 2021, S. 61). </w:t>
      </w:r>
      <w:r>
        <w:rPr>
          <w:b/>
          <w:bCs/>
          <w:shd w:val="clear" w:color="auto" w:fill="DDEBF7"/>
        </w:rPr>
        <w:t xml:space="preserve">Kennzahlen</w:t>
      </w:r>
      <w:r>
        <w:rPr>
          <w:shd w:val="clear" w:color="auto" w:fill="DDEBF7"/>
        </w:rPr>
        <w:t xml:space="preserve"> dienen als Frühwarnindikatoren, und die Balanced Scorecard verbindet sie über vier Perspektiven mit der Strategie (Fuchs, 2024b, Folien 29, 31).</w:t>
      </w:r>
    </w:p>
    <w:p w14:paraId="66E86C79" w14:textId="77777777" w:rsidR="00D806ED" w:rsidRDefault="00000000">
      <w:pPr>
        <w:pStyle w:val="Textkrper"/>
      </w:pPr>
      <w:r>
        <w:rPr>
          <w:i/>
          <w:iCs/>
        </w:rPr>
        <w:t xml:space="preserve">Für Grofu:</w:t>
      </w:r>
      <w:r>
        <w:t xml:space="preserve"> Diese Kriterien steuern Make-or-Buy, </w:t>
      </w:r>
      <w:r>
        <w:rPr/>
        <w:t xml:space="preserve">die Auflösung von Lager 2 und die Distributionswege.</w:t>
      </w:r>
      <w:r>
        <w:rPr>
          <w:shd w:val="clear" w:color="auto" w:fill="DDEBF7"/>
        </w:rPr>
        <w:t xml:space="preserve"> Die Kennzahlen bilden das Cockpit in Block 4, und die Kanban-Mehrwegbehälter nehmen Verpackung im Milkrun zurück.</w:t>
      </w:r>
      <w:bookmarkEnd w:id="18"/>
    </w:p>
    <w:p w14:paraId="7D9658CC" w14:textId="77777777" w:rsidR="00D806ED" w:rsidRDefault="00000000">
      <w:pPr>
        <w:pStyle w:val="berschrift2"/>
      </w:pPr>
      <w:bookmarkStart w:id="20" w:name="_Toc243825029"/>
      <w:r>
        <w:t>Persönliche Reflexion</w:t>
      </w:r>
      <w:bookmarkEnd w:id="20"/>
    </w:p>
    <w:p w14:paraId="3F552B61" w14:textId="77777777" w:rsidR="009836B1" w:rsidRPr="009836B1" w:rsidRDefault="009836B1" w:rsidP="00EB5B46">
      <w:pPr>
        <w:pStyle w:val="FirstParagraph"/>
      </w:pPr>
      <w:bookmarkStart w:id="21" w:name="ist-analyse"/>
      <w:r>
        <w:rPr>
          <w:i/>
          <w:iCs/>
        </w:rPr>
        <w:t>Hinweis:</w:t>
      </w:r>
      <w:r>
        <w:t xml:space="preserve"> Diese Reflexion wurde von allen Gruppenmitgliedern gemeinsam erarbeitet und </w:t>
      </w:r>
      <w:r>
        <w:rPr/>
        <w:t xml:space="preserve">gibt die Erkenntnisse der gesamten Gruppe wieder.</w:t>
      </w:r>
      <w:r>
        <w:rPr>
          <w:shd w:val="clear" w:color="auto" w:fill="DDEBF7"/>
        </w:rPr>
        <w:t xml:space="preserve"> Am Schluss ergänzt jedes Gruppenmitglied eine persönliche Erkenntnis.</w:t>
      </w:r>
    </w:p>
    <w:p w14:paraId="416E09CC" w14:textId="77777777" w:rsidR="009836B1" w:rsidRPr="009836B1" w:rsidRDefault="009836B1" w:rsidP="00EB5B46">
      <w:pPr>
        <w:pStyle w:val="FirstParagraph"/>
      </w:pPr>
      <w:r>
        <w:t xml:space="preserve">Am meisten überrascht hat uns, wie stark der Kurs die Zeit ins Zentrum stellt. Logistik wird im Alltag oft vor allem als Kostenthema wahrgenommen. Die Aussage, dass bis zu 98 % der Durchlaufzeit Wartezeit sind, hat unseren Blick verändert: Die grössten Hebel liegen oft nicht bei schnelleren Maschinen oder günstigeren Lieferanten, sondern im Abbau von Liegezeiten. Bei Grofu wurde das konkret. Der Import macht nur einen kleinen Teil des Einkaufswerts aus, aber einen grossen Teil der Bestellungen. Wertmässig unbedeutend heisst also nicht unwichtig.</w:t>
      </w:r>
    </w:p>
    <w:p w14:paraId="357A9D9E" w14:textId="77777777" w:rsidR="009836B1" w:rsidRPr="009836B1" w:rsidRDefault="009836B1" w:rsidP="00EB5B46">
      <w:pPr>
        <w:pStyle w:val="FirstParagraph"/>
      </w:pPr>
      <w:r>
        <w:t xml:space="preserve">Eine zweite Erkenntnis betrifft die Segmentierung. Es gibt nicht die eine beste Lösung: Ein A-Teil, ein C-Teil und ein kundenspezifisches Modul brauchen unterschiedliche Strategien. </w:t>
        <w:lastRenderedPageBreak/>
        <w:t>Diese Differenzierung zieht sich durch alle Blöcke unserer Arbeit, von der Beschaffung über die Produktion bis zur Distribution.</w:t>
      </w:r>
    </w:p>
    <w:p w14:paraId="3BFD8D51" w14:textId="77777777" w:rsidR="009836B1" w:rsidRPr="009836B1" w:rsidRDefault="009836B1" w:rsidP="00EB5B46">
      <w:pPr>
        <w:pStyle w:val="FirstParagraph"/>
      </w:pPr>
      <w:r>
        <w:t>Drittens hat uns die Arbeit gezeigt, wie schnell sich Rahmenbedingungen ändern. Unsere Recherche zum aktuellen Stand hat ergeben, dass der Weg über Karatschi seit 2025 politisch blockiert ist. Eine Lösung, die auf dem Papier effizient ist, kann über Nacht wegfallen. Resilienz ist für uns deshalb ein gleichwertiges Kriterium neben Kosten und Zeit.</w:t>
      </w:r>
    </w:p>
    <w:p w14:paraId="09232AE1" w14:textId="77777777" w:rsidR="009836B1" w:rsidRPr="009836B1" w:rsidRDefault="009836B1" w:rsidP="00EB5B46">
      <w:pPr>
        <w:pStyle w:val="FirstParagraph"/>
      </w:pPr>
      <w:r>
        <w:t>Für unseren Berufsalltag nehmen wir mit, Entscheide stärker auf Fakten und Varianten abzustützen. Die Nutzwertanalyse mit Sensitivitätsprüfung hat uns gezeigt, wie sich eine Bauchentscheidung nachvollziehbar machen lässt. Zudem wollen wir Bestände, die «zur Sicherheit» aufgebaut werden, künftig kritischer hinterfragen: Oft sind sie nicht die Lösung, sondern ein Symptom eines langsamen oder unzuverlässigen Flusses.</w:t>
      </w:r>
    </w:p>
    <w:p>
      <w:pPr>
        <w:pStyle w:val="FirstParagraph"/>
      </w:pPr>
      <w:r>
        <w:rPr>
          <w:b/>
          <w:bCs/>
          <w:shd w:val="clear" w:color="auto" w:fill="DDEBF7"/>
        </w:rPr>
        <w:t xml:space="preserve">Persönliche Ergänzungen.</w:t>
      </w:r>
      <w:r>
        <w:rPr>
          <w:shd w:val="clear" w:color="auto" w:fill="DDEBF7"/>
        </w:rPr>
        <w:t xml:space="preserve"> [Bitte von jeder Person selbst formulieren, je 3–4 Sätze: Welche Kursinhalte waren für mich neu, und was wende ich im eigenen Berufsumfeld an?]</w:t>
      </w:r>
    </w:p>
    <w:p>
      <w:pPr>
        <w:pStyle w:val="FirstParagraph"/>
      </w:pPr>
      <w:r>
        <w:rPr>
          <w:b/>
          <w:bCs/>
          <w:shd w:val="clear" w:color="auto" w:fill="DDEBF7"/>
        </w:rPr>
        <w:t xml:space="preserve">Görkem Taspinar: </w:t>
      </w:r>
      <w:r>
        <w:rPr>
          <w:shd w:val="clear" w:color="auto" w:fill="DDEBF7"/>
        </w:rPr>
        <w:t xml:space="preserve">[persönliche Erkenntnis]</w:t>
      </w:r>
    </w:p>
    <w:p>
      <w:pPr>
        <w:pStyle w:val="FirstParagraph"/>
      </w:pPr>
      <w:r>
        <w:rPr>
          <w:b/>
          <w:bCs/>
          <w:shd w:val="clear" w:color="auto" w:fill="DDEBF7"/>
        </w:rPr>
        <w:t xml:space="preserve">Adrian Ibrahimovic: </w:t>
      </w:r>
      <w:r>
        <w:rPr>
          <w:shd w:val="clear" w:color="auto" w:fill="DDEBF7"/>
        </w:rPr>
        <w:t xml:space="preserve">[persönliche Erkenntnis]</w:t>
      </w:r>
    </w:p>
    <w:p>
      <w:pPr>
        <w:pStyle w:val="FirstParagraph"/>
      </w:pPr>
      <w:r>
        <w:rPr>
          <w:b/>
          <w:bCs/>
          <w:shd w:val="clear" w:color="auto" w:fill="DDEBF7"/>
        </w:rPr>
        <w:t xml:space="preserve">Fynn Walker: </w:t>
      </w:r>
      <w:r>
        <w:rPr>
          <w:shd w:val="clear" w:color="auto" w:fill="DDEBF7"/>
        </w:rPr>
        <w:t xml:space="preserve">[persönliche Erkenntnis]</w:t>
      </w:r>
    </w:p>
    <w:p>
      <w:pPr>
        <w:pStyle w:val="FirstParagraph"/>
      </w:pPr>
      <w:r>
        <w:rPr>
          <w:b/>
          <w:bCs/>
          <w:shd w:val="clear" w:color="auto" w:fill="DDEBF7"/>
        </w:rPr>
        <w:t xml:space="preserve">Noa Djelmo: </w:t>
      </w:r>
      <w:r>
        <w:rPr>
          <w:shd w:val="clear" w:color="auto" w:fill="DDEBF7"/>
        </w:rPr>
        <w:t xml:space="preserve">[persönliche Erkenntnis]</w:t>
      </w:r>
    </w:p>
    <w:p w14:paraId="2ED1BDC1" w14:textId="26C665E4" w:rsidR="00D806ED" w:rsidRDefault="00000000">
      <w:pPr>
        <w:pStyle w:val="berschrift1"/>
        <w:pageBreakBefore/>
      </w:pPr>
      <w:bookmarkStart w:id="22" w:name="_Toc243825030"/>
      <w:r>
        <w:lastRenderedPageBreak/>
        <w:t>Ist-Analyse</w:t>
      </w:r>
      <w:bookmarkEnd w:id="22"/>
    </w:p>
    <w:p w14:paraId="3F6961B1" w14:textId="77777777" w:rsidR="00D806ED" w:rsidRDefault="00000000">
      <w:pPr>
        <w:pStyle w:val="FirstParagraph"/>
      </w:pPr>
      <w:r>
        <w:t>Die Ist-Analyse folgt dem Gedanken der Wertstromanalyse, Verschwendung aus Kundensicht sichtbar zu machen (Hutzler &amp; Fuchs, 2021, S. 14). Sie verbindet die Fallstudie (HWZ, o. J., S. 2–7), das vorhandene Materialflussbild (</w:t>
      </w:r>
      <w:r>
        <w:rPr>
          <w:i/>
          <w:iCs/>
        </w:rPr>
        <w:t>Lager-Grofu</w:t>
      </w:r>
      <w:r>
        <w:t>, o. J.) und den Datensatz mit 23 643 Rohmaterialien (</w:t>
      </w:r>
      <w:r>
        <w:rPr>
          <w:i/>
          <w:iCs/>
        </w:rPr>
        <w:t>Daten-ABC-Analyse-Grofu</w:t>
      </w:r>
      <w:r>
        <w:t>, o. J.). Datenprüfung, Methodik und Rechenwege stehen in Anhang A.</w:t>
      </w:r>
    </w:p>
    <w:p w14:paraId="48D58F34" w14:textId="77777777" w:rsidR="00D806ED" w:rsidRDefault="00000000">
      <w:pPr>
        <w:pStyle w:val="berschrift2"/>
      </w:pPr>
      <w:bookmarkStart w:id="23" w:name="ist-materialfluss-und-schwachstellen"/>
      <w:bookmarkStart w:id="24" w:name="_Toc243825031"/>
      <w:r>
        <w:t>Ist-Materialfluss und Schwachstellen</w:t>
      </w:r>
      <w:bookmarkEnd w:id="24"/>
    </w:p>
    <w:p w14:paraId="43E397CE" w14:textId="77777777" w:rsidR="00D806ED" w:rsidRDefault="00000000">
      <w:pPr>
        <w:pStyle w:val="FirstParagraph"/>
      </w:pPr>
      <w:r>
        <w:t>Abbildung 1 zeigt den Ist-Materialfluss gemäss Fallstudie (HWZ, o. J., S. 3–4) mit den wichtigsten Schwachstellen: Importware über Lager 4 in Karatschi, lokale Ware direkt an Lager 1, LKW-Shuttle in das Produktionslager 2 und prognosegetriebene Lagerfertigung (MtS) der Halbfabrikate. Lager 3 bleibt gemäss Auftrag ausser Acht (HWZ, o. J., S. 6).</w:t>
      </w:r>
    </w:p>
    <w:p w14:paraId="0D43927B" w14:textId="77777777" w:rsidR="00D806ED" w:rsidRDefault="00000000">
      <w:pPr>
        <w:pStyle w:val="Abbildung"/>
      </w:pPr>
      <w:bookmarkStart w:id="25" w:name="fig%3Aist-materialfluss"/>
      <w:r>
        <w:rPr>
          <w:noProof/>
        </w:rPr>
        <w:drawing>
          <wp:inline distT="0" distB="0" distL="0" distR="0" wp14:anchorId="5C894E8A" wp14:editId="1A96F4C1">
            <wp:extent cx="5753100" cy="3487420"/>
            <wp:effectExtent l="0" t="0" r="0" b="0"/>
            <wp:docPr id="2" name="Picture" descr="Ist-Materialfluss der Grofu AG Indien Ltd. mit Schwachste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Ist-Materialfluss der Grofu AG Indien Ltd. mit Schwachstellen"/>
                    <pic:cNvPicPr>
                      <a:picLocks noChangeAspect="1" noChangeArrowheads="1"/>
                    </pic:cNvPicPr>
                  </pic:nvPicPr>
                  <pic:blipFill>
                    <a:blip r:embed="rId10"/>
                    <a:stretch>
                      <a:fillRect/>
                    </a:stretch>
                  </pic:blipFill>
                  <pic:spPr bwMode="auto">
                    <a:xfrm>
                      <a:off x="0" y="0"/>
                      <a:ext cx="5753100" cy="3487420"/>
                    </a:xfrm>
                    <a:prstGeom prst="rect">
                      <a:avLst/>
                    </a:prstGeom>
                    <a:noFill/>
                  </pic:spPr>
                </pic:pic>
              </a:graphicData>
            </a:graphic>
          </wp:inline>
        </w:drawing>
      </w:r>
    </w:p>
    <w:p w14:paraId="74572796" w14:textId="5A935E23" w:rsidR="00D806ED" w:rsidRDefault="00000000">
      <w:pPr>
        <w:pStyle w:val="Beschriftung"/>
        <w:keepNext/>
        <w:jc w:val="center"/>
      </w:pPr>
      <w:bookmarkStart w:id="26" w:name="_Toc243824170"/>
      <w:r>
        <w:t xml:space="preserve">Abbildung </w:t>
      </w:r>
      <w:fldSimple w:instr=" SEQ Abbildung \* ARABIC ">
        <w:r>
          <w:rPr>
            <w:noProof/>
          </w:rPr>
          <w:t>1</w:t>
        </w:r>
      </w:fldSimple>
      <w:r>
        <w:t xml:space="preserve">: Ist-Materialfluss der Grofu AG Indien Ltd. mit Schwachstellen</w:t>
      </w:r>
      <w:bookmarkEnd w:id="25"/>
      <w:bookmarkEnd w:id="26"/>
    </w:p>
    <w:p w14:paraId="4E969A74" w14:textId="77777777" w:rsidR="00D806ED" w:rsidRDefault="00000000">
      <w:pPr>
        <w:pStyle w:val="Quellenangabe"/>
      </w:pPr>
      <w:r>
        <w:t xml:space="preserve">Quelle: Eigene Darstellung auf Basis von HWZ (o. J., S. 2–7) und </w:t>
      </w:r>
      <w:r>
        <w:rPr>
          <w:i/>
          <w:iCs/>
        </w:rPr>
        <w:t>Lager-Grofu</w:t>
      </w:r>
      <w:r>
        <w:t xml:space="preserve"> (o. J.); Zahlen: </w:t>
      </w:r>
      <w:r>
        <w:rPr>
          <w:i/>
          <w:iCs/>
        </w:rPr>
        <w:t>Daten-ABC-Analyse-Grofu</w:t>
      </w:r>
      <w:r>
        <w:t xml:space="preserve"> (o. J.), eigene Berechnungen.</w:t>
      </w:r>
    </w:p>
    <w:p w14:paraId="02B042D0" w14:textId="77777777" w:rsidR="00D806ED" w:rsidRDefault="00000000">
      <w:pPr>
        <w:pStyle w:val="Textkrper"/>
      </w:pPr>
      <w:r>
        <w:t xml:space="preserve">Drei Muster fallen auf. Erstens wird Importware bis zur Produktion dreimal ein- und ausgelagert (Lager 4, 1 und 2), lokale Ware zweimal, ohne dass dabei Wert entsteht. Zweitens dauert die Umlagerung zwischen zwei Lagern </w:t>
      </w:r>
      <w:r>
        <w:rPr>
          <w:i/>
          <w:iCs/>
        </w:rPr>
        <w:t>am selben Standort</w:t>
      </w:r>
      <w:r>
        <w:t xml:space="preserve"> rund zwei Arbeitstage (AT); vom Soll-Vorlauf von drei AT bleibt nur ein AT echter Puffer (Annahme A2). Die Disponenten haben also einen nachvollziehbaren Anreiz, früher und mehr einzulagern – das erklärt, warum Lager 2 «Materialien für mehrere Produktionswochen» enthält (HWZ, o. J., S. 3). Das Aufblähen ist eine Folge des Systems. Drittens zeigt die Kommissionierung mit 600 statt rechnerisch 100 Personen, dass die Prozesse auf günstige Handarbeit statt auf </w:t>
        <w:lastRenderedPageBreak/>
        <w:t>Fluss ausgelegt sind. Wartezeiten machen oft 95–98 % der Durchlaufzeit aus (Hutzler &amp; Fuchs, 2021, S. 15).</w:t>
      </w:r>
      <w:bookmarkEnd w:id="23"/>
    </w:p>
    <w:p w14:paraId="3EFFE3E7" w14:textId="77777777" w:rsidR="00D806ED" w:rsidRDefault="00000000">
      <w:pPr>
        <w:pStyle w:val="berschrift2"/>
      </w:pPr>
      <w:bookmarkStart w:id="27" w:name="abc-analyse"/>
      <w:bookmarkStart w:id="28" w:name="_Toc243825032"/>
      <w:r>
        <w:t>ABC-Analyse</w:t>
      </w:r>
      <w:bookmarkEnd w:id="28"/>
    </w:p>
    <w:p w14:paraId="79D6F38D" w14:textId="77777777" w:rsidR="00D806ED" w:rsidRDefault="00000000">
      <w:pPr>
        <w:pStyle w:val="FirstParagraph"/>
      </w:pPr>
      <w:r>
        <w:t xml:space="preserve">Die ABC-Analyse klassiert die Rohmaterialien nach ihrem Anteil am Einkaufsvolumen mit den Grenzen 70/20/10 %, </w:t>
      </w:r>
      <w:r>
        <w:rPr>
          <w:shd w:val="clear" w:color="auto" w:fill="DDEBF7"/>
        </w:rPr>
        <w:t xml:space="preserve">innerhalb der Spannen des Skripts (für A die untere, für B und C die obere Grenze)</w:t>
      </w:r>
      <w:r>
        <w:t xml:space="preserve"> (Hutzler &amp; Fuchs, 2021, S. 35) und zugleich der Klassierung in den Grofu-Daten. Eine echte XYZ-Analyse ist mangels Verbrauchsperioden nicht möglich und mit APO-Daten nachzuholen; ersatzweise dient die Bestellhäufigkeit als Hilfsgrösse (Annahme A25, Abbildung 8).</w:t>
      </w:r>
    </w:p>
    <w:p w14:paraId="464A68E0" w14:textId="77777777" w:rsidR="00D806ED" w:rsidRDefault="00000000">
      <w:pPr>
        <w:pStyle w:val="Textkrper"/>
      </w:pPr>
      <w:r>
        <w:t xml:space="preserve">Die Konzentration ist ausgeprägt (Tabelle 1): 902 A-Materialien (3,8 %) tragen 70 % des Einkaufsvolumens, 20 580 C-Materialien (87,0 %) nur 10 %. Beim Aufwand kehrt sich das Bild um: Die C-Materialien verursachen 87,7 % der 62 692 Bestellungen pro Jahr und 99,8 % der Stückzahl (Lorenzkurve in Abbildung 5). Die A-Teile binden also das Kapital, die C-Teile erzeugen Bestellungen, Wareneingänge und praktisch alle Picks (Annahme A26).</w:t>
      </w:r>
    </w:p>
    <w:p w14:paraId="2FA62E92" w14:textId="1CD45F8C" w:rsidR="00D806ED" w:rsidRDefault="00000000">
      <w:pPr>
        <w:pStyle w:val="Beschriftung"/>
        <w:keepNext/>
      </w:pPr>
      <w:bookmarkStart w:id="29" w:name="_Toc243824208"/>
      <w:r>
        <w:t xml:space="preserve">Tabelle </w:t>
      </w:r>
      <w:fldSimple w:instr=" SEQ Tabelle \* ARABIC ">
        <w:r>
          <w:rPr>
            <w:noProof/>
          </w:rPr>
          <w:t>1</w:t>
        </w:r>
      </w:fldSimple>
      <w:r>
        <w:t>: ABC-Analyse der Rohmaterialien nach Einkaufsvolumen (Grenzen 70/20/10 %)</w:t>
      </w:r>
      <w:bookmarkEnd w:id="29"/>
    </w:p>
    <w:tbl>
      <w:tblPr>
        <w:tblStyle w:val="Tabellenraster"/>
        <w:tblW w:w="9068" w:type="dxa"/>
        <w:tblInd w:w="70" w:type="dxa"/>
        <w:tblLayout w:type="fixed"/>
        <w:tblCellMar>
          <w:left w:w="65" w:type="dxa"/>
          <w:right w:w="65" w:type="dxa"/>
        </w:tblCellMar>
        <w:tblLook w:val="0020" w:firstRow="1" w:lastRow="0" w:firstColumn="0" w:lastColumn="0" w:noHBand="0" w:noVBand="0"/>
      </w:tblPr>
      <w:tblGrid>
        <w:gridCol w:w="717"/>
        <w:gridCol w:w="1207"/>
        <w:gridCol w:w="1207"/>
        <w:gridCol w:w="1109"/>
        <w:gridCol w:w="1305"/>
        <w:gridCol w:w="1304"/>
        <w:gridCol w:w="1012"/>
        <w:gridCol w:w="1207"/>
      </w:tblGrid>
      <w:tr w:rsidR="00D806ED" w14:paraId="4D1538CC" w14:textId="77777777">
        <w:trPr>
          <w:tblHeader/>
        </w:trPr>
        <w:tc>
          <w:tcPr>
            <w:tcW w:w="717" w:type="dxa"/>
            <w:shd w:val="clear" w:color="auto" w:fill="D9D9D9"/>
          </w:tcPr>
          <w:p w14:paraId="15555EAC" w14:textId="77777777" w:rsidR="00D806ED" w:rsidRDefault="00000000">
            <w:pPr>
              <w:pStyle w:val="Tabelleninhaltklein"/>
              <w:keepNext/>
            </w:pPr>
            <w:r>
              <w:rPr>
                <w:b/>
              </w:rPr>
              <w:t>Klasse</w:t>
            </w:r>
          </w:p>
        </w:tc>
        <w:tc>
          <w:tcPr>
            <w:tcW w:w="1207" w:type="dxa"/>
            <w:shd w:val="clear" w:color="auto" w:fill="D9D9D9"/>
          </w:tcPr>
          <w:p w14:paraId="071DB8D7" w14:textId="77777777" w:rsidR="00D806ED" w:rsidRDefault="00000000">
            <w:pPr>
              <w:pStyle w:val="Tabelleninhaltklein"/>
              <w:keepNext/>
              <w:jc w:val="right"/>
            </w:pPr>
            <w:r>
              <w:rPr>
                <w:b/>
              </w:rPr>
              <w:t>Materialien</w:t>
            </w:r>
          </w:p>
        </w:tc>
        <w:tc>
          <w:tcPr>
            <w:tcW w:w="1207" w:type="dxa"/>
            <w:shd w:val="clear" w:color="auto" w:fill="D9D9D9"/>
          </w:tcPr>
          <w:p w14:paraId="1A48C71B" w14:textId="77777777" w:rsidR="00D806ED" w:rsidRDefault="00000000">
            <w:pPr>
              <w:pStyle w:val="Tabelleninhaltklein"/>
              <w:keepNext/>
              <w:jc w:val="right"/>
            </w:pPr>
            <w:r>
              <w:rPr>
                <w:b/>
              </w:rPr>
              <w:t>Anteil Materialien</w:t>
            </w:r>
          </w:p>
        </w:tc>
        <w:tc>
          <w:tcPr>
            <w:tcW w:w="1109" w:type="dxa"/>
            <w:shd w:val="clear" w:color="auto" w:fill="D9D9D9"/>
          </w:tcPr>
          <w:p w14:paraId="750B16B8" w14:textId="77777777" w:rsidR="00D806ED" w:rsidRDefault="00000000">
            <w:pPr>
              <w:pStyle w:val="Tabelleninhaltklein"/>
              <w:keepNext/>
              <w:jc w:val="right"/>
            </w:pPr>
            <w:r>
              <w:rPr>
                <w:b/>
              </w:rPr>
              <w:t>Wertanteil</w:t>
            </w:r>
          </w:p>
        </w:tc>
        <w:tc>
          <w:tcPr>
            <w:tcW w:w="1305" w:type="dxa"/>
            <w:shd w:val="clear" w:color="auto" w:fill="D9D9D9"/>
          </w:tcPr>
          <w:p w14:paraId="45738EB9" w14:textId="77777777" w:rsidR="00D806ED" w:rsidRDefault="00000000">
            <w:pPr>
              <w:pStyle w:val="Tabelleninhaltklein"/>
              <w:keepNext/>
              <w:jc w:val="right"/>
            </w:pPr>
            <w:r>
              <w:rPr>
                <w:b/>
              </w:rPr>
              <w:t>Anteil Bestellungen</w:t>
            </w:r>
          </w:p>
        </w:tc>
        <w:tc>
          <w:tcPr>
            <w:tcW w:w="1304" w:type="dxa"/>
            <w:shd w:val="clear" w:color="auto" w:fill="D9D9D9"/>
          </w:tcPr>
          <w:p w14:paraId="7D372F09" w14:textId="77777777" w:rsidR="00D806ED" w:rsidRDefault="00000000">
            <w:pPr>
              <w:pStyle w:val="Tabelleninhaltklein"/>
              <w:keepNext/>
              <w:jc w:val="right"/>
            </w:pPr>
            <w:r>
              <w:rPr>
                <w:b/>
              </w:rPr>
              <w:t>Bestellungen je Material p. a.</w:t>
            </w:r>
          </w:p>
        </w:tc>
        <w:tc>
          <w:tcPr>
            <w:tcW w:w="1012" w:type="dxa"/>
            <w:shd w:val="clear" w:color="auto" w:fill="D9D9D9"/>
          </w:tcPr>
          <w:p w14:paraId="491478AF" w14:textId="77777777" w:rsidR="00D806ED" w:rsidRDefault="00000000">
            <w:pPr>
              <w:pStyle w:val="Tabelleninhaltklein"/>
              <w:keepNext/>
              <w:jc w:val="right"/>
            </w:pPr>
            <w:r>
              <w:rPr>
                <w:b/>
              </w:rPr>
              <w:t>Anteil Stückzahl</w:t>
            </w:r>
          </w:p>
        </w:tc>
        <w:tc>
          <w:tcPr>
            <w:tcW w:w="1207" w:type="dxa"/>
            <w:shd w:val="clear" w:color="auto" w:fill="D9D9D9"/>
          </w:tcPr>
          <w:p w14:paraId="3166BAB3" w14:textId="77777777" w:rsidR="00D806ED" w:rsidRDefault="00000000">
            <w:pPr>
              <w:pStyle w:val="Tabelleninhaltklein"/>
              <w:keepNext/>
              <w:jc w:val="right"/>
            </w:pPr>
            <w:r>
              <w:rPr>
                <w:b/>
              </w:rPr>
              <w:t>Lieferanten</w:t>
            </w:r>
          </w:p>
        </w:tc>
      </w:tr>
      <w:tr w:rsidR="00D806ED" w14:paraId="5E5024B7" w14:textId="77777777">
        <w:trPr>
          <w:cantSplit/>
        </w:trPr>
        <w:tc>
          <w:tcPr>
            <w:tcW w:w="717" w:type="dxa"/>
          </w:tcPr>
          <w:p w14:paraId="4230C6CC" w14:textId="77777777" w:rsidR="00D806ED" w:rsidRDefault="00000000">
            <w:pPr>
              <w:pStyle w:val="Tabelleninhaltklein"/>
              <w:keepNext/>
            </w:pPr>
            <w:r>
              <w:t>A</w:t>
            </w:r>
          </w:p>
        </w:tc>
        <w:tc>
          <w:tcPr>
            <w:tcW w:w="1207" w:type="dxa"/>
          </w:tcPr>
          <w:p w14:paraId="64474E08" w14:textId="77777777" w:rsidR="00D806ED" w:rsidRDefault="00000000">
            <w:pPr>
              <w:pStyle w:val="Tabelleninhaltklein"/>
              <w:keepNext/>
              <w:jc w:val="right"/>
            </w:pPr>
            <w:r>
              <w:t>902</w:t>
            </w:r>
          </w:p>
        </w:tc>
        <w:tc>
          <w:tcPr>
            <w:tcW w:w="1207" w:type="dxa"/>
          </w:tcPr>
          <w:p w14:paraId="1E898584" w14:textId="77777777" w:rsidR="00D806ED" w:rsidRDefault="00000000">
            <w:pPr>
              <w:pStyle w:val="Tabelleninhaltklein"/>
              <w:keepNext/>
              <w:jc w:val="right"/>
            </w:pPr>
            <w:r>
              <w:t>3,8 %</w:t>
            </w:r>
          </w:p>
        </w:tc>
        <w:tc>
          <w:tcPr>
            <w:tcW w:w="1109" w:type="dxa"/>
          </w:tcPr>
          <w:p w14:paraId="1CD3CF0E" w14:textId="77777777" w:rsidR="00D806ED" w:rsidRDefault="00000000">
            <w:pPr>
              <w:pStyle w:val="Tabelleninhaltklein"/>
              <w:keepNext/>
              <w:jc w:val="right"/>
            </w:pPr>
            <w:r>
              <w:t>70,0 %</w:t>
            </w:r>
          </w:p>
        </w:tc>
        <w:tc>
          <w:tcPr>
            <w:tcW w:w="1305" w:type="dxa"/>
          </w:tcPr>
          <w:p w14:paraId="04BB051C" w14:textId="77777777" w:rsidR="00D806ED" w:rsidRDefault="00000000">
            <w:pPr>
              <w:pStyle w:val="Tabelleninhaltklein"/>
              <w:keepNext/>
              <w:jc w:val="right"/>
            </w:pPr>
            <w:r>
              <w:t>5,5 %</w:t>
            </w:r>
          </w:p>
        </w:tc>
        <w:tc>
          <w:tcPr>
            <w:tcW w:w="1304" w:type="dxa"/>
          </w:tcPr>
          <w:p w14:paraId="15BFBF6B" w14:textId="77777777" w:rsidR="00D806ED" w:rsidRDefault="00000000">
            <w:pPr>
              <w:pStyle w:val="Tabelleninhaltklein"/>
              <w:keepNext/>
              <w:jc w:val="right"/>
            </w:pPr>
            <w:r>
              <w:t>3,9</w:t>
            </w:r>
          </w:p>
        </w:tc>
        <w:tc>
          <w:tcPr>
            <w:tcW w:w="1012" w:type="dxa"/>
          </w:tcPr>
          <w:p w14:paraId="781F20D8" w14:textId="77777777" w:rsidR="00D806ED" w:rsidRDefault="00000000">
            <w:pPr>
              <w:pStyle w:val="Tabelleninhaltklein"/>
              <w:keepNext/>
              <w:jc w:val="right"/>
            </w:pPr>
            <w:r>
              <w:t>0,1 %</w:t>
            </w:r>
          </w:p>
        </w:tc>
        <w:tc>
          <w:tcPr>
            <w:tcW w:w="1207" w:type="dxa"/>
          </w:tcPr>
          <w:p w14:paraId="5D3BE86A" w14:textId="77777777" w:rsidR="00D806ED" w:rsidRDefault="00000000">
            <w:pPr>
              <w:pStyle w:val="Tabelleninhaltklein"/>
              <w:keepNext/>
              <w:jc w:val="right"/>
            </w:pPr>
            <w:r>
              <w:t>41</w:t>
            </w:r>
          </w:p>
        </w:tc>
      </w:tr>
      <w:tr w:rsidR="00D806ED" w14:paraId="78C587C2" w14:textId="77777777">
        <w:trPr>
          <w:cantSplit/>
        </w:trPr>
        <w:tc>
          <w:tcPr>
            <w:tcW w:w="717" w:type="dxa"/>
          </w:tcPr>
          <w:p w14:paraId="439D6423" w14:textId="77777777" w:rsidR="00D806ED" w:rsidRDefault="00000000">
            <w:pPr>
              <w:pStyle w:val="Tabelleninhaltklein"/>
              <w:keepNext/>
            </w:pPr>
            <w:r>
              <w:t>B</w:t>
            </w:r>
          </w:p>
        </w:tc>
        <w:tc>
          <w:tcPr>
            <w:tcW w:w="1207" w:type="dxa"/>
          </w:tcPr>
          <w:p w14:paraId="08175C86" w14:textId="77777777" w:rsidR="00D806ED" w:rsidRDefault="00000000">
            <w:pPr>
              <w:pStyle w:val="Tabelleninhaltklein"/>
              <w:keepNext/>
              <w:jc w:val="right"/>
            </w:pPr>
            <w:r>
              <w:t>2 161</w:t>
            </w:r>
          </w:p>
        </w:tc>
        <w:tc>
          <w:tcPr>
            <w:tcW w:w="1207" w:type="dxa"/>
          </w:tcPr>
          <w:p w14:paraId="034530F0" w14:textId="77777777" w:rsidR="00D806ED" w:rsidRDefault="00000000">
            <w:pPr>
              <w:pStyle w:val="Tabelleninhaltklein"/>
              <w:keepNext/>
              <w:jc w:val="right"/>
            </w:pPr>
            <w:r>
              <w:t>9,1 %</w:t>
            </w:r>
          </w:p>
        </w:tc>
        <w:tc>
          <w:tcPr>
            <w:tcW w:w="1109" w:type="dxa"/>
          </w:tcPr>
          <w:p w14:paraId="107319C4" w14:textId="77777777" w:rsidR="00D806ED" w:rsidRDefault="00000000">
            <w:pPr>
              <w:pStyle w:val="Tabelleninhaltklein"/>
              <w:keepNext/>
              <w:jc w:val="right"/>
            </w:pPr>
            <w:r>
              <w:t>20,0 %</w:t>
            </w:r>
          </w:p>
        </w:tc>
        <w:tc>
          <w:tcPr>
            <w:tcW w:w="1305" w:type="dxa"/>
          </w:tcPr>
          <w:p w14:paraId="2AB03EFC" w14:textId="77777777" w:rsidR="00D806ED" w:rsidRDefault="00000000">
            <w:pPr>
              <w:pStyle w:val="Tabelleninhaltklein"/>
              <w:keepNext/>
              <w:jc w:val="right"/>
            </w:pPr>
            <w:r>
              <w:t>6,8 %</w:t>
            </w:r>
          </w:p>
        </w:tc>
        <w:tc>
          <w:tcPr>
            <w:tcW w:w="1304" w:type="dxa"/>
          </w:tcPr>
          <w:p w14:paraId="466D1EAA" w14:textId="77777777" w:rsidR="00D806ED" w:rsidRDefault="00000000">
            <w:pPr>
              <w:pStyle w:val="Tabelleninhaltklein"/>
              <w:keepNext/>
              <w:jc w:val="right"/>
            </w:pPr>
            <w:r>
              <w:t>2,0</w:t>
            </w:r>
          </w:p>
        </w:tc>
        <w:tc>
          <w:tcPr>
            <w:tcW w:w="1012" w:type="dxa"/>
          </w:tcPr>
          <w:p w14:paraId="633E46C8" w14:textId="77777777" w:rsidR="00D806ED" w:rsidRDefault="00000000">
            <w:pPr>
              <w:pStyle w:val="Tabelleninhaltklein"/>
              <w:keepNext/>
              <w:jc w:val="right"/>
            </w:pPr>
            <w:r>
              <w:t>0,1 %</w:t>
            </w:r>
          </w:p>
        </w:tc>
        <w:tc>
          <w:tcPr>
            <w:tcW w:w="1207" w:type="dxa"/>
          </w:tcPr>
          <w:p w14:paraId="672E5D7E" w14:textId="77777777" w:rsidR="00D806ED" w:rsidRDefault="00000000">
            <w:pPr>
              <w:pStyle w:val="Tabelleninhaltklein"/>
              <w:keepNext/>
              <w:jc w:val="right"/>
            </w:pPr>
            <w:r>
              <w:t>31</w:t>
            </w:r>
          </w:p>
        </w:tc>
      </w:tr>
      <w:tr w:rsidR="00D806ED" w14:paraId="6CDBD960" w14:textId="77777777">
        <w:trPr>
          <w:cantSplit/>
        </w:trPr>
        <w:tc>
          <w:tcPr>
            <w:tcW w:w="717" w:type="dxa"/>
          </w:tcPr>
          <w:p w14:paraId="4CF60746" w14:textId="77777777" w:rsidR="00D806ED" w:rsidRDefault="00000000">
            <w:pPr>
              <w:pStyle w:val="Tabelleninhaltklein"/>
              <w:keepNext/>
            </w:pPr>
            <w:r>
              <w:t>C</w:t>
            </w:r>
          </w:p>
        </w:tc>
        <w:tc>
          <w:tcPr>
            <w:tcW w:w="1207" w:type="dxa"/>
          </w:tcPr>
          <w:p w14:paraId="1581F48E" w14:textId="77777777" w:rsidR="00D806ED" w:rsidRDefault="00000000">
            <w:pPr>
              <w:pStyle w:val="Tabelleninhaltklein"/>
              <w:keepNext/>
              <w:jc w:val="right"/>
            </w:pPr>
            <w:r>
              <w:t>20 580</w:t>
            </w:r>
          </w:p>
        </w:tc>
        <w:tc>
          <w:tcPr>
            <w:tcW w:w="1207" w:type="dxa"/>
          </w:tcPr>
          <w:p w14:paraId="358FA32F" w14:textId="77777777" w:rsidR="00D806ED" w:rsidRDefault="00000000">
            <w:pPr>
              <w:pStyle w:val="Tabelleninhaltklein"/>
              <w:keepNext/>
              <w:jc w:val="right"/>
            </w:pPr>
            <w:r>
              <w:t>87,0 %</w:t>
            </w:r>
          </w:p>
        </w:tc>
        <w:tc>
          <w:tcPr>
            <w:tcW w:w="1109" w:type="dxa"/>
          </w:tcPr>
          <w:p w14:paraId="6274135F" w14:textId="77777777" w:rsidR="00D806ED" w:rsidRDefault="00000000">
            <w:pPr>
              <w:pStyle w:val="Tabelleninhaltklein"/>
              <w:keepNext/>
              <w:jc w:val="right"/>
            </w:pPr>
            <w:r>
              <w:t>10,0 %</w:t>
            </w:r>
          </w:p>
        </w:tc>
        <w:tc>
          <w:tcPr>
            <w:tcW w:w="1305" w:type="dxa"/>
          </w:tcPr>
          <w:p w14:paraId="1A18006D" w14:textId="77777777" w:rsidR="00D806ED" w:rsidRDefault="00000000">
            <w:pPr>
              <w:pStyle w:val="Tabelleninhaltklein"/>
              <w:keepNext/>
              <w:jc w:val="right"/>
            </w:pPr>
            <w:r>
              <w:t>87,7 %</w:t>
            </w:r>
          </w:p>
        </w:tc>
        <w:tc>
          <w:tcPr>
            <w:tcW w:w="1304" w:type="dxa"/>
          </w:tcPr>
          <w:p w14:paraId="25D51211" w14:textId="77777777" w:rsidR="00D806ED" w:rsidRDefault="00000000">
            <w:pPr>
              <w:pStyle w:val="Tabelleninhaltklein"/>
              <w:keepNext/>
              <w:jc w:val="right"/>
            </w:pPr>
            <w:r>
              <w:t>2,7</w:t>
            </w:r>
          </w:p>
        </w:tc>
        <w:tc>
          <w:tcPr>
            <w:tcW w:w="1012" w:type="dxa"/>
          </w:tcPr>
          <w:p w14:paraId="7A22E00D" w14:textId="77777777" w:rsidR="00D806ED" w:rsidRDefault="00000000">
            <w:pPr>
              <w:pStyle w:val="Tabelleninhaltklein"/>
              <w:keepNext/>
              <w:jc w:val="right"/>
            </w:pPr>
            <w:r>
              <w:t>99,8 %</w:t>
            </w:r>
          </w:p>
        </w:tc>
        <w:tc>
          <w:tcPr>
            <w:tcW w:w="1207" w:type="dxa"/>
          </w:tcPr>
          <w:p w14:paraId="26FA56AC" w14:textId="77777777" w:rsidR="00D806ED" w:rsidRDefault="00000000">
            <w:pPr>
              <w:pStyle w:val="Tabelleninhaltklein"/>
              <w:keepNext/>
              <w:jc w:val="right"/>
            </w:pPr>
            <w:r>
              <w:t>583</w:t>
            </w:r>
          </w:p>
        </w:tc>
      </w:tr>
      <w:tr w:rsidR="00D806ED" w14:paraId="69A173D3" w14:textId="77777777">
        <w:trPr>
          <w:cantSplit/>
        </w:trPr>
        <w:tc>
          <w:tcPr>
            <w:tcW w:w="717" w:type="dxa"/>
          </w:tcPr>
          <w:p w14:paraId="492F305C" w14:textId="77777777" w:rsidR="00D806ED" w:rsidRDefault="00000000">
            <w:pPr>
              <w:pStyle w:val="Tabelleninhaltklein"/>
              <w:keepNext/>
            </w:pPr>
            <w:r>
              <w:t>Total</w:t>
            </w:r>
          </w:p>
        </w:tc>
        <w:tc>
          <w:tcPr>
            <w:tcW w:w="1207" w:type="dxa"/>
          </w:tcPr>
          <w:p w14:paraId="325F1642" w14:textId="77777777" w:rsidR="00D806ED" w:rsidRDefault="00000000">
            <w:pPr>
              <w:pStyle w:val="Tabelleninhaltklein"/>
              <w:keepNext/>
              <w:jc w:val="right"/>
            </w:pPr>
            <w:r>
              <w:t>23 643</w:t>
            </w:r>
          </w:p>
        </w:tc>
        <w:tc>
          <w:tcPr>
            <w:tcW w:w="1207" w:type="dxa"/>
          </w:tcPr>
          <w:p w14:paraId="04E5BDD8" w14:textId="77777777" w:rsidR="00D806ED" w:rsidRDefault="00000000">
            <w:pPr>
              <w:pStyle w:val="Tabelleninhaltklein"/>
              <w:keepNext/>
              <w:jc w:val="right"/>
            </w:pPr>
            <w:r>
              <w:t>100 %</w:t>
            </w:r>
          </w:p>
        </w:tc>
        <w:tc>
          <w:tcPr>
            <w:tcW w:w="1109" w:type="dxa"/>
          </w:tcPr>
          <w:p w14:paraId="7CB0AF1A" w14:textId="77777777" w:rsidR="00D806ED" w:rsidRDefault="00000000">
            <w:pPr>
              <w:pStyle w:val="Tabelleninhaltklein"/>
              <w:keepNext/>
              <w:jc w:val="right"/>
            </w:pPr>
            <w:r>
              <w:t>100 %</w:t>
            </w:r>
          </w:p>
        </w:tc>
        <w:tc>
          <w:tcPr>
            <w:tcW w:w="1305" w:type="dxa"/>
          </w:tcPr>
          <w:p w14:paraId="213A7C06" w14:textId="77777777" w:rsidR="00D806ED" w:rsidRDefault="00000000">
            <w:pPr>
              <w:pStyle w:val="Tabelleninhaltklein"/>
              <w:keepNext/>
              <w:jc w:val="right"/>
            </w:pPr>
            <w:r>
              <w:t>100 %</w:t>
            </w:r>
          </w:p>
        </w:tc>
        <w:tc>
          <w:tcPr>
            <w:tcW w:w="1304" w:type="dxa"/>
          </w:tcPr>
          <w:p w14:paraId="5BB4A428" w14:textId="77777777" w:rsidR="00D806ED" w:rsidRDefault="00000000">
            <w:pPr>
              <w:pStyle w:val="Tabelleninhaltklein"/>
              <w:keepNext/>
              <w:jc w:val="right"/>
            </w:pPr>
            <w:r>
              <w:t>2,7</w:t>
            </w:r>
          </w:p>
        </w:tc>
        <w:tc>
          <w:tcPr>
            <w:tcW w:w="1012" w:type="dxa"/>
          </w:tcPr>
          <w:p w14:paraId="3C0A724A" w14:textId="77777777" w:rsidR="00D806ED" w:rsidRDefault="00000000">
            <w:pPr>
              <w:pStyle w:val="Tabelleninhaltklein"/>
              <w:keepNext/>
              <w:jc w:val="right"/>
            </w:pPr>
            <w:r>
              <w:t>100 %</w:t>
            </w:r>
          </w:p>
        </w:tc>
        <w:tc>
          <w:tcPr>
            <w:tcW w:w="1207" w:type="dxa"/>
          </w:tcPr>
          <w:p w14:paraId="77CF5FF7" w14:textId="77777777" w:rsidR="00D806ED" w:rsidRDefault="00000000">
            <w:pPr>
              <w:pStyle w:val="Tabelleninhaltklein"/>
              <w:keepNext/>
              <w:jc w:val="right"/>
            </w:pPr>
            <w:r>
              <w:t>601</w:t>
            </w:r>
          </w:p>
        </w:tc>
      </w:tr>
    </w:tbl>
    <w:p w14:paraId="71E55179" w14:textId="77777777" w:rsidR="00D806ED" w:rsidRDefault="00000000">
      <w:pPr>
        <w:pStyle w:val="Quellenangabe"/>
      </w:pPr>
      <w:r>
        <w:t xml:space="preserve">Quelle: Eigene Berechnung, Daten: </w:t>
      </w:r>
      <w:r>
        <w:rPr>
          <w:i/>
          <w:iCs/>
        </w:rPr>
        <w:t>Daten-ABC-Analyse-Grofu</w:t>
      </w:r>
      <w:r>
        <w:t xml:space="preserve"> (o. J.).</w:t>
      </w:r>
    </w:p>
    <w:p w14:paraId="05737769" w14:textId="77777777" w:rsidR="00D806ED" w:rsidRDefault="00000000">
      <w:pPr>
        <w:pStyle w:val="Textkrper"/>
      </w:pPr>
      <w:r>
        <w:rPr>
          <w:b/>
          <w:bCs/>
        </w:rPr>
        <w:t>Herkunft – wertmässig nicht, positionsmässig doch.</w:t>
      </w:r>
      <w:r>
        <w:t xml:space="preserve"> Das indische Management führt die langen Lieferzeiten auf den «hohen Importanteil» zurück (HWZ, o. J., S. 5). Wertmässig trägt diese Begründung nicht: Overseas-Ware macht nur 2,7 % des Einkaufsvolumens aus, und 5 281 der 5 301 Overseas-Materialien sind C-Teile; für Kapitalbindung und Bestände liegt der Hebel im Werk. Positionsmässig ist der Import aber relevant: 22 % der Materialien, 23 % der Bestellungen und 43 % der Lieferanten laufen über Karatschi </w:t>
      </w:r>
      <w:r>
        <w:rPr>
          <w:shd w:val="clear" w:color="auto" w:fill="DDEBF7"/>
        </w:rPr>
        <w:t xml:space="preserve">(Tabelle 12)</w:t>
      </w:r>
      <w:r>
        <w:t xml:space="preserve">, und ein fehlendes C-Teil stoppt die Montage genauso wie ein A-Teil. Auf eine Overseas-Bestellung kommen zudem 7,7–10 Sendungen in Lager 4 (Annahme A22), ein Hinweis auf kleinteilige Teillieferungen. Lager 4 ist überdies ein </w:t>
      </w:r>
      <w:r>
        <w:rPr>
          <w:i/>
          <w:iCs/>
        </w:rPr>
        <w:t xml:space="preserve">Single Point of Failure</w:t>
      </w:r>
      <w:r>
        <w:t xml:space="preserve">: Seit dem 2. Mai 2025 verbietet Indien Importe und Transit von Waren aus bzw. über Pakistan (Directorate General of Foreign Trade [DGFT], 2025). Die Fallstudie bleibt Basis; das Verbot wird in Block 1 als Risikoszenario bewertet. Der Import braucht deshalb einen eigenen Lösungsweg (Konsolidierung, Bonded Warehouse, Absicherung der Overseas-C-Teile).</w:t>
      </w:r>
    </w:p>
    <w:p w14:paraId="39B8B2B7" w14:textId="77777777" w:rsidR="00D806ED" w:rsidRDefault="00000000">
      <w:pPr>
        <w:pStyle w:val="Textkrper"/>
      </w:pPr>
      <w:r>
        <w:rPr>
          <w:b/>
          <w:bCs/>
        </w:rPr>
        <w:t>Lieferanten und EDI.</w:t>
      </w:r>
      <w:r>
        <w:t xml:space="preserve"> Laut Lieferantenblatt tragen 44 A-Lieferanten (7,1 %) 70 % des Volumens, 495 C-Lieferanten (79,8 %) nur 10 %; eine Neuberechnung aus den RM-Daten ergibt sogar nur 11 A-Lieferanten </w:t>
      </w:r>
      <w:r>
        <w:rPr>
          <w:shd w:val="clear" w:color="auto" w:fill="DDEBF7"/>
        </w:rPr>
        <w:t xml:space="preserve">(Annahme A24, Tabelle 13)</w:t>
      </w:r>
      <w:r>
        <w:t xml:space="preserve">. In beiden Lesarten konzentriert sich der A-Wert auf 11–44 Lieferanten – ein Argument für Lieferantenreduktion und Single- bzw. Dual-Sourcing </w:t>
      </w:r>
      <w:r>
        <w:rPr>
          <w:shd w:val="clear" w:color="auto" w:fill="DDEBF7"/>
        </w:rPr>
        <w:t xml:space="preserve">(Hutzler &amp; Fuchs, 2021, S. 36, 65)</w:t>
      </w:r>
      <w:r>
        <w:t xml:space="preserve">, zugleich aber ein Klumpenrisiko. Am anderen Ende stehen 118 Lieferanten mit nur einer Materialnummer und 450 mit je weniger als 0,01 % Wertanteil, also «C-Lieferanten als ‹Prozesskostentreiber›» (Hutzler &amp; Fuchs, 2021, S. 40). Positiv: 96 % der Materialien stammen von EDI-fähigen Lieferanten.</w:t>
      </w:r>
    </w:p>
    <w:p w14:paraId="7DACD977" w14:textId="77777777" w:rsidR="00D806ED" w:rsidRDefault="00000000">
      <w:pPr>
        <w:pStyle w:val="Textkrper"/>
      </w:pPr>
      <w:r>
        <w:rPr>
          <w:b/>
          <w:bCs/>
        </w:rPr>
        <w:lastRenderedPageBreak/>
        <w:t>Bestände und Abrufrhythmus.</w:t>
      </w:r>
      <w:r>
        <w:t xml:space="preserve"> A-Materialien werden im Schnitt nur 3,9-mal pro Jahr bestellt. Im Bestandsmodell (Annahme A20) liegt die Reichweite des Losgrössenbestands bei rund 79 AT </w:t>
      </w:r>
      <w:r>
        <w:rPr>
          <w:shd w:val="clear" w:color="auto" w:fill="DDEBF7"/>
        </w:rPr>
        <w:t xml:space="preserve">(Lagerumschlag des Losgrössenbestands 3,5; Krieger, 2018)</w:t>
      </w:r>
      <w:r>
        <w:t xml:space="preserve">, und 67 % davon entfallen auf A-Teile. Mit mindestens 24 Abrufen pro Jahr für A- und 12 für B-Teile sinkt der Losgrössenbestand um 83 % (konservativ mit 12/6 Abrufen um 75 %). C-Teile sind bewusst mit 0 % gerechnet; C-Teile-Management mit Konsignation (Hutzler &amp; Fuchs, 2021, S. 38) wäre zusätzliches Potenzial. Auf den Gesamtbestand übertragen hängt das Ergebnis vom unbekannten Anteil des Losgrössenbestands ab (Annahme A21): bei 30 % nur 22–25 %, bei 40–50 % 30–41 %, bei 60 % 45–50 % </w:t>
      </w:r>
      <w:r>
        <w:rPr>
          <w:shd w:val="clear" w:color="auto" w:fill="DDEBF7"/>
        </w:rPr>
        <w:t xml:space="preserve">(Tabelle 15)</w:t>
      </w:r>
      <w:r>
        <w:t xml:space="preserve">. Die Holding-Schätzung von 30–40 % (HWZ, o. J., S. 5) ist damit plausibel, aber nur, wenn zusätzlich </w:t>
      </w:r>
      <w:r>
        <w:rPr/>
        <w:t xml:space="preserve">die Puffer in Lager 2 sinken.</w:t>
      </w:r>
      <w:r>
        <w:rPr>
          <w:shd w:val="clear" w:color="auto" w:fill="DDEBF7"/>
        </w:rPr>
        <w:t xml:space="preserve"> Weil der Losgrössenbestand nur einen Teil des Gesamtbestands ausmacht, liegt der Umschlag des Gesamtbestands tiefer, bei rund 1,4–1,8 pro Jahr (Annahme A21, Tabelle 26).</w:t>
      </w:r>
      <w:bookmarkEnd w:id="27"/>
    </w:p>
    <w:p w14:paraId="6B1F92E7" w14:textId="77777777" w:rsidR="00D806ED" w:rsidRDefault="00000000">
      <w:pPr>
        <w:pStyle w:val="berschrift2"/>
      </w:pPr>
      <w:bookmarkStart w:id="30" w:name="zielabweichung"/>
      <w:bookmarkStart w:id="31" w:name="_Toc243825033"/>
      <w:r>
        <w:t>Zielabweichung</w:t>
      </w:r>
      <w:bookmarkEnd w:id="31"/>
    </w:p>
    <w:p w14:paraId="35539EAE" w14:textId="77777777" w:rsidR="00D806ED" w:rsidRDefault="00000000">
      <w:pPr>
        <w:pStyle w:val="FirstParagraph"/>
      </w:pPr>
      <w:r>
        <w:t>Tabelle 2 ist die Ausgangslage für das Kennzahlen-Cockpit in Block 4.</w:t>
      </w:r>
    </w:p>
    <w:p w14:paraId="63FB4F4D" w14:textId="7332A4BF" w:rsidR="00D806ED" w:rsidRDefault="00000000">
      <w:pPr>
        <w:pStyle w:val="Beschriftung"/>
        <w:keepNext/>
      </w:pPr>
      <w:bookmarkStart w:id="32" w:name="_Toc243824209"/>
      <w:r>
        <w:t xml:space="preserve">Tabelle </w:t>
      </w:r>
      <w:fldSimple w:instr=" SEQ Tabelle \* ARABIC ">
        <w:r>
          <w:rPr>
            <w:noProof/>
          </w:rPr>
          <w:t>2</w:t>
        </w:r>
      </w:fldSimple>
      <w:r>
        <w:t>: Zielabweichung zwischen Ist und Vorgaben der Holding</w:t>
      </w:r>
      <w:bookmarkEnd w:id="32"/>
    </w:p>
    <w:tbl>
      <w:tblPr>
        <w:tblStyle w:val="Tabellenraster"/>
        <w:tblW w:w="9070" w:type="dxa"/>
        <w:tblInd w:w="113" w:type="dxa"/>
        <w:tblLayout w:type="fixed"/>
        <w:tblLook w:val="0020" w:firstRow="1" w:lastRow="0" w:firstColumn="0" w:lastColumn="0" w:noHBand="0" w:noVBand="0"/>
      </w:tblPr>
      <w:tblGrid>
        <w:gridCol w:w="2539"/>
        <w:gridCol w:w="1990"/>
        <w:gridCol w:w="2101"/>
        <w:gridCol w:w="1220"/>
        <w:gridCol w:w="1220"/>
      </w:tblGrid>
      <w:tr w:rsidR="00D806ED" w14:paraId="1A8C2CCB" w14:textId="77777777">
        <w:trPr>
          <w:tblHeader/>
        </w:trPr>
        <w:tc>
          <w:tcPr>
            <w:tcW w:w="2539" w:type="dxa"/>
            <w:shd w:val="clear" w:color="auto" w:fill="D9D9D9"/>
          </w:tcPr>
          <w:p w14:paraId="3B1E31DD" w14:textId="77777777" w:rsidR="00D806ED" w:rsidRDefault="00000000">
            <w:pPr>
              <w:pStyle w:val="Tabelleninhalt"/>
              <w:keepNext/>
            </w:pPr>
            <w:r>
              <w:rPr>
                <w:b/>
              </w:rPr>
              <w:t>Kennzahl</w:t>
            </w:r>
          </w:p>
        </w:tc>
        <w:tc>
          <w:tcPr>
            <w:tcW w:w="1990" w:type="dxa"/>
            <w:shd w:val="clear" w:color="auto" w:fill="D9D9D9"/>
          </w:tcPr>
          <w:p w14:paraId="106BAC8D" w14:textId="77777777" w:rsidR="00D806ED" w:rsidRDefault="00000000">
            <w:pPr>
              <w:pStyle w:val="Tabelleninhalt"/>
              <w:keepNext/>
              <w:jc w:val="right"/>
            </w:pPr>
            <w:r>
              <w:rPr>
                <w:b/>
              </w:rPr>
              <w:t>Ist</w:t>
            </w:r>
          </w:p>
        </w:tc>
        <w:tc>
          <w:tcPr>
            <w:tcW w:w="2101" w:type="dxa"/>
            <w:shd w:val="clear" w:color="auto" w:fill="D9D9D9"/>
          </w:tcPr>
          <w:p w14:paraId="0DC758B8" w14:textId="77777777" w:rsidR="00D806ED" w:rsidRDefault="00000000">
            <w:pPr>
              <w:pStyle w:val="Tabelleninhalt"/>
              <w:keepNext/>
              <w:jc w:val="right"/>
            </w:pPr>
            <w:r>
              <w:rPr>
                <w:b/>
              </w:rPr>
              <w:t>Soll / Ziel</w:t>
            </w:r>
          </w:p>
        </w:tc>
        <w:tc>
          <w:tcPr>
            <w:tcW w:w="1220" w:type="dxa"/>
            <w:shd w:val="clear" w:color="auto" w:fill="D9D9D9"/>
          </w:tcPr>
          <w:p w14:paraId="33A346DD" w14:textId="77777777" w:rsidR="00D806ED" w:rsidRDefault="00000000">
            <w:pPr>
              <w:pStyle w:val="Tabelleninhalt"/>
              <w:keepNext/>
              <w:jc w:val="right"/>
            </w:pPr>
            <w:r>
              <w:rPr>
                <w:b/>
              </w:rPr>
              <w:t>Lücke</w:t>
            </w:r>
          </w:p>
        </w:tc>
        <w:tc>
          <w:tcPr>
            <w:tcW w:w="1220" w:type="dxa"/>
            <w:shd w:val="clear" w:color="auto" w:fill="D9D9D9"/>
          </w:tcPr>
          <w:p w14:paraId="19E252B8" w14:textId="77777777" w:rsidR="00D806ED" w:rsidRDefault="00000000">
            <w:pPr>
              <w:pStyle w:val="Tabelleninhalt"/>
              <w:keepNext/>
            </w:pPr>
            <w:r>
              <w:rPr>
                <w:b/>
              </w:rPr>
              <w:t>Grundlage</w:t>
            </w:r>
          </w:p>
        </w:tc>
      </w:tr>
      <w:tr w:rsidR="00D806ED" w14:paraId="162D5AD2" w14:textId="77777777">
        <w:trPr>
          <w:cantSplit/>
        </w:trPr>
        <w:tc>
          <w:tcPr>
            <w:tcW w:w="2539" w:type="dxa"/>
          </w:tcPr>
          <w:p w14:paraId="0E9F3A52" w14:textId="77777777" w:rsidR="00D806ED" w:rsidRDefault="00000000">
            <w:pPr>
              <w:pStyle w:val="Tabelleninhalt"/>
              <w:keepNext/>
            </w:pPr>
            <w:r>
              <w:t>Kommissionierpersonal</w:t>
            </w:r>
          </w:p>
        </w:tc>
        <w:tc>
          <w:tcPr>
            <w:tcW w:w="1990" w:type="dxa"/>
          </w:tcPr>
          <w:p w14:paraId="0D8D15B6" w14:textId="77777777" w:rsidR="00D806ED" w:rsidRDefault="00000000">
            <w:pPr>
              <w:pStyle w:val="Tabelleninhalt"/>
              <w:keepNext/>
              <w:jc w:val="right"/>
            </w:pPr>
            <w:r>
              <w:t>600 Personen</w:t>
            </w:r>
          </w:p>
        </w:tc>
        <w:tc>
          <w:tcPr>
            <w:tcW w:w="2101" w:type="dxa"/>
          </w:tcPr>
          <w:p w14:paraId="7886AA40" w14:textId="77777777" w:rsidR="00D806ED" w:rsidRDefault="00000000">
            <w:pPr>
              <w:pStyle w:val="Tabelleninhalt"/>
              <w:keepNext/>
              <w:jc w:val="right"/>
            </w:pPr>
            <w:r>
              <w:t>100 Personen</w:t>
            </w:r>
          </w:p>
        </w:tc>
        <w:tc>
          <w:tcPr>
            <w:tcW w:w="1220" w:type="dxa"/>
          </w:tcPr>
          <w:p w14:paraId="613E4FDC" w14:textId="77777777" w:rsidR="00D806ED" w:rsidRDefault="00000000">
            <w:pPr>
              <w:pStyle w:val="Tabelleninhalt"/>
              <w:keepNext/>
              <w:jc w:val="right"/>
            </w:pPr>
            <w:r>
              <w:t>−83 %</w:t>
            </w:r>
          </w:p>
        </w:tc>
        <w:tc>
          <w:tcPr>
            <w:tcW w:w="1220" w:type="dxa"/>
          </w:tcPr>
          <w:p w14:paraId="2E8A9971" w14:textId="77777777" w:rsidR="00D806ED" w:rsidRDefault="00000000">
            <w:pPr>
              <w:pStyle w:val="Tabelleninhalt"/>
              <w:keepNext/>
            </w:pPr>
            <w:r>
              <w:t>HWZ, o. J., S. 6</w:t>
            </w:r>
          </w:p>
        </w:tc>
      </w:tr>
      <w:tr w:rsidR="00D806ED" w14:paraId="73ABAD40" w14:textId="77777777">
        <w:trPr>
          <w:cantSplit/>
        </w:trPr>
        <w:tc>
          <w:tcPr>
            <w:tcW w:w="2539" w:type="dxa"/>
          </w:tcPr>
          <w:p w14:paraId="6501EACD" w14:textId="77777777" w:rsidR="00D806ED" w:rsidRDefault="00000000">
            <w:pPr>
              <w:pStyle w:val="Tabelleninhalt"/>
              <w:keepNext/>
            </w:pPr>
            <w:r>
              <w:t>Kommissionierleistung</w:t>
            </w:r>
          </w:p>
        </w:tc>
        <w:tc>
          <w:tcPr>
            <w:tcW w:w="1990" w:type="dxa"/>
          </w:tcPr>
          <w:p w14:paraId="1599A360" w14:textId="77777777" w:rsidR="00D806ED" w:rsidRDefault="00000000">
            <w:pPr>
              <w:pStyle w:val="Tabelleninhalt"/>
              <w:keepNext/>
              <w:jc w:val="right"/>
            </w:pPr>
            <w:r>
              <w:t>83 Picks/Person/Tag</w:t>
            </w:r>
          </w:p>
        </w:tc>
        <w:tc>
          <w:tcPr>
            <w:tcW w:w="2101" w:type="dxa"/>
          </w:tcPr>
          <w:p w14:paraId="421D58BD" w14:textId="77777777" w:rsidR="00D806ED" w:rsidRDefault="00000000">
            <w:pPr>
              <w:pStyle w:val="Tabelleninhalt"/>
              <w:keepNext/>
              <w:jc w:val="right"/>
            </w:pPr>
            <w:r>
              <w:t>500 Picks/Person/Tag</w:t>
            </w:r>
          </w:p>
        </w:tc>
        <w:tc>
          <w:tcPr>
            <w:tcW w:w="1220" w:type="dxa"/>
          </w:tcPr>
          <w:p w14:paraId="7AE233B5" w14:textId="77777777" w:rsidR="00D806ED" w:rsidRDefault="00000000">
            <w:pPr>
              <w:pStyle w:val="Tabelleninhalt"/>
              <w:keepNext/>
              <w:jc w:val="right"/>
            </w:pPr>
            <w:r>
              <w:t>Faktor 6</w:t>
            </w:r>
          </w:p>
        </w:tc>
        <w:tc>
          <w:tcPr>
            <w:tcW w:w="1220" w:type="dxa"/>
          </w:tcPr>
          <w:p w14:paraId="52E699EB" w14:textId="77777777" w:rsidR="00D806ED" w:rsidRDefault="00000000">
            <w:pPr>
              <w:pStyle w:val="Tabelleninhalt"/>
              <w:keepNext/>
            </w:pPr>
            <w:r>
              <w:t>eigene Rechnung</w:t>
            </w:r>
          </w:p>
        </w:tc>
      </w:tr>
      <w:tr w:rsidR="00D806ED" w14:paraId="5EDE65B1" w14:textId="77777777">
        <w:trPr>
          <w:cantSplit/>
        </w:trPr>
        <w:tc>
          <w:tcPr>
            <w:tcW w:w="2539" w:type="dxa"/>
          </w:tcPr>
          <w:p w14:paraId="1C226B23" w14:textId="77777777" w:rsidR="00D806ED" w:rsidRDefault="00000000">
            <w:pPr>
              <w:pStyle w:val="Tabelleninhalt"/>
              <w:keepNext/>
            </w:pPr>
            <w:r>
              <w:t>Reichweite Lager 2</w:t>
            </w:r>
          </w:p>
        </w:tc>
        <w:tc>
          <w:tcPr>
            <w:tcW w:w="1990" w:type="dxa"/>
          </w:tcPr>
          <w:p w14:paraId="6F74CCFE" w14:textId="77777777" w:rsidR="00D806ED" w:rsidRDefault="00000000">
            <w:pPr>
              <w:pStyle w:val="Tabelleninhalt"/>
              <w:keepNext/>
              <w:jc w:val="right"/>
            </w:pPr>
            <w:r>
              <w:t>10,8–21,5 AT</w:t>
            </w:r>
          </w:p>
        </w:tc>
        <w:tc>
          <w:tcPr>
            <w:tcW w:w="2101" w:type="dxa"/>
          </w:tcPr>
          <w:p w14:paraId="6EE91DB6" w14:textId="77777777" w:rsidR="00D806ED" w:rsidRDefault="00000000">
            <w:pPr>
              <w:pStyle w:val="Tabelleninhalt"/>
              <w:keepNext/>
              <w:jc w:val="right"/>
            </w:pPr>
            <w:r>
              <w:t>3 AT</w:t>
            </w:r>
          </w:p>
        </w:tc>
        <w:tc>
          <w:tcPr>
            <w:tcW w:w="1220" w:type="dxa"/>
          </w:tcPr>
          <w:p w14:paraId="0025CFA0" w14:textId="77777777" w:rsidR="00D806ED" w:rsidRDefault="00000000">
            <w:pPr>
              <w:pStyle w:val="Tabelleninhalt"/>
              <w:keepNext/>
              <w:jc w:val="right"/>
            </w:pPr>
            <w:r>
              <w:t>−72 bis −86 %</w:t>
            </w:r>
          </w:p>
        </w:tc>
        <w:tc>
          <w:tcPr>
            <w:tcW w:w="1220" w:type="dxa"/>
          </w:tcPr>
          <w:p w14:paraId="459ACE05" w14:textId="77777777" w:rsidR="00D806ED" w:rsidRDefault="00000000">
            <w:pPr>
              <w:pStyle w:val="Tabelleninhalt"/>
              <w:keepNext/>
            </w:pPr>
            <w:r>
              <w:t>A1; HWZ, o. J., S. 3</w:t>
            </w:r>
          </w:p>
        </w:tc>
      </w:tr>
      <w:tr w:rsidR="00D806ED" w14:paraId="6776C925" w14:textId="77777777">
        <w:trPr>
          <w:cantSplit/>
        </w:trPr>
        <w:tc>
          <w:tcPr>
            <w:tcW w:w="2539" w:type="dxa"/>
          </w:tcPr>
          <w:p w14:paraId="14F0114B" w14:textId="77777777" w:rsidR="00D806ED" w:rsidRDefault="00000000">
            <w:pPr>
              <w:pStyle w:val="Tabelleninhalt"/>
              <w:keepNext/>
            </w:pPr>
            <w:r>
              <w:t>Lagerumschlag Lager 2</w:t>
            </w:r>
          </w:p>
        </w:tc>
        <w:tc>
          <w:tcPr>
            <w:tcW w:w="1990" w:type="dxa"/>
          </w:tcPr>
          <w:p w14:paraId="58D4237D" w14:textId="77777777" w:rsidR="00D806ED" w:rsidRDefault="00000000">
            <w:pPr>
              <w:pStyle w:val="Tabelleninhalt"/>
              <w:keepNext/>
              <w:jc w:val="right"/>
            </w:pPr>
            <w:r>
              <w:t>13–26 pro Jahr</w:t>
            </w:r>
          </w:p>
        </w:tc>
        <w:tc>
          <w:tcPr>
            <w:tcW w:w="2101" w:type="dxa"/>
          </w:tcPr>
          <w:p w14:paraId="5D6269EB" w14:textId="77777777" w:rsidR="00D806ED" w:rsidRDefault="00000000">
            <w:pPr>
              <w:pStyle w:val="Tabelleninhalt"/>
              <w:keepNext/>
              <w:jc w:val="right"/>
            </w:pPr>
            <w:r>
              <w:t>93 pro Jahr</w:t>
            </w:r>
          </w:p>
        </w:tc>
        <w:tc>
          <w:tcPr>
            <w:tcW w:w="1220" w:type="dxa"/>
          </w:tcPr>
          <w:p w14:paraId="238651B6" w14:textId="77777777" w:rsidR="00D806ED" w:rsidRDefault="00000000">
            <w:pPr>
              <w:pStyle w:val="Tabelleninhalt"/>
              <w:keepNext/>
              <w:jc w:val="right"/>
            </w:pPr>
            <w:r>
              <w:t>Faktor 3,6–7</w:t>
            </w:r>
          </w:p>
        </w:tc>
        <w:tc>
          <w:tcPr>
            <w:tcW w:w="1220" w:type="dxa"/>
          </w:tcPr>
          <w:p w14:paraId="72F977D3" w14:textId="77777777" w:rsidR="00D806ED" w:rsidRDefault="00000000">
            <w:pPr>
              <w:pStyle w:val="Tabelleninhalt"/>
              <w:keepNext/>
            </w:pPr>
            <w:r>
              <w:t>A1, eigene Rechnung</w:t>
            </w:r>
          </w:p>
        </w:tc>
      </w:tr>
      <w:tr w:rsidR="00D806ED" w14:paraId="5323DC30" w14:textId="77777777">
        <w:trPr>
          <w:cantSplit/>
        </w:trPr>
        <w:tc>
          <w:tcPr>
            <w:tcW w:w="2539" w:type="dxa"/>
          </w:tcPr>
          <w:p w14:paraId="530F7512" w14:textId="77777777" w:rsidR="00D806ED" w:rsidRDefault="00000000">
            <w:pPr>
              <w:pStyle w:val="Tabelleninhalt"/>
              <w:keepNext/>
            </w:pPr>
            <w:r>
              <w:t>Gesamtbestand</w:t>
            </w:r>
          </w:p>
        </w:tc>
        <w:tc>
          <w:tcPr>
            <w:tcW w:w="1990" w:type="dxa"/>
          </w:tcPr>
          <w:p w14:paraId="130B0B35" w14:textId="77777777" w:rsidR="00D806ED" w:rsidRDefault="00000000">
            <w:pPr>
              <w:pStyle w:val="Tabelleninhalt"/>
              <w:keepNext/>
              <w:jc w:val="right"/>
            </w:pPr>
            <w:r>
              <w:t>Index 100</w:t>
            </w:r>
          </w:p>
        </w:tc>
        <w:tc>
          <w:tcPr>
            <w:tcW w:w="2101" w:type="dxa"/>
          </w:tcPr>
          <w:p w14:paraId="29B9B7AA" w14:textId="77777777" w:rsidR="00D806ED" w:rsidRDefault="00000000">
            <w:pPr>
              <w:pStyle w:val="Tabelleninhalt"/>
              <w:keepNext/>
              <w:jc w:val="right"/>
            </w:pPr>
            <w:r>
              <w:t>Index 60–70</w:t>
            </w:r>
          </w:p>
        </w:tc>
        <w:tc>
          <w:tcPr>
            <w:tcW w:w="1220" w:type="dxa"/>
          </w:tcPr>
          <w:p w14:paraId="54C7AC34" w14:textId="77777777" w:rsidR="00D806ED" w:rsidRDefault="00000000">
            <w:pPr>
              <w:pStyle w:val="Tabelleninhalt"/>
              <w:keepNext/>
              <w:jc w:val="right"/>
            </w:pPr>
            <w:r>
              <w:t>−30 bis −40 %</w:t>
            </w:r>
          </w:p>
        </w:tc>
        <w:tc>
          <w:tcPr>
            <w:tcW w:w="1220" w:type="dxa"/>
          </w:tcPr>
          <w:p w14:paraId="0B26309E" w14:textId="77777777" w:rsidR="00D806ED" w:rsidRDefault="00000000">
            <w:pPr>
              <w:pStyle w:val="Tabelleninhalt"/>
              <w:keepNext/>
            </w:pPr>
            <w:r>
              <w:t>HWZ, o. J., S. 5</w:t>
            </w:r>
          </w:p>
        </w:tc>
      </w:tr>
      <w:tr w:rsidR="00D806ED" w14:paraId="01A5C573" w14:textId="77777777">
        <w:trPr>
          <w:cantSplit/>
        </w:trPr>
        <w:tc>
          <w:tcPr>
            <w:tcW w:w="2539" w:type="dxa"/>
          </w:tcPr>
          <w:p w14:paraId="21C2FF85" w14:textId="77777777" w:rsidR="00D806ED" w:rsidRDefault="00000000">
            <w:pPr>
              <w:pStyle w:val="Tabelleninhalt"/>
              <w:keepNext/>
            </w:pPr>
            <w:r>
              <w:t>Lieferzeit gegenüber Wettbewerb</w:t>
            </w:r>
          </w:p>
        </w:tc>
        <w:tc>
          <w:tcPr>
            <w:tcW w:w="1990" w:type="dxa"/>
          </w:tcPr>
          <w:p w14:paraId="50D1623D" w14:textId="77777777" w:rsidR="00D806ED" w:rsidRDefault="00000000">
            <w:pPr>
              <w:pStyle w:val="Tabelleninhalt"/>
              <w:keepNext/>
              <w:jc w:val="right"/>
            </w:pPr>
            <w:r>
              <w:t>+30 bis +50 %</w:t>
            </w:r>
          </w:p>
        </w:tc>
        <w:tc>
          <w:tcPr>
            <w:tcW w:w="2101" w:type="dxa"/>
          </w:tcPr>
          <w:p w14:paraId="0BB29E99" w14:textId="77777777" w:rsidR="00D806ED" w:rsidRDefault="00000000">
            <w:pPr>
              <w:pStyle w:val="Tabelleninhalt"/>
              <w:keepNext/>
              <w:jc w:val="right"/>
            </w:pPr>
            <w:r>
              <w:t>Wettbewerbsniveau</w:t>
            </w:r>
          </w:p>
        </w:tc>
        <w:tc>
          <w:tcPr>
            <w:tcW w:w="1220" w:type="dxa"/>
          </w:tcPr>
          <w:p w14:paraId="5E7AFE4A" w14:textId="77777777" w:rsidR="00D806ED" w:rsidRDefault="00000000">
            <w:pPr>
              <w:pStyle w:val="Tabelleninhalt"/>
              <w:keepNext/>
              <w:jc w:val="right"/>
            </w:pPr>
            <w:r>
              <w:t>−23 bis −33 %¹</w:t>
            </w:r>
          </w:p>
        </w:tc>
        <w:tc>
          <w:tcPr>
            <w:tcW w:w="1220" w:type="dxa"/>
          </w:tcPr>
          <w:p w14:paraId="2F7A4B41" w14:textId="77777777" w:rsidR="00D806ED" w:rsidRDefault="00000000">
            <w:pPr>
              <w:pStyle w:val="Tabelleninhalt"/>
              <w:keepNext/>
            </w:pPr>
            <w:r>
              <w:t>HWZ, o. J., S. 5</w:t>
            </w:r>
          </w:p>
        </w:tc>
      </w:tr>
      <w:tr w:rsidR="00D806ED" w14:paraId="42BCC589" w14:textId="77777777">
        <w:trPr>
          <w:cantSplit/>
        </w:trPr>
        <w:tc>
          <w:tcPr>
            <w:tcW w:w="2539" w:type="dxa"/>
          </w:tcPr>
          <w:p w14:paraId="4F946F2B" w14:textId="77777777" w:rsidR="00D806ED" w:rsidRDefault="00000000">
            <w:pPr>
              <w:pStyle w:val="Tabelleninhalt"/>
              <w:keepNext/>
            </w:pPr>
            <w:r>
              <w:t>Liefertreue Anlagenbau</w:t>
            </w:r>
          </w:p>
        </w:tc>
        <w:tc>
          <w:tcPr>
            <w:tcW w:w="1990" w:type="dxa"/>
          </w:tcPr>
          <w:p w14:paraId="0C79ACC7" w14:textId="77777777" w:rsidR="00D806ED" w:rsidRDefault="00000000">
            <w:pPr>
              <w:pStyle w:val="Tabelleninhalt"/>
              <w:keepNext/>
              <w:jc w:val="right"/>
            </w:pPr>
            <w:r>
              <w:t>55 %</w:t>
            </w:r>
          </w:p>
        </w:tc>
        <w:tc>
          <w:tcPr>
            <w:tcW w:w="2101" w:type="dxa"/>
          </w:tcPr>
          <w:p w14:paraId="32E5F94E" w14:textId="77777777" w:rsidR="00D806ED" w:rsidRDefault="00000000">
            <w:pPr>
              <w:pStyle w:val="Tabelleninhalt"/>
              <w:keepNext/>
              <w:jc w:val="right"/>
            </w:pPr>
            <w:r>
              <w:t>≥ 95 % (Annahme A10, Block 3)</w:t>
            </w:r>
          </w:p>
        </w:tc>
        <w:tc>
          <w:tcPr>
            <w:tcW w:w="1220" w:type="dxa"/>
          </w:tcPr>
          <w:p w14:paraId="3B99E2DA" w14:textId="77777777" w:rsidR="00D806ED" w:rsidRDefault="00000000">
            <w:pPr>
              <w:pStyle w:val="Tabelleninhalt"/>
              <w:keepNext/>
              <w:jc w:val="right"/>
            </w:pPr>
            <w:r>
              <w:t>45 % verspätet</w:t>
            </w:r>
          </w:p>
        </w:tc>
        <w:tc>
          <w:tcPr>
            <w:tcW w:w="1220" w:type="dxa"/>
          </w:tcPr>
          <w:p w14:paraId="19A0A3E8" w14:textId="77777777" w:rsidR="00D806ED" w:rsidRDefault="00000000">
            <w:pPr>
              <w:pStyle w:val="Tabelleninhalt"/>
              <w:keepNext/>
            </w:pPr>
            <w:r>
              <w:t>HWZ, o. J., S. 6</w:t>
            </w:r>
          </w:p>
        </w:tc>
      </w:tr>
      <w:tr w:rsidR="00D806ED" w14:paraId="09ABE826" w14:textId="77777777">
        <w:trPr>
          <w:cantSplit/>
        </w:trPr>
        <w:tc>
          <w:tcPr>
            <w:tcW w:w="2539" w:type="dxa"/>
          </w:tcPr>
          <w:p w14:paraId="5EF2F2D5" w14:textId="77777777" w:rsidR="00D806ED" w:rsidRDefault="00000000">
            <w:pPr>
              <w:pStyle w:val="Tabelleninhalt"/>
              <w:keepNext/>
            </w:pPr>
            <w:r>
              <w:t>Sendungen je Overseas-Bestellung</w:t>
            </w:r>
          </w:p>
        </w:tc>
        <w:tc>
          <w:tcPr>
            <w:tcW w:w="1990" w:type="dxa"/>
          </w:tcPr>
          <w:p w14:paraId="295ABBF5" w14:textId="77777777" w:rsidR="00D806ED" w:rsidRDefault="00000000">
            <w:pPr>
              <w:pStyle w:val="Tabelleninhalt"/>
              <w:keepNext/>
              <w:jc w:val="right"/>
            </w:pPr>
            <w:r>
              <w:t>7,7–10</w:t>
            </w:r>
          </w:p>
        </w:tc>
        <w:tc>
          <w:tcPr>
            <w:tcW w:w="2101" w:type="dxa"/>
          </w:tcPr>
          <w:p w14:paraId="18E97308" w14:textId="77777777" w:rsidR="00D806ED" w:rsidRDefault="00000000">
            <w:pPr>
              <w:pStyle w:val="Tabelleninhalt"/>
              <w:keepNext/>
              <w:jc w:val="right"/>
            </w:pPr>
            <w:r>
              <w:t>Konsolidierung (Block 1)</w:t>
            </w:r>
          </w:p>
        </w:tc>
        <w:tc>
          <w:tcPr>
            <w:tcW w:w="1220" w:type="dxa"/>
          </w:tcPr>
          <w:p w14:paraId="4EEEC941" w14:textId="77777777" w:rsidR="00D806ED" w:rsidRDefault="00000000">
            <w:pPr>
              <w:pStyle w:val="Tabelleninhalt"/>
              <w:keepNext/>
              <w:jc w:val="right"/>
            </w:pPr>
            <w:r>
              <w:t>–</w:t>
            </w:r>
          </w:p>
        </w:tc>
        <w:tc>
          <w:tcPr>
            <w:tcW w:w="1220" w:type="dxa"/>
          </w:tcPr>
          <w:p w14:paraId="39ABAA2A" w14:textId="77777777" w:rsidR="00D806ED" w:rsidRDefault="00000000">
            <w:pPr>
              <w:pStyle w:val="Tabelleninhalt"/>
              <w:keepNext/>
            </w:pPr>
            <w:r>
              <w:t>A22</w:t>
            </w:r>
          </w:p>
        </w:tc>
      </w:tr>
    </w:tbl>
    <w:p w14:paraId="22F5B9F2" w14:textId="77777777" w:rsidR="00D806ED" w:rsidRDefault="00000000">
      <w:pPr>
        <w:pStyle w:val="Quellenangabe"/>
      </w:pPr>
      <w:r>
        <w:t xml:space="preserve">Quelle: Eigene Darstellung und Berechnung auf Basis von HWZ (o. J., S. 3–6) und </w:t>
      </w:r>
      <w:r>
        <w:rPr>
          <w:i/>
          <w:iCs/>
        </w:rPr>
        <w:t>Daten-ABC-Analyse-Grofu</w:t>
      </w:r>
      <w:r>
        <w:t xml:space="preserve"> (o. J.). ¹ 1 − 1/1,3 bzw. 1 − 1/1,5: Wer 30–50 % über dem Wettbewerb liegt, muss die Lieferzeit um 23–33 % senken, nicht um 30–50 %.</w:t>
      </w:r>
      <w:bookmarkEnd w:id="30"/>
    </w:p>
    <w:p w14:paraId="47EB3EF9" w14:textId="77777777" w:rsidR="00D806ED" w:rsidRDefault="00000000">
      <w:pPr>
        <w:pStyle w:val="berschrift2"/>
      </w:pPr>
      <w:bookmarkStart w:id="33" w:name="erkenntnisse"/>
      <w:bookmarkStart w:id="34" w:name="_Toc243825034"/>
      <w:r>
        <w:t>Erkenntnisse</w:t>
      </w:r>
      <w:bookmarkEnd w:id="34"/>
    </w:p>
    <w:p w14:paraId="26DBA9EE" w14:textId="77777777" w:rsidR="00D806ED" w:rsidRDefault="00000000">
      <w:pPr>
        <w:pStyle w:val="Compact"/>
        <w:numPr>
          <w:ilvl w:val="0"/>
          <w:numId w:val="15"/>
        </w:numPr>
      </w:pPr>
      <w:r>
        <w:rPr>
          <w:b/>
          <w:bCs/>
        </w:rPr>
        <w:t>Wertmässig liegt der Hebel im Werk, positionsmässig auch an der Grenze:</w:t>
      </w:r>
      <w:r>
        <w:t xml:space="preserve"> Bestände entstehen durch Planung, Abrufrhythmus und Lagerstufen; für die Verfügbarkeit zählt aber auch der Import mit fast einem Viertel der Positionen.</w:t>
      </w:r>
    </w:p>
    <w:p w14:paraId="5412D046" w14:textId="77777777" w:rsidR="00D806ED" w:rsidRDefault="00000000">
      <w:pPr>
        <w:pStyle w:val="Compact"/>
        <w:numPr>
          <w:ilvl w:val="0"/>
          <w:numId w:val="5"/>
        </w:numPr>
      </w:pPr>
      <w:r>
        <w:rPr>
          <w:b/>
          <w:bCs/>
        </w:rPr>
        <w:t>Wert und Aufwand brauchen getrennte Lösungen:</w:t>
      </w:r>
      <w:r>
        <w:t xml:space="preserve"> für A-Teile kurze Abrufzyklen und enge Partnerschaften, für C-Teile Bündelung, wenige Systemlieferanten und automatisiertes Handling.</w:t>
      </w:r>
    </w:p>
    <w:p w14:paraId="70CCEBD6" w14:textId="77777777" w:rsidR="00D806ED" w:rsidRDefault="00000000">
      <w:pPr>
        <w:pStyle w:val="Compact"/>
        <w:numPr>
          <w:ilvl w:val="0"/>
          <w:numId w:val="5"/>
        </w:numPr>
      </w:pPr>
      <w:r>
        <w:rPr>
          <w:b/>
          <w:bCs/>
        </w:rPr>
        <w:t>Die Bestandssenkung ist realistisch, aber kein Selbstläufer:</w:t>
      </w:r>
      <w:r>
        <w:t xml:space="preserve"> Die 30–40 % verlangen neben dem Abrufrhythmus den Abbau der Puffer in Lager 2 – möglich erst, wenn der Fluss aus Lager 1 schneller wird oder die Stufe entfällt.</w:t>
      </w:r>
    </w:p>
    <w:p w14:paraId="00806BDB" w14:textId="77777777" w:rsidR="00D806ED" w:rsidRDefault="00000000">
      <w:pPr>
        <w:pStyle w:val="Compact"/>
        <w:numPr>
          <w:ilvl w:val="0"/>
          <w:numId w:val="5"/>
        </w:numPr>
      </w:pPr>
      <w:r>
        <w:rPr>
          <w:b/>
          <w:bCs/>
        </w:rPr>
        <w:t>Konzentration ist Chance und Risiko zugleich:</w:t>
      </w:r>
      <w:r>
        <w:t xml:space="preserve"> Wenige A-Lieferanten und eine einzige Importroute erlauben enge Zusammenarbeit, verlangen aber Risikomanagement. Alle Zahlen sind Grössenordnungen; die Datengrenzen nennt Anhang A.</w:t>
      </w:r>
      <w:bookmarkEnd w:id="21"/>
      <w:bookmarkEnd w:id="33"/>
    </w:p>
    <w:p w14:paraId="59B64E74" w14:textId="77777777" w:rsidR="00D806ED" w:rsidRDefault="00000000">
      <w:pPr>
        <w:pStyle w:val="berschrift1"/>
      </w:pPr>
      <w:bookmarkStart w:id="35" w:name="X6e5c32da39f4f31b87ea4e64d43e3c956ab45dd"/>
      <w:bookmarkStart w:id="36" w:name="_Toc243825035"/>
      <w:r>
        <w:lastRenderedPageBreak/>
        <w:t>Block 1 – Gesamt-Materialfluss neu strukturiert</w:t>
      </w:r>
      <w:bookmarkEnd w:id="36"/>
    </w:p>
    <w:p w14:paraId="41ECA430" w14:textId="77777777" w:rsidR="00D806ED" w:rsidRDefault="00000000">
      <w:pPr>
        <w:pStyle w:val="FirstParagraph"/>
      </w:pPr>
      <w:r>
        <w:t>Der gesamte Inbound-Materialfluss soll mit SCM-Ansätzen neu strukturiert werden, ohne sich in Details zu verlieren (HWZ, o. J., S. 6, 8). Dieses Kapitel beschreibt die Netzwerkebene; Werk und Lager folgen in Block 3 und 4.</w:t>
      </w:r>
    </w:p>
    <w:p w14:paraId="2E63A7E5" w14:textId="77777777" w:rsidR="00D806ED" w:rsidRDefault="00000000">
      <w:pPr>
        <w:pStyle w:val="berschrift2"/>
      </w:pPr>
      <w:bookmarkStart w:id="37" w:name="gestaltungsprinzipien"/>
      <w:bookmarkStart w:id="38" w:name="_Toc243825036"/>
      <w:r>
        <w:t>Gestaltungsprinzipien</w:t>
      </w:r>
      <w:bookmarkEnd w:id="38"/>
    </w:p>
    <w:p w14:paraId="402CC998" w14:textId="77777777" w:rsidR="00D806ED" w:rsidRDefault="00000000">
      <w:pPr>
        <w:pStyle w:val="FirstParagraph"/>
      </w:pPr>
      <w:r>
        <w:t xml:space="preserve">Die Ist-Analyse (Tabelle 2) zeigt drei Ansatzpunkte. Erstens liegt Material in drei Lagerstufen und wartet dort; Wartezeit macht bis zu 98 % der Durchlaufzeit aus (Hutzler &amp; Fuchs, 2021, S. 15). Zweitens wird nach Budgetprognose in grossen Losen bestellt, was den Bullwhip-Effekt auslöst (Lee et al., 1997). Drittens ist die Lieferantenbasis zersplittert. Der Import ist wertmässig nicht der Treiber, positionsmässig aber schon </w:t>
      </w:r>
      <w:r>
        <w:rPr>
          <w:shd w:val="clear" w:color="auto" w:fill="DDEBF7"/>
        </w:rPr>
        <w:t xml:space="preserve">(Tabelle 12)</w:t>
      </w:r>
      <w:r>
        <w:t xml:space="preserve">. Er braucht deshalb Konsolidierung, eine effiziente Zollabwicklung und Absicherung.</w:t>
      </w:r>
    </w:p>
    <w:p w14:paraId="113E980D" w14:textId="77777777" w:rsidR="00D806ED" w:rsidRDefault="00000000">
      <w:pPr>
        <w:pStyle w:val="Textkrper"/>
      </w:pPr>
      <w:r>
        <w:t>Fünf Prinzipien gelten unabhängig von der Importroute:</w:t>
      </w:r>
    </w:p>
    <w:p w14:paraId="295BD74F" w14:textId="77777777" w:rsidR="00D806ED" w:rsidRDefault="00000000">
      <w:pPr>
        <w:pStyle w:val="Compact"/>
        <w:numPr>
          <w:ilvl w:val="0"/>
          <w:numId w:val="4"/>
        </w:numPr>
      </w:pPr>
      <w:r>
        <w:rPr>
          <w:b/>
          <w:bCs/>
        </w:rPr>
        <w:t>P1 Segmentieren:</w:t>
      </w:r>
      <w:r>
        <w:t xml:space="preserve"> Funktionale Produkte wie die Endgeräte brauchen eine effiziente Kette, kundenspezifische wie die Anlagenbau-Module eine reaktionsfähige (Fisher, 1997; Hutzler &amp; Fuchs, 2021, S. 10).</w:t>
      </w:r>
    </w:p>
    <w:p w14:paraId="435FA819" w14:textId="77777777" w:rsidR="00D806ED" w:rsidRDefault="00000000">
      <w:pPr>
        <w:pStyle w:val="Compact"/>
        <w:numPr>
          <w:ilvl w:val="0"/>
          <w:numId w:val="4"/>
        </w:numPr>
      </w:pPr>
      <w:r>
        <w:rPr>
          <w:b/>
          <w:bCs/>
        </w:rPr>
        <w:t>P2 Entkopplungspunkt im SFG-Supermarkt:</w:t>
      </w:r>
      <w:r>
        <w:t xml:space="preserve"> Vorher wird verbrauchsgesteuert gefertigt, danach auf Auftrag. So verbinden sich schlanke und agile Abschnitte (Olhager, 2010; Christopher &amp; Towill, 2001).</w:t>
      </w:r>
    </w:p>
    <w:p w14:paraId="47C09BFA" w14:textId="77777777" w:rsidR="00D806ED" w:rsidRDefault="00000000">
      <w:pPr>
        <w:pStyle w:val="Compact"/>
        <w:numPr>
          <w:ilvl w:val="0"/>
          <w:numId w:val="4"/>
        </w:numPr>
      </w:pPr>
      <w:r>
        <w:rPr>
          <w:b/>
          <w:bCs/>
        </w:rPr>
        <w:t>P3 Pull statt Push, Lager 2 auflösen:</w:t>
      </w:r>
      <w:r>
        <w:t xml:space="preserve"> </w:t>
      </w:r>
      <w:r>
        <w:rPr>
          <w:shd w:val="clear" w:color="auto" w:fill="DDEBF7"/>
        </w:rPr>
        <w:t xml:space="preserve">Was das Skript für Distributionssysteme festhält, überträgt das Projektteam sinngemäss auf den Inbound: Einstufige Systeme sind «prinzipiell vorteilhaft», weil zusätzliche Lager- und Umschlagsprozesse entfallen (Hutzler &amp; Fuchs, 2021, S. 53).</w:t>
      </w:r>
      <w:r>
        <w:t xml:space="preserve"> Lager 1 wird zum einzigen </w:t>
      </w:r>
      <w:r>
        <w:rPr>
          <w:b/>
          <w:bCs/>
        </w:rPr>
        <w:t>Zentrallager (automatisiert)</w:t>
      </w:r>
      <w:r>
        <w:t>, die Linien versorgt Kanban (Block 3, 4).</w:t>
      </w:r>
    </w:p>
    <w:p w14:paraId="432C97F1" w14:textId="77777777" w:rsidR="00D806ED" w:rsidRDefault="00000000">
      <w:pPr>
        <w:pStyle w:val="Compact"/>
        <w:numPr>
          <w:ilvl w:val="0"/>
          <w:numId w:val="4"/>
        </w:numPr>
      </w:pPr>
      <w:r>
        <w:rPr>
          <w:b/>
          <w:bCs/>
        </w:rPr>
        <w:t xml:space="preserve">P4 Make-or-Buy nach Kernkompetenz</w:t>
      </w:r>
      <w:r>
        <w:t xml:space="preserve"> (Hutzler &amp; Fuchs, 2021, S. 59): Das neue Werk fertigt als «eigenen Zulieferbetrieb» schützenswerte und schwierige Teile, geschätzt «ca. 30 % der derzeit produzierten Teile» (HWZ, o. J., S. 5). Outsourcing-Partner werden kurzfristig per Kit-Kanban beliefert und mittelfristig auf endgeprüfte Module umgestellt (Modular Sourcing, S. 36–37). Die anderen Hersteller in Indien werden auf Kapazitätsspitzen reduziert. Zoll, Verpackung und C-Teile-Disposition gehen an Dienstleister </w:t>
      </w:r>
      <w:r>
        <w:rPr>
          <w:shd w:val="clear" w:color="auto" w:fill="DDEBF7"/>
        </w:rPr>
        <w:t xml:space="preserve">(Tabelle 18 im Anhang)</w:t>
      </w:r>
      <w:r>
        <w:t xml:space="preserve">.</w:t>
      </w:r>
    </w:p>
    <w:p w14:paraId="20CDD564" w14:textId="77777777" w:rsidR="00D806ED" w:rsidRDefault="00000000">
      <w:pPr>
        <w:pStyle w:val="Compact"/>
        <w:numPr>
          <w:ilvl w:val="0"/>
          <w:numId w:val="4"/>
        </w:numPr>
      </w:pPr>
      <w:r>
        <w:rPr>
          <w:b/>
          <w:bCs/>
        </w:rPr>
        <w:t>P5 Information statt Bestand:</w:t>
      </w:r>
      <w:r>
        <w:t xml:space="preserve"> Ein </w:t>
      </w:r>
      <w:r>
        <w:rPr>
          <w:b/>
          <w:bCs/>
        </w:rPr>
        <w:t>Supply-Chain-Control-Tower</w:t>
      </w:r>
      <w:r>
        <w:t xml:space="preserve"> zeigt Abrufe sowie Zoll- und Sendungsstatus in Echtzeit und setzt so die «Realtime Visibility» um (Hutzler &amp; Fuchs, 2021, S. 20).</w:t>
      </w:r>
      <w:bookmarkEnd w:id="37"/>
    </w:p>
    <w:p w14:paraId="138012D4" w14:textId="77777777" w:rsidR="00D806ED" w:rsidRDefault="00000000">
      <w:pPr>
        <w:pStyle w:val="berschrift2"/>
      </w:pPr>
      <w:bookmarkStart w:id="39" w:name="_Toc243825037"/>
      <w:r>
        <w:t>Importroute: Varianten und Nutzwertanalyse</w:t>
      </w:r>
      <w:bookmarkEnd w:id="39"/>
    </w:p>
    <w:p w14:paraId="335F1D04" w14:textId="77777777" w:rsidR="00D806ED" w:rsidRDefault="00000000">
      <w:pPr>
        <w:pStyle w:val="FirstParagraph"/>
      </w:pPr>
      <w:r>
        <w:t xml:space="preserve">Offen ist, wie die Importware ins Werk gelangt. Die Fallstudie setzt Karatschi voraus und bleibt die Basis. Seit dem 2. Mai 2025 verbietet Indien jedoch Import </w:t>
      </w:r>
      <w:r>
        <w:rPr>
          <w:i/>
          <w:iCs/>
        </w:rPr>
        <w:t>und Transit</w:t>
      </w:r>
      <w:r>
        <w:t xml:space="preserve"> aller Waren aus oder über Pakistan «until further orders» (DGFT, 2025; Press Information Bureau [PIB], 2025). Lager 4 ist damit ein </w:t>
      </w:r>
      <w:r>
        <w:rPr>
          <w:b/>
          <w:bCs/>
        </w:rPr>
        <w:t xml:space="preserve">Single Point of Failure</w:t>
      </w:r>
      <w:r>
        <w:t xml:space="preserve">, und Unterbrüche von einem Monat und länger treffen Unternehmen im Mittel alle 3,7 Jahre (Lund et al., 2020). Zwei Instrumente des indischen Rechts eröffnen neue Varianten. In einer </w:t>
      </w:r>
      <w:r>
        <w:rPr>
          <w:b/>
          <w:bCs/>
        </w:rPr>
        <w:t>Free Trade Warehousing Zone (FTWZ)</w:t>
      </w:r>
      <w:r>
        <w:t xml:space="preserve"> </w:t>
        <w:lastRenderedPageBreak/>
        <w:t xml:space="preserve">fällt Zoll erst beim Übertritt ins Zollinland an (Ministry of Law and Justice, 2005, Sec. 2(n), 30). Unter </w:t>
      </w:r>
      <w:r>
        <w:rPr>
          <w:b/>
          <w:bCs/>
        </w:rPr>
        <w:t>MOOWR</w:t>
      </w:r>
      <w:r>
        <w:t xml:space="preserve"> (Section 65 Customs Act) fertigt ein Werk unter Zollverschluss. Zoll und IGST auf Inputs sind dann ohne Frist aufgeschoben und entfallen ganz, wenn die Fertigprodukte exportiert werden (Invest India, o. J., FAQ 10). Weil die Systemkomponenten «überwiegend» in den Nahen Osten gehen (HWZ, o. J., S. 3), bietet dieser Erlass einen Vorteil, den das Zolllager Karatschi nicht hat.</w:t>
      </w:r>
    </w:p>
    <w:p w14:paraId="62E8FFAA" w14:textId="77777777" w:rsidR="00D806ED" w:rsidRDefault="00000000">
      <w:pPr>
        <w:pStyle w:val="Textkrper"/>
      </w:pPr>
      <w:r>
        <w:t xml:space="preserve">Die Gewichte stammen aus den Vorgaben der Holding: Lieferzeit 25 % (30–50 % über dem Wettbewerb), Bestand/Kapital (geschätztes Potenzial 30–40 %) und Kosten je 20 %, SC-Risiken 15 %, Flexibilität und Umsetzbarkeit je 10 %. Die Begründungen der Punkte stehen in </w:t>
      </w:r>
      <w:r>
        <w:rPr>
          <w:shd w:val="clear" w:color="auto" w:fill="DDEBF7"/>
        </w:rPr>
        <w:t xml:space="preserve">Tabelle 16, die Sensitivitäten in Tabelle 17</w:t>
      </w:r>
      <w:r>
        <w:t xml:space="preserve">.</w:t>
      </w:r>
    </w:p>
    <w:p w14:paraId="1FA4F51A" w14:textId="08E9E227" w:rsidR="00D806ED" w:rsidRDefault="00000000">
      <w:pPr>
        <w:pStyle w:val="Beschriftung"/>
        <w:keepNext/>
      </w:pPr>
      <w:bookmarkStart w:id="40" w:name="_Toc243824210"/>
      <w:r>
        <w:t xml:space="preserve">Tabelle </w:t>
      </w:r>
      <w:fldSimple w:instr=" SEQ Tabelle \* ARABIC ">
        <w:r>
          <w:rPr>
            <w:noProof/>
          </w:rPr>
          <w:t>3</w:t>
        </w:r>
      </w:fldSimple>
      <w:r>
        <w:t>: Variantenmatrix und Nutzwertanalyse der Importroute (Bewertung 1–5)</w:t>
      </w:r>
      <w:bookmarkEnd w:id="40"/>
    </w:p>
    <w:tbl>
      <w:tblPr>
        <w:tblStyle w:val="Tabellenraster"/>
        <w:tblW w:w="9068" w:type="dxa"/>
        <w:tblInd w:w="113" w:type="dxa"/>
        <w:tblLayout w:type="fixed"/>
        <w:tblLook w:val="0020" w:firstRow="1" w:lastRow="0" w:firstColumn="0" w:lastColumn="0" w:noHBand="0" w:noVBand="0"/>
      </w:tblPr>
      <w:tblGrid>
        <w:gridCol w:w="1904"/>
        <w:gridCol w:w="1772"/>
        <w:gridCol w:w="1772"/>
        <w:gridCol w:w="1871"/>
        <w:gridCol w:w="1749"/>
      </w:tblGrid>
      <w:tr w:rsidR="00D806ED" w14:paraId="372C49F8" w14:textId="77777777">
        <w:trPr>
          <w:tblHeader/>
        </w:trPr>
        <w:tc>
          <w:tcPr>
            <w:tcW w:w="1904" w:type="dxa"/>
            <w:shd w:val="clear" w:color="auto" w:fill="D9D9D9"/>
          </w:tcPr>
          <w:p w14:paraId="165B9FD8" w14:textId="77777777" w:rsidR="00D806ED" w:rsidRDefault="00D806ED">
            <w:pPr>
              <w:pStyle w:val="Tabelleninhalt"/>
              <w:keepNext/>
            </w:pPr>
          </w:p>
        </w:tc>
        <w:tc>
          <w:tcPr>
            <w:tcW w:w="1772" w:type="dxa"/>
            <w:shd w:val="clear" w:color="auto" w:fill="D9D9D9"/>
          </w:tcPr>
          <w:p w14:paraId="540FDA30" w14:textId="77777777" w:rsidR="00D806ED" w:rsidRDefault="00000000">
            <w:pPr>
              <w:pStyle w:val="Tabelleninhalt"/>
              <w:keepNext/>
            </w:pPr>
            <w:r>
              <w:rPr>
                <w:b/>
              </w:rPr>
              <w:t>V1 Karatschi (Basis Fallstudie)</w:t>
            </w:r>
          </w:p>
        </w:tc>
        <w:tc>
          <w:tcPr>
            <w:tcW w:w="1772" w:type="dxa"/>
            <w:shd w:val="clear" w:color="auto" w:fill="D9D9D9"/>
          </w:tcPr>
          <w:p w14:paraId="7F325088" w14:textId="77777777" w:rsidR="00D806ED" w:rsidRDefault="00000000">
            <w:pPr>
              <w:pStyle w:val="Tabelleninhalt"/>
              <w:keepNext/>
            </w:pPr>
            <w:r>
              <w:rPr>
                <w:b/>
              </w:rPr>
              <w:t>V2 Hafen-Hub Indien</w:t>
            </w:r>
          </w:p>
        </w:tc>
        <w:tc>
          <w:tcPr>
            <w:tcW w:w="1871" w:type="dxa"/>
            <w:shd w:val="clear" w:color="auto" w:fill="D9D9D9"/>
          </w:tcPr>
          <w:p w14:paraId="48485D3A" w14:textId="77777777" w:rsidR="00D806ED" w:rsidRDefault="00000000">
            <w:pPr>
              <w:pStyle w:val="Tabelleninhalt"/>
              <w:keepNext/>
            </w:pPr>
            <w:r>
              <w:rPr>
                <w:b/>
              </w:rPr>
              <w:t>V3 Zollverschluss im Werk</w:t>
            </w:r>
          </w:p>
        </w:tc>
        <w:tc>
          <w:tcPr>
            <w:tcW w:w="1749" w:type="dxa"/>
            <w:shd w:val="clear" w:color="auto" w:fill="D9D9D9"/>
          </w:tcPr>
          <w:p w14:paraId="1B2D6299" w14:textId="77777777" w:rsidR="00D806ED" w:rsidRDefault="00000000">
            <w:pPr>
              <w:pStyle w:val="Tabelleninhalt"/>
              <w:keepNext/>
            </w:pPr>
            <w:r>
              <w:rPr>
                <w:b/>
              </w:rPr>
              <w:t>V4 Produktion Pakistan</w:t>
            </w:r>
          </w:p>
        </w:tc>
      </w:tr>
      <w:tr w:rsidR="00D806ED" w14:paraId="4F0D5B86" w14:textId="77777777">
        <w:trPr>
          <w:cantSplit/>
        </w:trPr>
        <w:tc>
          <w:tcPr>
            <w:tcW w:w="1904" w:type="dxa"/>
          </w:tcPr>
          <w:p w14:paraId="391E8663" w14:textId="77777777" w:rsidR="00D806ED" w:rsidRDefault="00000000">
            <w:pPr>
              <w:pStyle w:val="Tabelleninhalt"/>
              <w:keepNext/>
            </w:pPr>
            <w:r>
              <w:t>Importroute</w:t>
            </w:r>
          </w:p>
        </w:tc>
        <w:tc>
          <w:tcPr>
            <w:tcW w:w="1772" w:type="dxa"/>
          </w:tcPr>
          <w:p w14:paraId="63164EE4" w14:textId="77777777" w:rsidR="00D806ED" w:rsidRDefault="00000000">
            <w:pPr>
              <w:pStyle w:val="Tabelleninhalt"/>
              <w:keepNext/>
            </w:pPr>
            <w:r>
              <w:t>Seefracht Karatschi, Grenze</w:t>
            </w:r>
          </w:p>
        </w:tc>
        <w:tc>
          <w:tcPr>
            <w:tcW w:w="1772" w:type="dxa"/>
          </w:tcPr>
          <w:p w14:paraId="69DD733E" w14:textId="77777777" w:rsidR="00D806ED" w:rsidRDefault="00000000">
            <w:pPr>
              <w:pStyle w:val="Tabelleninhalt"/>
              <w:keepNext/>
            </w:pPr>
            <w:r>
              <w:t>zu prüfender Westhafen (z. B. Mundra), Bahn/LKW</w:t>
            </w:r>
          </w:p>
        </w:tc>
        <w:tc>
          <w:tcPr>
            <w:tcW w:w="1871" w:type="dxa"/>
          </w:tcPr>
          <w:p w14:paraId="6F9AF95F" w14:textId="77777777" w:rsidR="00D806ED" w:rsidRDefault="00000000">
            <w:pPr>
              <w:pStyle w:val="Tabelleninhalt"/>
              <w:keepNext/>
            </w:pPr>
            <w:r>
              <w:t>Westhafen, Container unter Zollverschluss</w:t>
            </w:r>
          </w:p>
        </w:tc>
        <w:tc>
          <w:tcPr>
            <w:tcW w:w="1749" w:type="dxa"/>
          </w:tcPr>
          <w:p w14:paraId="275DA846" w14:textId="77777777" w:rsidR="00D806ED" w:rsidRDefault="00000000">
            <w:pPr>
              <w:pStyle w:val="Tabelleninhalt"/>
              <w:keepNext/>
            </w:pPr>
            <w:r>
              <w:t>wie V1, zusätzlich SFG über die Grenze</w:t>
            </w:r>
          </w:p>
        </w:tc>
      </w:tr>
      <w:tr w:rsidR="00D806ED" w14:paraId="3257BE22" w14:textId="77777777">
        <w:trPr>
          <w:cantSplit/>
        </w:trPr>
        <w:tc>
          <w:tcPr>
            <w:tcW w:w="1904" w:type="dxa"/>
          </w:tcPr>
          <w:p w14:paraId="4E7CF234" w14:textId="77777777" w:rsidR="00D806ED" w:rsidRDefault="00000000">
            <w:pPr>
              <w:pStyle w:val="Tabelleninhalt"/>
              <w:keepNext/>
            </w:pPr>
            <w:r>
              <w:t>Zollkonzept</w:t>
            </w:r>
          </w:p>
        </w:tc>
        <w:tc>
          <w:tcPr>
            <w:tcW w:w="1772" w:type="dxa"/>
          </w:tcPr>
          <w:p w14:paraId="2A649C85" w14:textId="77777777" w:rsidR="00D806ED" w:rsidRDefault="00000000">
            <w:pPr>
              <w:pStyle w:val="Tabelleninhalt"/>
              <w:keepNext/>
            </w:pPr>
            <w:r>
              <w:t xml:space="preserve">Lager 4 Bonded, Zoll beim Versand nach Indien</w:t>
            </w:r>
          </w:p>
        </w:tc>
        <w:tc>
          <w:tcPr>
            <w:tcW w:w="1772" w:type="dxa"/>
          </w:tcPr>
          <w:p w14:paraId="70D555CF" w14:textId="77777777" w:rsidR="00D806ED" w:rsidRDefault="00000000">
            <w:pPr>
              <w:pStyle w:val="Tabelleninhalt"/>
              <w:keepNext/>
            </w:pPr>
            <w:r>
              <w:t>FTWZ-Lager eines 3PL, Zoll bei Abruf</w:t>
            </w:r>
          </w:p>
        </w:tc>
        <w:tc>
          <w:tcPr>
            <w:tcW w:w="1871" w:type="dxa"/>
          </w:tcPr>
          <w:p w14:paraId="4349C895" w14:textId="77777777" w:rsidR="00D806ED" w:rsidRDefault="00000000">
            <w:pPr>
              <w:pStyle w:val="Tabelleninhalt"/>
              <w:keepNext/>
            </w:pPr>
            <w:r>
              <w:t>MOOWR, Zoll bei Entnahme, Erlass bei Export</w:t>
            </w:r>
          </w:p>
        </w:tc>
        <w:tc>
          <w:tcPr>
            <w:tcW w:w="1749" w:type="dxa"/>
          </w:tcPr>
          <w:p w14:paraId="00A0C2A4" w14:textId="77777777" w:rsidR="00D806ED" w:rsidRDefault="00000000">
            <w:pPr>
              <w:pStyle w:val="Tabelleninhalt"/>
              <w:keepNext/>
            </w:pPr>
            <w:r>
              <w:t>wie V1</w:t>
            </w:r>
          </w:p>
        </w:tc>
      </w:tr>
      <w:tr w:rsidR="00D806ED" w14:paraId="527447D5" w14:textId="77777777">
        <w:trPr>
          <w:cantSplit/>
        </w:trPr>
        <w:tc>
          <w:tcPr>
            <w:tcW w:w="1904" w:type="dxa"/>
          </w:tcPr>
          <w:p w14:paraId="6B25ECCD" w14:textId="77777777" w:rsidR="00D806ED" w:rsidRDefault="00000000">
            <w:pPr>
              <w:pStyle w:val="Tabelleninhalt"/>
              <w:keepNext/>
            </w:pPr>
            <w:r>
              <w:t>Lagerstufen Importware</w:t>
            </w:r>
          </w:p>
        </w:tc>
        <w:tc>
          <w:tcPr>
            <w:tcW w:w="1772" w:type="dxa"/>
          </w:tcPr>
          <w:p w14:paraId="28FA60A2" w14:textId="77777777" w:rsidR="00D806ED" w:rsidRDefault="00000000">
            <w:pPr>
              <w:pStyle w:val="Tabelleninhalt"/>
              <w:keepNext/>
            </w:pPr>
            <w:r>
              <w:t>2 (Lager 4, Zentrallager)</w:t>
            </w:r>
          </w:p>
        </w:tc>
        <w:tc>
          <w:tcPr>
            <w:tcW w:w="1772" w:type="dxa"/>
          </w:tcPr>
          <w:p w14:paraId="2859F527" w14:textId="77777777" w:rsidR="00D806ED" w:rsidRDefault="00000000">
            <w:pPr>
              <w:pStyle w:val="Tabelleninhalt"/>
              <w:keepNext/>
            </w:pPr>
            <w:r>
              <w:t>2 (Hub, Zentrallager)</w:t>
            </w:r>
          </w:p>
        </w:tc>
        <w:tc>
          <w:tcPr>
            <w:tcW w:w="1871" w:type="dxa"/>
          </w:tcPr>
          <w:p w14:paraId="1E1EABE4" w14:textId="77777777" w:rsidR="00D806ED" w:rsidRDefault="00000000">
            <w:pPr>
              <w:pStyle w:val="Tabelleninhalt"/>
              <w:keepNext/>
            </w:pPr>
            <w:r>
              <w:t>1 (Zentrallager)</w:t>
            </w:r>
          </w:p>
        </w:tc>
        <w:tc>
          <w:tcPr>
            <w:tcW w:w="1749" w:type="dxa"/>
          </w:tcPr>
          <w:p w14:paraId="19B511B0" w14:textId="77777777" w:rsidR="00D806ED" w:rsidRDefault="00000000">
            <w:pPr>
              <w:pStyle w:val="Tabelleninhalt"/>
              <w:keepNext/>
            </w:pPr>
            <w:r>
              <w:t>3 (Lager 5, Lager 4, Zentrallager)</w:t>
            </w:r>
          </w:p>
        </w:tc>
      </w:tr>
      <w:tr w:rsidR="00D806ED" w14:paraId="359BC1F7" w14:textId="77777777">
        <w:trPr>
          <w:cantSplit/>
        </w:trPr>
        <w:tc>
          <w:tcPr>
            <w:tcW w:w="1904" w:type="dxa"/>
          </w:tcPr>
          <w:p w14:paraId="51F48760" w14:textId="77777777" w:rsidR="00D806ED" w:rsidRDefault="00000000">
            <w:pPr>
              <w:pStyle w:val="Tabelleninhalt"/>
              <w:keepNext/>
            </w:pPr>
            <w:r>
              <w:t>Lieferzeit (25 %)</w:t>
            </w:r>
          </w:p>
        </w:tc>
        <w:tc>
          <w:tcPr>
            <w:tcW w:w="1772" w:type="dxa"/>
          </w:tcPr>
          <w:p w14:paraId="2CFA5547" w14:textId="77777777" w:rsidR="00D806ED" w:rsidRDefault="00000000">
            <w:pPr>
              <w:pStyle w:val="Tabelleninhalt"/>
              <w:keepNext/>
            </w:pPr>
            <w:r>
              <w:t>3</w:t>
            </w:r>
          </w:p>
        </w:tc>
        <w:tc>
          <w:tcPr>
            <w:tcW w:w="1772" w:type="dxa"/>
          </w:tcPr>
          <w:p w14:paraId="1AA651BF" w14:textId="77777777" w:rsidR="00D806ED" w:rsidRDefault="00000000">
            <w:pPr>
              <w:pStyle w:val="Tabelleninhalt"/>
              <w:keepNext/>
            </w:pPr>
            <w:r>
              <w:t>3</w:t>
            </w:r>
          </w:p>
        </w:tc>
        <w:tc>
          <w:tcPr>
            <w:tcW w:w="1871" w:type="dxa"/>
          </w:tcPr>
          <w:p w14:paraId="799AD4C4" w14:textId="77777777" w:rsidR="00D806ED" w:rsidRDefault="00000000">
            <w:pPr>
              <w:pStyle w:val="Tabelleninhalt"/>
              <w:keepNext/>
            </w:pPr>
            <w:r>
              <w:t>4</w:t>
            </w:r>
          </w:p>
        </w:tc>
        <w:tc>
          <w:tcPr>
            <w:tcW w:w="1749" w:type="dxa"/>
          </w:tcPr>
          <w:p w14:paraId="43E14EE0" w14:textId="77777777" w:rsidR="00D806ED" w:rsidRDefault="00000000">
            <w:pPr>
              <w:pStyle w:val="Tabelleninhalt"/>
              <w:keepNext/>
            </w:pPr>
            <w:r>
              <w:t>1</w:t>
            </w:r>
          </w:p>
        </w:tc>
      </w:tr>
      <w:tr w:rsidR="00D806ED" w14:paraId="55F4EBF1" w14:textId="77777777">
        <w:trPr>
          <w:cantSplit/>
        </w:trPr>
        <w:tc>
          <w:tcPr>
            <w:tcW w:w="1904" w:type="dxa"/>
          </w:tcPr>
          <w:p w14:paraId="336CEB5C" w14:textId="77777777" w:rsidR="00D806ED" w:rsidRDefault="00000000">
            <w:pPr>
              <w:pStyle w:val="Tabelleninhalt"/>
              <w:keepNext/>
            </w:pPr>
            <w:r>
              <w:t>Kosten (20 %)</w:t>
            </w:r>
          </w:p>
        </w:tc>
        <w:tc>
          <w:tcPr>
            <w:tcW w:w="1772" w:type="dxa"/>
          </w:tcPr>
          <w:p w14:paraId="748DFEF6" w14:textId="77777777" w:rsidR="00D806ED" w:rsidRDefault="00000000">
            <w:pPr>
              <w:pStyle w:val="Tabelleninhalt"/>
              <w:keepNext/>
            </w:pPr>
            <w:r>
              <w:t>3</w:t>
            </w:r>
          </w:p>
        </w:tc>
        <w:tc>
          <w:tcPr>
            <w:tcW w:w="1772" w:type="dxa"/>
          </w:tcPr>
          <w:p w14:paraId="067B1BB5" w14:textId="77777777" w:rsidR="00D806ED" w:rsidRDefault="00000000">
            <w:pPr>
              <w:pStyle w:val="Tabelleninhalt"/>
              <w:keepNext/>
            </w:pPr>
            <w:r>
              <w:t>3</w:t>
            </w:r>
          </w:p>
        </w:tc>
        <w:tc>
          <w:tcPr>
            <w:tcW w:w="1871" w:type="dxa"/>
          </w:tcPr>
          <w:p w14:paraId="3BE29771" w14:textId="77777777" w:rsidR="00D806ED" w:rsidRDefault="00000000">
            <w:pPr>
              <w:pStyle w:val="Tabelleninhalt"/>
              <w:keepNext/>
            </w:pPr>
            <w:r>
              <w:t>4</w:t>
            </w:r>
          </w:p>
        </w:tc>
        <w:tc>
          <w:tcPr>
            <w:tcW w:w="1749" w:type="dxa"/>
          </w:tcPr>
          <w:p w14:paraId="7ED895BA" w14:textId="77777777" w:rsidR="00D806ED" w:rsidRDefault="00000000">
            <w:pPr>
              <w:pStyle w:val="Tabelleninhalt"/>
              <w:keepNext/>
            </w:pPr>
            <w:r>
              <w:t>3</w:t>
            </w:r>
          </w:p>
        </w:tc>
      </w:tr>
      <w:tr w:rsidR="00D806ED" w14:paraId="701C938C" w14:textId="77777777">
        <w:trPr>
          <w:cantSplit/>
        </w:trPr>
        <w:tc>
          <w:tcPr>
            <w:tcW w:w="1904" w:type="dxa"/>
          </w:tcPr>
          <w:p w14:paraId="300C61A1" w14:textId="77777777" w:rsidR="00D806ED" w:rsidRDefault="00000000">
            <w:pPr>
              <w:pStyle w:val="Tabelleninhalt"/>
              <w:keepNext/>
            </w:pPr>
            <w:r>
              <w:t>Bestand/Kapital (20 %)</w:t>
            </w:r>
          </w:p>
        </w:tc>
        <w:tc>
          <w:tcPr>
            <w:tcW w:w="1772" w:type="dxa"/>
          </w:tcPr>
          <w:p w14:paraId="660A3899" w14:textId="77777777" w:rsidR="00D806ED" w:rsidRDefault="00000000">
            <w:pPr>
              <w:pStyle w:val="Tabelleninhalt"/>
              <w:keepNext/>
            </w:pPr>
            <w:r>
              <w:t>2</w:t>
            </w:r>
          </w:p>
        </w:tc>
        <w:tc>
          <w:tcPr>
            <w:tcW w:w="1772" w:type="dxa"/>
          </w:tcPr>
          <w:p w14:paraId="312A40FD" w14:textId="77777777" w:rsidR="00D806ED" w:rsidRDefault="00000000">
            <w:pPr>
              <w:pStyle w:val="Tabelleninhalt"/>
              <w:keepNext/>
            </w:pPr>
            <w:r>
              <w:t>3</w:t>
            </w:r>
          </w:p>
        </w:tc>
        <w:tc>
          <w:tcPr>
            <w:tcW w:w="1871" w:type="dxa"/>
          </w:tcPr>
          <w:p w14:paraId="3D0C09F8" w14:textId="77777777" w:rsidR="00D806ED" w:rsidRDefault="00000000">
            <w:pPr>
              <w:pStyle w:val="Tabelleninhalt"/>
              <w:keepNext/>
            </w:pPr>
            <w:r>
              <w:t>5</w:t>
            </w:r>
          </w:p>
        </w:tc>
        <w:tc>
          <w:tcPr>
            <w:tcW w:w="1749" w:type="dxa"/>
          </w:tcPr>
          <w:p w14:paraId="11E743B1" w14:textId="77777777" w:rsidR="00D806ED" w:rsidRDefault="00000000">
            <w:pPr>
              <w:pStyle w:val="Tabelleninhalt"/>
              <w:keepNext/>
            </w:pPr>
            <w:r>
              <w:t>1</w:t>
            </w:r>
          </w:p>
        </w:tc>
      </w:tr>
      <w:tr w:rsidR="00D806ED" w14:paraId="704558A2" w14:textId="77777777">
        <w:trPr>
          <w:cantSplit/>
        </w:trPr>
        <w:tc>
          <w:tcPr>
            <w:tcW w:w="1904" w:type="dxa"/>
          </w:tcPr>
          <w:p w14:paraId="13554F2F" w14:textId="77777777" w:rsidR="00D806ED" w:rsidRDefault="00000000">
            <w:pPr>
              <w:pStyle w:val="Tabelleninhalt"/>
              <w:keepNext/>
            </w:pPr>
            <w:r>
              <w:t>Flexibilität (10 %)</w:t>
            </w:r>
          </w:p>
        </w:tc>
        <w:tc>
          <w:tcPr>
            <w:tcW w:w="1772" w:type="dxa"/>
          </w:tcPr>
          <w:p w14:paraId="4ACB7226" w14:textId="77777777" w:rsidR="00D806ED" w:rsidRDefault="00000000">
            <w:pPr>
              <w:pStyle w:val="Tabelleninhalt"/>
              <w:keepNext/>
            </w:pPr>
            <w:r>
              <w:t>2</w:t>
            </w:r>
          </w:p>
        </w:tc>
        <w:tc>
          <w:tcPr>
            <w:tcW w:w="1772" w:type="dxa"/>
          </w:tcPr>
          <w:p w14:paraId="79E6FEDB" w14:textId="77777777" w:rsidR="00D806ED" w:rsidRDefault="00000000">
            <w:pPr>
              <w:pStyle w:val="Tabelleninhalt"/>
              <w:keepNext/>
            </w:pPr>
            <w:r>
              <w:t>3</w:t>
            </w:r>
          </w:p>
        </w:tc>
        <w:tc>
          <w:tcPr>
            <w:tcW w:w="1871" w:type="dxa"/>
          </w:tcPr>
          <w:p w14:paraId="2DCC1CB5" w14:textId="77777777" w:rsidR="00D806ED" w:rsidRDefault="00000000">
            <w:pPr>
              <w:pStyle w:val="Tabelleninhalt"/>
              <w:keepNext/>
            </w:pPr>
            <w:r>
              <w:t>3</w:t>
            </w:r>
          </w:p>
        </w:tc>
        <w:tc>
          <w:tcPr>
            <w:tcW w:w="1749" w:type="dxa"/>
          </w:tcPr>
          <w:p w14:paraId="0A761D0E" w14:textId="77777777" w:rsidR="00D806ED" w:rsidRDefault="00000000">
            <w:pPr>
              <w:pStyle w:val="Tabelleninhalt"/>
              <w:keepNext/>
            </w:pPr>
            <w:r>
              <w:t>1</w:t>
            </w:r>
          </w:p>
        </w:tc>
      </w:tr>
      <w:tr w:rsidR="00D806ED" w14:paraId="4570B4A9" w14:textId="77777777">
        <w:trPr>
          <w:cantSplit/>
        </w:trPr>
        <w:tc>
          <w:tcPr>
            <w:tcW w:w="1904" w:type="dxa"/>
          </w:tcPr>
          <w:p w14:paraId="2F6621AF" w14:textId="77777777" w:rsidR="00D806ED" w:rsidRDefault="00000000">
            <w:pPr>
              <w:pStyle w:val="Tabelleninhalt"/>
              <w:keepNext/>
            </w:pPr>
            <w:r>
              <w:t>SC-Risiken (15 %)</w:t>
            </w:r>
          </w:p>
        </w:tc>
        <w:tc>
          <w:tcPr>
            <w:tcW w:w="1772" w:type="dxa"/>
          </w:tcPr>
          <w:p w14:paraId="7C270086" w14:textId="77777777" w:rsidR="00D806ED" w:rsidRDefault="00000000">
            <w:pPr>
              <w:pStyle w:val="Tabelleninhalt"/>
              <w:keepNext/>
            </w:pPr>
            <w:r>
              <w:t>2</w:t>
            </w:r>
          </w:p>
        </w:tc>
        <w:tc>
          <w:tcPr>
            <w:tcW w:w="1772" w:type="dxa"/>
          </w:tcPr>
          <w:p w14:paraId="7F4C1F98" w14:textId="77777777" w:rsidR="00D806ED" w:rsidRDefault="00000000">
            <w:pPr>
              <w:pStyle w:val="Tabelleninhalt"/>
              <w:keepNext/>
            </w:pPr>
            <w:r>
              <w:t>4</w:t>
            </w:r>
          </w:p>
        </w:tc>
        <w:tc>
          <w:tcPr>
            <w:tcW w:w="1871" w:type="dxa"/>
          </w:tcPr>
          <w:p w14:paraId="2665016E" w14:textId="77777777" w:rsidR="00D806ED" w:rsidRDefault="00000000">
            <w:pPr>
              <w:pStyle w:val="Tabelleninhalt"/>
              <w:keepNext/>
            </w:pPr>
            <w:r>
              <w:t>4</w:t>
            </w:r>
          </w:p>
        </w:tc>
        <w:tc>
          <w:tcPr>
            <w:tcW w:w="1749" w:type="dxa"/>
          </w:tcPr>
          <w:p w14:paraId="0BF4B281" w14:textId="77777777" w:rsidR="00D806ED" w:rsidRDefault="00000000">
            <w:pPr>
              <w:pStyle w:val="Tabelleninhalt"/>
              <w:keepNext/>
            </w:pPr>
            <w:r>
              <w:t>1</w:t>
            </w:r>
          </w:p>
        </w:tc>
      </w:tr>
      <w:tr w:rsidR="00D806ED" w14:paraId="67716787" w14:textId="77777777">
        <w:trPr>
          <w:cantSplit/>
        </w:trPr>
        <w:tc>
          <w:tcPr>
            <w:tcW w:w="1904" w:type="dxa"/>
          </w:tcPr>
          <w:p w14:paraId="0FCFA145" w14:textId="77777777" w:rsidR="00D806ED" w:rsidRDefault="00000000">
            <w:pPr>
              <w:pStyle w:val="Tabelleninhalt"/>
              <w:keepNext/>
            </w:pPr>
            <w:r>
              <w:t>Umsetzbarkeit (10 %)</w:t>
            </w:r>
          </w:p>
        </w:tc>
        <w:tc>
          <w:tcPr>
            <w:tcW w:w="1772" w:type="dxa"/>
          </w:tcPr>
          <w:p w14:paraId="2B6AA0CB" w14:textId="77777777" w:rsidR="00D806ED" w:rsidRDefault="00000000">
            <w:pPr>
              <w:pStyle w:val="Tabelleninhalt"/>
              <w:keepNext/>
            </w:pPr>
            <w:r>
              <w:t>5</w:t>
            </w:r>
          </w:p>
        </w:tc>
        <w:tc>
          <w:tcPr>
            <w:tcW w:w="1772" w:type="dxa"/>
          </w:tcPr>
          <w:p w14:paraId="34A76596" w14:textId="77777777" w:rsidR="00D806ED" w:rsidRDefault="00000000">
            <w:pPr>
              <w:pStyle w:val="Tabelleninhalt"/>
              <w:keepNext/>
            </w:pPr>
            <w:r>
              <w:t>4</w:t>
            </w:r>
          </w:p>
        </w:tc>
        <w:tc>
          <w:tcPr>
            <w:tcW w:w="1871" w:type="dxa"/>
          </w:tcPr>
          <w:p w14:paraId="14F0FD2B" w14:textId="77777777" w:rsidR="00D806ED" w:rsidRDefault="00000000">
            <w:pPr>
              <w:pStyle w:val="Tabelleninhalt"/>
              <w:keepNext/>
            </w:pPr>
            <w:r>
              <w:t>2</w:t>
            </w:r>
          </w:p>
        </w:tc>
        <w:tc>
          <w:tcPr>
            <w:tcW w:w="1749" w:type="dxa"/>
          </w:tcPr>
          <w:p w14:paraId="7C2D0DA5" w14:textId="77777777" w:rsidR="00D806ED" w:rsidRDefault="00000000">
            <w:pPr>
              <w:pStyle w:val="Tabelleninhalt"/>
              <w:keepNext/>
            </w:pPr>
            <w:r>
              <w:t>1</w:t>
            </w:r>
          </w:p>
        </w:tc>
      </w:tr>
      <w:tr w:rsidR="00D806ED" w14:paraId="3C1DFEEB" w14:textId="77777777">
        <w:trPr>
          <w:cantSplit/>
        </w:trPr>
        <w:tc>
          <w:tcPr>
            <w:tcW w:w="1904" w:type="dxa"/>
          </w:tcPr>
          <w:p w14:paraId="049D982A" w14:textId="77777777" w:rsidR="00D806ED" w:rsidRDefault="00000000">
            <w:pPr>
              <w:pStyle w:val="Tabelleninhalt"/>
              <w:keepNext/>
            </w:pPr>
            <w:r>
              <w:rPr>
                <w:b/>
                <w:bCs/>
              </w:rPr>
              <w:t>Nutzwert</w:t>
            </w:r>
          </w:p>
        </w:tc>
        <w:tc>
          <w:tcPr>
            <w:tcW w:w="1772" w:type="dxa"/>
          </w:tcPr>
          <w:p w14:paraId="2CE328E0" w14:textId="77777777" w:rsidR="00D806ED" w:rsidRDefault="00000000">
            <w:pPr>
              <w:pStyle w:val="Tabelleninhalt"/>
              <w:keepNext/>
            </w:pPr>
            <w:r>
              <w:t>2,75</w:t>
            </w:r>
          </w:p>
        </w:tc>
        <w:tc>
          <w:tcPr>
            <w:tcW w:w="1772" w:type="dxa"/>
          </w:tcPr>
          <w:p w14:paraId="21A3D3E5" w14:textId="77777777" w:rsidR="00D806ED" w:rsidRDefault="00000000">
            <w:pPr>
              <w:pStyle w:val="Tabelleninhalt"/>
              <w:keepNext/>
            </w:pPr>
            <w:r>
              <w:t>3,25</w:t>
            </w:r>
          </w:p>
        </w:tc>
        <w:tc>
          <w:tcPr>
            <w:tcW w:w="1871" w:type="dxa"/>
          </w:tcPr>
          <w:p w14:paraId="2504CCB6" w14:textId="77777777" w:rsidR="00D806ED" w:rsidRDefault="00000000">
            <w:pPr>
              <w:pStyle w:val="Tabelleninhalt"/>
              <w:keepNext/>
            </w:pPr>
            <w:r>
              <w:rPr>
                <w:b/>
                <w:bCs/>
              </w:rPr>
              <w:t>3,90</w:t>
            </w:r>
          </w:p>
        </w:tc>
        <w:tc>
          <w:tcPr>
            <w:tcW w:w="1749" w:type="dxa"/>
          </w:tcPr>
          <w:p w14:paraId="442E37C3" w14:textId="77777777" w:rsidR="00D806ED" w:rsidRDefault="00000000">
            <w:pPr>
              <w:pStyle w:val="Tabelleninhalt"/>
              <w:keepNext/>
            </w:pPr>
            <w:r>
              <w:t>1,40</w:t>
            </w:r>
          </w:p>
        </w:tc>
      </w:tr>
    </w:tbl>
    <w:p w14:paraId="65C9575C" w14:textId="77777777" w:rsidR="00D806ED" w:rsidRDefault="00000000">
      <w:pPr>
        <w:pStyle w:val="Quellenangabe"/>
      </w:pPr>
      <w:r>
        <w:t xml:space="preserve">Quelle: Eigene Darstellung und Bewertung; Gewichte abgeleitet aus HWZ (o. J., S. 5–6); V4 nach </w:t>
      </w:r>
      <w:r>
        <w:rPr>
          <w:i/>
          <w:iCs/>
        </w:rPr>
        <w:t>Lager-Grofu</w:t>
      </w:r>
      <w:r>
        <w:t xml:space="preserve"> (o. J.).</w:t>
      </w:r>
    </w:p>
    <w:p w14:paraId="78294407" w14:textId="77777777" w:rsidR="00D806ED" w:rsidRDefault="00000000">
      <w:pPr>
        <w:pStyle w:val="Textkrper"/>
      </w:pPr>
      <w:bookmarkStart w:id="41" w:name="X91eb93d648d5fb013e5a765acfaeec1fdc07628"/>
      <w:r>
        <w:t xml:space="preserve">V3 liegt auch vorn, wenn alle Kriterien gleich gewichtet werden, wenn die Umsetzbarkeit doppelt zählt und wenn die Lieferzeit wegen des längeren Landvorlaufs (Annahme A30) nur mit 3 bewertet wird (3,65). </w:t>
      </w:r>
      <w:r>
        <w:rPr/>
        <w:t xml:space="preserve">Im Szenario «Transitsperre» scheiden V1 und V4 aus.</w:t>
      </w:r>
      <w:r>
        <w:rPr>
          <w:shd w:val="clear" w:color="auto" w:fill="DDEBF7"/>
        </w:rPr>
        <w:t xml:space="preserve"> Weil das Verbot seit Mai 2025 gilt und nach unserem Rechercherstand (Oktober 2026) nicht aufgehoben ist, ist dieses Szenario faktisch der Basisfall; die Rangfolge ändert sich dadurch nicht.</w:t>
      </w:r>
      <w:r>
        <w:t xml:space="preserve"> V4 widerspricht zudem dem Holding-Entscheid für ein eigenes Know-how-Werk in Indien (HWZ, o. J., S. 5).</w:t>
      </w:r>
      <w:bookmarkEnd w:id="41"/>
    </w:p>
    <w:p w14:paraId="6223B80D" w14:textId="77777777" w:rsidR="00D806ED" w:rsidRDefault="00000000">
      <w:pPr>
        <w:pStyle w:val="berschrift2"/>
      </w:pPr>
      <w:bookmarkStart w:id="42" w:name="entscheid-und-soll-materialfluss"/>
      <w:bookmarkStart w:id="43" w:name="_Toc243825038"/>
      <w:r>
        <w:t>Entscheid und Soll-Materialfluss</w:t>
      </w:r>
      <w:bookmarkEnd w:id="43"/>
    </w:p>
    <w:p w14:paraId="0F58C023" w14:textId="77777777" w:rsidR="00D806ED" w:rsidRDefault="00000000">
      <w:pPr>
        <w:pStyle w:val="FirstParagraph"/>
      </w:pPr>
      <w:r>
        <w:rPr>
          <w:b/>
          <w:bCs/>
        </w:rPr>
        <w:t>Entscheid:</w:t>
      </w:r>
      <w:r>
        <w:t xml:space="preserve"> Zielbild ist </w:t>
      </w:r>
      <w:r>
        <w:rPr>
          <w:b/>
          <w:bCs/>
        </w:rPr>
        <w:t>V3, der Direktzulauf in den Zollverschluss des Zentrallagers</w:t>
      </w:r>
      <w:r>
        <w:t xml:space="preserve"> (Abbildung 2). </w:t>
      </w:r>
      <w:r>
        <w:rPr>
          <w:b/>
          <w:bCs/>
        </w:rPr>
        <w:t>V2 dient als Übergang</w:t>
      </w:r>
      <w:r>
        <w:t xml:space="preserve">, bis die Bewilligung nach Sec. 58/65 vorliegt (Invest India, o. J., FAQ 2), denn einen FTWZ-Hub kann Grofu ohne Investition bei einem 3PL einkaufen. Lager 4 Karatschi bleibt nur Rückfallebene.</w:t>
      </w:r>
    </w:p>
    <w:p w14:paraId="5ACFCA64" w14:textId="77777777" w:rsidR="00D806ED" w:rsidRDefault="00000000">
      <w:pPr>
        <w:pStyle w:val="Abbildung"/>
      </w:pPr>
      <w:bookmarkStart w:id="44" w:name="fig%3Ab1-soll-materialfluss"/>
      <w:r>
        <w:rPr>
          <w:noProof/>
        </w:rPr>
        <w:lastRenderedPageBreak/>
        <w:drawing>
          <wp:inline distT="0" distB="0" distL="0" distR="0" wp14:anchorId="2C3843D1" wp14:editId="058E6925">
            <wp:extent cx="5753100" cy="3615055"/>
            <wp:effectExtent l="0" t="0" r="0" b="0"/>
            <wp:docPr id="3" name="Image2" descr="Soll-Materialfluss Inbound auf Netzwerkebene (Zielbild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Soll-Materialfluss Inbound auf Netzwerkebene (Zielbild V3)"/>
                    <pic:cNvPicPr>
                      <a:picLocks noChangeAspect="1" noChangeArrowheads="1"/>
                    </pic:cNvPicPr>
                  </pic:nvPicPr>
                  <pic:blipFill>
                    <a:blip r:embed="rId11"/>
                    <a:stretch>
                      <a:fillRect/>
                    </a:stretch>
                  </pic:blipFill>
                  <pic:spPr bwMode="auto">
                    <a:xfrm>
                      <a:off x="0" y="0"/>
                      <a:ext cx="5753100" cy="3615055"/>
                    </a:xfrm>
                    <a:prstGeom prst="rect">
                      <a:avLst/>
                    </a:prstGeom>
                    <a:noFill/>
                  </pic:spPr>
                </pic:pic>
              </a:graphicData>
            </a:graphic>
          </wp:inline>
        </w:drawing>
      </w:r>
    </w:p>
    <w:p w14:paraId="709449B3" w14:textId="76A979D9" w:rsidR="00D806ED" w:rsidRDefault="00000000">
      <w:pPr>
        <w:pStyle w:val="Beschriftung"/>
        <w:keepNext/>
        <w:jc w:val="center"/>
      </w:pPr>
      <w:bookmarkStart w:id="45" w:name="_Toc243824171"/>
      <w:r>
        <w:t xml:space="preserve">Abbildung </w:t>
      </w:r>
      <w:fldSimple w:instr=" SEQ Abbildung \* ARABIC ">
        <w:r>
          <w:rPr>
            <w:noProof/>
          </w:rPr>
          <w:t>2</w:t>
        </w:r>
      </w:fldSimple>
      <w:r>
        <w:t>: Soll-Materialfluss Inbound auf Netzwerkebene (Zielbild V3)</w:t>
      </w:r>
      <w:bookmarkEnd w:id="44"/>
      <w:bookmarkEnd w:id="45"/>
    </w:p>
    <w:p w14:paraId="03DC3D09" w14:textId="77777777" w:rsidR="00D806ED" w:rsidRDefault="00000000">
      <w:pPr>
        <w:pStyle w:val="Quellenangabe"/>
      </w:pPr>
      <w:r>
        <w:t>Quelle: Eigene Darstellung in Anlehnung an HWZ (o. J., S. 2–4).</w:t>
      </w:r>
    </w:p>
    <w:p w14:paraId="331E300D" w14:textId="77777777" w:rsidR="00D806ED" w:rsidRDefault="00000000">
      <w:pPr>
        <w:pStyle w:val="Textkrper"/>
      </w:pPr>
      <w:r>
        <w:rPr>
          <w:b/>
          <w:bCs/>
        </w:rPr>
        <w:t>Auswirkungen.</w:t>
      </w:r>
      <w:r>
        <w:t xml:space="preserve"> Mit P3 bleibt von drei Lagerstufen eine, und die Ein- und Auslagerungen sinken von sechs auf zwei. Toyota senkte mit Kanban Lagerplatz und Bestand um 30 % und mehr (Hutzler &amp; Fuchs, 2021, S. 48). Zusammen mit häufigeren Abrufen (Block 2) ist das von der Holding auf 30–40 % geschätzte Bestandspotenzial (HWZ, o. J., S. 5) deshalb plausibel erreichbar, unter Annahme A21. Das automatisierte Zentrallager ist die Voraussetzung für das Personalziel der Kommissionierung (Block 4).</w:t>
      </w:r>
    </w:p>
    <w:p w14:paraId="28263BE4" w14:textId="77777777" w:rsidR="00D806ED" w:rsidRDefault="00000000">
      <w:pPr>
        <w:pStyle w:val="Textkrper"/>
      </w:pPr>
      <w:r>
        <w:rPr>
          <w:b/>
          <w:bCs/>
        </w:rPr>
        <w:t>Vor- und Nachteile, Risiken.</w:t>
      </w:r>
      <w:r>
        <w:t xml:space="preserve"> V3 senkt Durchlaufzeit, Bestand und gebundenes Kapital am stärksten. Dafür braucht Grofu Zoll-Know-how, IT und einen Warehouse Keeper und unterliegt risikobasierten Audits </w:t>
      </w:r>
      <w:r>
        <w:rPr/>
        <w:t xml:space="preserve">(Invest India, o. J., FAQ 5, 12).</w:t>
      </w:r>
      <w:r>
        <w:rPr>
          <w:shd w:val="clear" w:color="auto" w:fill="DDEBF7"/>
        </w:rPr>
        <w:t xml:space="preserve"> Weil Lager 1 zu 97 % Inlandware führt, wird der Zollverschluss als abgegrenzter Bereich mit eigenem Lagerort im Lagerverwaltungssystem geführt; nur Importware wird dort eingelagert und erst bei Entnahme verzollt (Annahme A8).</w:t>
      </w:r>
      <w:r>
        <w:t xml:space="preserve"> Gegen das Standortrisiko durch konzentrierten Bestand helfen ein Notfallkonzept, ein zweiter Hafen und Dual Sourcing kritischer A-Teile. Der Landvorlauf ist mit Frachtofferten zu prüfen (Annahme A30). Weil kleine Kanban-Puffer störanfällig sind (Hutzler &amp; Fuchs, 2021, S. 48), wird Lager 2 erst abgebaut, wenn die Supermarkt-Reichweite stabil unter drei Tagen liegt.</w:t>
      </w:r>
      <w:bookmarkEnd w:id="35"/>
      <w:bookmarkEnd w:id="42"/>
    </w:p>
    <w:p w14:paraId="5DD45326" w14:textId="39A40659" w:rsidR="00D806ED" w:rsidRDefault="00000000">
      <w:pPr>
        <w:pStyle w:val="berschrift1"/>
        <w:pageBreakBefore/>
      </w:pPr>
      <w:bookmarkStart w:id="46" w:name="Xbfcdb45b0d12efe596ece64c71de0ece215d195"/>
      <w:bookmarkStart w:id="47" w:name="_Toc243825039"/>
      <w:r>
        <w:lastRenderedPageBreak/>
        <w:t>Block 2 – Beiträge der operativen Beschaffung</w:t>
      </w:r>
      <w:bookmarkEnd w:id="47"/>
    </w:p>
    <w:p w14:paraId="3586B0EC" w14:textId="77777777" w:rsidR="00D806ED" w:rsidRDefault="00000000">
      <w:pPr>
        <w:pStyle w:val="FirstParagraph"/>
      </w:pPr>
      <w:r>
        <w:t xml:space="preserve">Die operative Beschaffung (Disposition, Bestellabwicklung, Lieferantensteuerung, Wareneingang) wirkt über Materialaufwand, Vorräte und Zahlungsfristen direkt auf den ROI (Hutzler &amp; Fuchs, 2021, S. 33). </w:t>
      </w:r>
      <w:r>
        <w:rPr>
          <w:b/>
          <w:bCs/>
        </w:rPr>
        <w:t>Servicegrad</w:t>
      </w:r>
      <w:r>
        <w:t xml:space="preserve"> bedeutet hier den Versorgungsgrad der Produktion, also den Anteil der Bedarfe, die ohne Fehlteil termingerecht bereitstehen.</w:t>
      </w:r>
    </w:p>
    <w:p w14:paraId="0B3E1897" w14:textId="77777777" w:rsidR="00D806ED" w:rsidRDefault="00000000">
      <w:pPr>
        <w:pStyle w:val="berschrift2"/>
      </w:pPr>
      <w:bookmarkStart w:id="48" w:name="segmentierung-als-grundlage"/>
      <w:bookmarkStart w:id="49" w:name="_Toc243825040"/>
      <w:r>
        <w:t>Segmentierung als Grundlage</w:t>
      </w:r>
      <w:bookmarkEnd w:id="49"/>
    </w:p>
    <w:p w14:paraId="68421DF0" w14:textId="77777777" w:rsidR="00D806ED" w:rsidRDefault="00000000">
      <w:pPr>
        <w:pStyle w:val="FirstParagraph"/>
      </w:pPr>
      <w:r>
        <w:t xml:space="preserve">Statt einer Einheitsstrategie steuert Grofu die Beschaffung nach ABC-Klasse, Planbarkeit und Herkunft (Hutzler &amp; Fuchs, 2021, S. 35). Weil Verbrauchszeitreihen fehlen, ersetzt die Bestellhäufigkeit die XYZ-Analyse (Abbildung 8). Daraus folgen drei Stossrichtungen (Normstrategien im Detail: </w:t>
      </w:r>
      <w:r>
        <w:rPr>
          <w:shd w:val="clear" w:color="auto" w:fill="DDEBF7"/>
        </w:rPr>
        <w:t xml:space="preserve">Tabelle 19 im Anhang</w:t>
      </w:r>
      <w:r>
        <w:t xml:space="preserve">): Für </w:t>
      </w:r>
      <w:r>
        <w:rPr>
          <w:b/>
          <w:bCs/>
        </w:rPr>
        <w:t>A- und B-Teile</w:t>
      </w:r>
      <w:r>
        <w:t xml:space="preserve"> gelten Rahmenvertrag und JIT- bzw. Kanban-Abrufe. </w:t>
      </w:r>
      <w:r>
        <w:rPr>
          <w:b/>
          <w:bCs/>
        </w:rPr>
        <w:t>Lokale C-Teile</w:t>
      </w:r>
      <w:r>
        <w:t xml:space="preserve"> laufen über C-Teile-Management mit Konsignation und Abrechnung nach Verbrauch direkt an den Verbauort. </w:t>
      </w:r>
      <w:r>
        <w:rPr>
          <w:b/>
          <w:bCs/>
        </w:rPr>
        <w:t>C-Teile aus Übersee</w:t>
      </w:r>
      <w:r>
        <w:t xml:space="preserve"> werden am Ursprung konsolidiert, als Sammelcontainer in den Zollverschluss geliefert und im Zentrallager mit Sicherheitsbestand geführt (Block 1).</w:t>
      </w:r>
      <w:bookmarkEnd w:id="48"/>
    </w:p>
    <w:p w14:paraId="4B836C29" w14:textId="77777777" w:rsidR="00D806ED" w:rsidRDefault="00000000">
      <w:pPr>
        <w:pStyle w:val="berschrift2"/>
      </w:pPr>
      <w:bookmarkStart w:id="50" w:name="beiträge-zu-den-vier-zielen"/>
      <w:bookmarkStart w:id="51" w:name="_Toc243825041"/>
      <w:r>
        <w:t>Beiträge zu den vier Zielen</w:t>
      </w:r>
      <w:bookmarkEnd w:id="51"/>
    </w:p>
    <w:p w14:paraId="0BD930EC" w14:textId="77777777" w:rsidR="00D806ED" w:rsidRDefault="00000000">
      <w:pPr>
        <w:pStyle w:val="FirstParagraph"/>
      </w:pPr>
      <w:r>
        <w:t>Tabelle 4 ordnet jedem der vier Ziele konkrete Beiträge der operativen Beschaffung zu.</w:t>
      </w:r>
    </w:p>
    <w:p w14:paraId="263680EA" w14:textId="0EDEB690" w:rsidR="00D806ED" w:rsidRDefault="00000000">
      <w:pPr>
        <w:pStyle w:val="Beschriftung"/>
        <w:keepNext/>
      </w:pPr>
      <w:bookmarkStart w:id="52" w:name="_Toc243824211"/>
      <w:r>
        <w:t xml:space="preserve">Tabelle </w:t>
      </w:r>
      <w:fldSimple w:instr=" SEQ Tabelle \* ARABIC ">
        <w:r>
          <w:rPr>
            <w:noProof/>
          </w:rPr>
          <w:t>4</w:t>
        </w:r>
      </w:fldSimple>
      <w:r>
        <w:t>: Beiträge der operativen Beschaffung zu den vier Zielen</w:t>
      </w:r>
      <w:bookmarkEnd w:id="52"/>
    </w:p>
    <w:tbl>
      <w:tblPr>
        <w:tblStyle w:val="Tabellenraster"/>
        <w:tblW w:w="9069" w:type="dxa"/>
        <w:tblInd w:w="113" w:type="dxa"/>
        <w:tblLayout w:type="fixed"/>
        <w:tblLook w:val="0020" w:firstRow="1" w:lastRow="0" w:firstColumn="0" w:lastColumn="0" w:noHBand="0" w:noVBand="0"/>
      </w:tblPr>
      <w:tblGrid>
        <w:gridCol w:w="2477"/>
        <w:gridCol w:w="3496"/>
        <w:gridCol w:w="3096"/>
      </w:tblGrid>
      <w:tr w:rsidR="00D806ED" w14:paraId="780D284E" w14:textId="77777777">
        <w:trPr>
          <w:tblHeader/>
        </w:trPr>
        <w:tc>
          <w:tcPr>
            <w:tcW w:w="2477" w:type="dxa"/>
            <w:shd w:val="clear" w:color="auto" w:fill="D9D9D9"/>
          </w:tcPr>
          <w:p w14:paraId="13FC46CF" w14:textId="77777777" w:rsidR="00D806ED" w:rsidRDefault="00000000">
            <w:pPr>
              <w:pStyle w:val="Tabelleninhalt"/>
            </w:pPr>
            <w:r>
              <w:rPr>
                <w:b/>
              </w:rPr>
              <w:t>Ziel</w:t>
            </w:r>
          </w:p>
        </w:tc>
        <w:tc>
          <w:tcPr>
            <w:tcW w:w="3496" w:type="dxa"/>
            <w:shd w:val="clear" w:color="auto" w:fill="D9D9D9"/>
          </w:tcPr>
          <w:p w14:paraId="503536B5" w14:textId="77777777" w:rsidR="00D806ED" w:rsidRDefault="00000000">
            <w:pPr>
              <w:pStyle w:val="Tabelleninhalt"/>
            </w:pPr>
            <w:r>
              <w:rPr>
                <w:b/>
              </w:rPr>
              <w:t>Konkrete Beiträge der operativen Beschaffung</w:t>
            </w:r>
          </w:p>
        </w:tc>
        <w:tc>
          <w:tcPr>
            <w:tcW w:w="3096" w:type="dxa"/>
            <w:shd w:val="clear" w:color="auto" w:fill="D9D9D9"/>
          </w:tcPr>
          <w:p w14:paraId="2480B0D9" w14:textId="77777777" w:rsidR="00D806ED" w:rsidRDefault="00000000">
            <w:pPr>
              <w:pStyle w:val="Tabelleninhalt"/>
            </w:pPr>
            <w:r>
              <w:rPr>
                <w:b/>
              </w:rPr>
              <w:t xml:space="preserve">Wirkung bei Grofu</w:t>
            </w:r>
          </w:p>
        </w:tc>
      </w:tr>
      <w:tr w:rsidR="00D806ED" w14:paraId="6436D420" w14:textId="77777777">
        <w:trPr>
          <w:cantSplit/>
        </w:trPr>
        <w:tc>
          <w:tcPr>
            <w:tcW w:w="2477" w:type="dxa"/>
          </w:tcPr>
          <w:p w14:paraId="2BD0305F" w14:textId="77777777" w:rsidR="00D806ED" w:rsidRDefault="00000000">
            <w:pPr>
              <w:pStyle w:val="Tabelleninhalt"/>
            </w:pPr>
            <w:r>
              <w:rPr>
                <w:b/>
                <w:bCs/>
              </w:rPr>
              <w:t>Niedrige Beschaffungskosten</w:t>
            </w:r>
          </w:p>
        </w:tc>
        <w:tc>
          <w:tcPr>
            <w:tcW w:w="3496" w:type="dxa"/>
          </w:tcPr>
          <w:p w14:paraId="6CDC860C" w14:textId="77777777" w:rsidR="00D806ED" w:rsidRDefault="00000000">
            <w:pPr>
              <w:pStyle w:val="Tabelleninhalt"/>
            </w:pPr>
            <w:r>
              <w:t xml:space="preserve">(1) </w:t>
            </w:r>
            <w:r>
              <w:rPr>
                <w:b/>
                <w:bCs/>
              </w:rPr>
              <w:t>C-Teile-Management</w:t>
            </w:r>
            <w:r>
              <w:t xml:space="preserve">: 2–3 Elektronik-Distributoren übernehmen Disposition, Anlieferung und Abrechnung (Hutzler &amp; Fuchs, 2021, S. 38). (2) </w:t>
            </w:r>
            <w:r>
              <w:rPr>
                <w:b/>
                <w:bCs/>
              </w:rPr>
              <w:t>Lieferantenbasis reduzieren</w:t>
            </w:r>
            <w:r>
              <w:t xml:space="preserve"> und </w:t>
            </w:r>
            <w:r>
              <w:rPr>
                <w:b/>
                <w:bCs/>
              </w:rPr>
              <w:t>Pooling</w:t>
            </w:r>
            <w:r>
              <w:t xml:space="preserve"> der Bedarfe von altem und neuem Werk (S. 40, 67). (3) </w:t>
            </w:r>
            <w:r>
              <w:rPr>
                <w:b/>
                <w:bCs/>
              </w:rPr>
              <w:t>Wertanalyse</w:t>
            </w:r>
            <w:r>
              <w:t xml:space="preserve"> mit den A-Lieferanten (S. 41). (4) Bestellung, Lieferavis und Rechnung per </w:t>
            </w:r>
            <w:r>
              <w:rPr>
                <w:b/>
                <w:bCs/>
              </w:rPr>
              <w:t>EDI</w:t>
            </w:r>
            <w:r>
              <w:t>.</w:t>
            </w:r>
          </w:p>
        </w:tc>
        <w:tc>
          <w:tcPr>
            <w:tcW w:w="3096" w:type="dxa"/>
          </w:tcPr>
          <w:p w14:paraId="630F7CE2" w14:textId="77777777" w:rsidR="00D806ED" w:rsidRDefault="00000000">
            <w:pPr>
              <w:pStyle w:val="Tabelleninhalt"/>
            </w:pPr>
            <w:r>
              <w:t>Rund 44 000 Bestellvorgänge pro Jahr weniger (Annahme A31). Die Lieferantenbasis sinkt von 620 auf 150–200 (Annahme A32). Das erfüllt die Vorgabe, Lieferantenkontakte zu reduzieren (HWZ, o. J., S. 5).</w:t>
            </w:r>
          </w:p>
        </w:tc>
      </w:tr>
      <w:tr w:rsidR="00D806ED" w14:paraId="2035F528" w14:textId="77777777">
        <w:trPr>
          <w:cantSplit/>
        </w:trPr>
        <w:tc>
          <w:tcPr>
            <w:tcW w:w="2477" w:type="dxa"/>
          </w:tcPr>
          <w:p w14:paraId="2674AA4A" w14:textId="77777777" w:rsidR="00D806ED" w:rsidRDefault="00000000">
            <w:pPr>
              <w:pStyle w:val="Tabelleninhalt"/>
            </w:pPr>
            <w:r>
              <w:rPr>
                <w:b/>
                <w:bCs/>
              </w:rPr>
              <w:t>Qualitätssicherung</w:t>
            </w:r>
          </w:p>
        </w:tc>
        <w:tc>
          <w:tcPr>
            <w:tcW w:w="3496" w:type="dxa"/>
          </w:tcPr>
          <w:p w14:paraId="64B5AA7A" w14:textId="77777777" w:rsidR="00D806ED" w:rsidRDefault="00000000">
            <w:pPr>
              <w:pStyle w:val="Tabelleninhalt"/>
            </w:pPr>
            <w:r>
              <w:t xml:space="preserve">(1) </w:t>
            </w:r>
            <w:r>
              <w:rPr>
                <w:b/>
                <w:bCs/>
              </w:rPr>
              <w:t>QSV</w:t>
            </w:r>
            <w:r>
              <w:t xml:space="preserve"> mit A/B-Lieferanten: Der Lieferant prüft am Ausgang, </w:t>
            </w:r>
            <w:r>
              <w:rPr>
                <w:shd w:val="clear" w:color="auto" w:fill="DDEBF7"/>
              </w:rPr>
              <w:t xml:space="preserve">der Abnehmer verzichtet auf die Wareneingangskontrolle (Hutzler &amp; Fuchs, 2021, S. 67). Bis die Lose stabil sind, gilt als Übergang eine reduzierte Stichprobenprüfung (Skip-Lot, eigene Ergänzung)</w:t>
            </w:r>
            <w:r>
              <w:t xml:space="preserve">. (2) </w:t>
            </w:r>
            <w:r>
              <w:rPr>
                <w:b/>
                <w:bCs/>
              </w:rPr>
              <w:t>Lieferantenbewertung</w:t>
            </w:r>
            <w:r>
              <w:t xml:space="preserve"> nach Qualität, Termin- und Mengentreue (S. 40). (3) </w:t>
            </w:r>
            <w:r>
              <w:rPr>
                <w:b/>
                <w:bCs/>
              </w:rPr>
              <w:t>Lieferantenentwicklung</w:t>
            </w:r>
            <w:r>
              <w:t xml:space="preserve"> für Lieferanten, die heute «aus Qualitätsgründen» Rohware erhalten (HWZ, o. J., S. 3). (4) Chargenrückverfolgung im EDI-Lieferavis.</w:t>
            </w:r>
          </w:p>
        </w:tc>
        <w:tc>
          <w:tcPr>
            <w:tcW w:w="3096" w:type="dxa"/>
          </w:tcPr>
          <w:p w14:paraId="285A031B" w14:textId="77777777" w:rsidR="00D806ED" w:rsidRDefault="00000000">
            <w:pPr>
              <w:pStyle w:val="Tabelleninhalt"/>
            </w:pPr>
            <w:r>
              <w:t>Geprüft wird dort, wo Fehler entstehen. Der schnellere Wareneingang ist die Voraussetzung für JIT (Hutzler &amp; Fuchs, 2021, S. 37), und die Beistellung von Rohware entfällt.</w:t>
            </w:r>
          </w:p>
        </w:tc>
      </w:tr>
      <w:tr w:rsidR="00D806ED" w14:paraId="05FA3B53" w14:textId="77777777">
        <w:trPr>
          <w:cantSplit/>
        </w:trPr>
        <w:tc>
          <w:tcPr>
            <w:tcW w:w="2477" w:type="dxa"/>
          </w:tcPr>
          <w:p w14:paraId="510ACAE9" w14:textId="77777777" w:rsidR="00D806ED" w:rsidRDefault="00000000">
            <w:pPr>
              <w:pStyle w:val="Tabelleninhalt"/>
            </w:pPr>
            <w:r>
              <w:rPr>
                <w:b/>
                <w:bCs/>
              </w:rPr>
              <w:lastRenderedPageBreak/>
              <w:t>Hoher Servicegrad</w:t>
            </w:r>
          </w:p>
        </w:tc>
        <w:tc>
          <w:tcPr>
            <w:tcW w:w="3496" w:type="dxa"/>
          </w:tcPr>
          <w:p w14:paraId="26171C25" w14:textId="77777777" w:rsidR="00D806ED" w:rsidRDefault="00000000">
            <w:pPr>
              <w:pStyle w:val="Tabelleninhalt"/>
            </w:pPr>
            <w:r>
              <w:t xml:space="preserve">(1) </w:t>
            </w:r>
            <w:r>
              <w:rPr>
                <w:b/>
                <w:bCs/>
              </w:rPr>
              <w:t>Rollierende Bedarfsvorschau</w:t>
            </w:r>
            <w:r>
              <w:t xml:space="preserve"> per EDI statt Jahresbudget, gegen den Bullwhip-Effekt (Lee et al., 1997). (2) </w:t>
            </w:r>
            <w:r>
              <w:rPr>
                <w:b/>
                <w:bCs/>
              </w:rPr>
              <w:t>Dual Sourcing</w:t>
            </w:r>
            <w:r>
              <w:t xml:space="preserve"> für versorgungskritische A-Teile (Hutzler &amp; Fuchs, 2021, S. 65). (3) Sicherheitsbestand nach Planbarkeit statt pauschal. (4) Liefertreue wöchentlich messen; zweiter Importhafen als Ausweichroute.</w:t>
            </w:r>
          </w:p>
        </w:tc>
        <w:tc>
          <w:tcPr>
            <w:tcW w:w="3096" w:type="dxa"/>
          </w:tcPr>
          <w:p w14:paraId="5F9F8690" w14:textId="77777777" w:rsidR="00D806ED" w:rsidRDefault="00000000">
            <w:pPr>
              <w:pStyle w:val="Tabelleninhalt"/>
            </w:pPr>
            <w:r>
              <w:t>Weniger Fehlteile und damit weniger ungeplante SFG-Fertigung (HWZ, o. J., S. 3). Das stützt das Liefertreue-Ziel im Anlagenbau (Block 3).</w:t>
            </w:r>
          </w:p>
        </w:tc>
      </w:tr>
      <w:tr w:rsidR="00D806ED" w14:paraId="2899D4EA" w14:textId="77777777">
        <w:trPr>
          <w:cantSplit/>
        </w:trPr>
        <w:tc>
          <w:tcPr>
            <w:tcW w:w="2477" w:type="dxa"/>
          </w:tcPr>
          <w:p w14:paraId="6BC2A00A" w14:textId="77777777" w:rsidR="00D806ED" w:rsidRDefault="00000000">
            <w:pPr>
              <w:pStyle w:val="Tabelleninhalt"/>
              <w:keepNext/>
            </w:pPr>
            <w:r>
              <w:rPr>
                <w:b/>
                <w:bCs/>
              </w:rPr>
              <w:t>Geringer Kapitalbedarf</w:t>
            </w:r>
          </w:p>
        </w:tc>
        <w:tc>
          <w:tcPr>
            <w:tcW w:w="3496" w:type="dxa"/>
          </w:tcPr>
          <w:p w14:paraId="24828503" w14:textId="77777777" w:rsidR="00D806ED" w:rsidRDefault="00000000">
            <w:pPr>
              <w:pStyle w:val="Tabelleninhalt"/>
              <w:keepNext/>
            </w:pPr>
            <w:r>
              <w:t xml:space="preserve">(1) </w:t>
            </w:r>
            <w:r>
              <w:rPr>
                <w:b/>
                <w:bCs/>
              </w:rPr>
              <w:t>Häufigere Abrufe</w:t>
            </w:r>
            <w:r>
              <w:t xml:space="preserve">: A-Teile 24-mal, B-Teile 12-mal pro Jahr. (2) </w:t>
            </w:r>
            <w:r>
              <w:rPr>
                <w:b/>
                <w:bCs/>
              </w:rPr>
              <w:t>Konsignationslager</w:t>
            </w:r>
            <w:r>
              <w:t xml:space="preserve"> für lokale A-Lieferanten (Hutzler &amp; Fuchs, 2021, S. 66). (3) </w:t>
            </w:r>
            <w:r>
              <w:rPr>
                <w:b/>
                <w:bCs/>
              </w:rPr>
              <w:t>C-Teile-Management</w:t>
            </w:r>
            <w:r>
              <w:t xml:space="preserve"> mit Abrechnung nach Verbrauch (S. 38) und längere Zahlungsziele (S. 33). (4) Zollaufschub im Zollverschluss (Block 1).</w:t>
            </w:r>
          </w:p>
        </w:tc>
        <w:tc>
          <w:tcPr>
            <w:tcW w:w="3096" w:type="dxa"/>
          </w:tcPr>
          <w:p w14:paraId="3E3594CA" w14:textId="77777777" w:rsidR="00D806ED" w:rsidRDefault="00000000">
            <w:pPr>
              <w:pStyle w:val="Tabelleninhalt"/>
              <w:keepNext/>
            </w:pPr>
            <w:r>
              <w:t xml:space="preserve">Der Losgrössenbestand sinkt um rund 83 %, </w:t>
            </w:r>
            <w:r>
              <w:rPr>
                <w:shd w:val="clear" w:color="auto" w:fill="DDEBF7"/>
              </w:rPr>
              <w:t xml:space="preserve">der Gesamtbestand um 30–41 % (Tabelle 15)</w:t>
            </w:r>
            <w:r>
              <w:t xml:space="preserve">. Das von der Holding geschätzte Potenzial von 30–40 % (HWZ, o. J., S. 5) ist damit plausibel erreichbar, aber nur unter Annahme A21.</w:t>
            </w:r>
          </w:p>
        </w:tc>
      </w:tr>
    </w:tbl>
    <w:p w14:paraId="3089CC15" w14:textId="77777777" w:rsidR="00D806ED" w:rsidRDefault="00000000">
      <w:pPr>
        <w:pStyle w:val="Quellenangabe"/>
      </w:pPr>
      <w:r>
        <w:t xml:space="preserve">Quelle: Eigene Darstellung. Daten: </w:t>
      </w:r>
      <w:r>
        <w:rPr>
          <w:i/>
          <w:iCs/>
        </w:rPr>
        <w:t>Daten-ABC-Analyse-Grofu</w:t>
      </w:r>
      <w:r>
        <w:t xml:space="preserve"> (o. J.).</w:t>
      </w:r>
      <w:bookmarkEnd w:id="50"/>
    </w:p>
    <w:p w14:paraId="31670883" w14:textId="77777777" w:rsidR="00D806ED" w:rsidRDefault="00000000">
      <w:pPr>
        <w:pStyle w:val="berschrift2"/>
      </w:pPr>
      <w:bookmarkStart w:id="53" w:name="zielkonflikte-und-ihre-auflösung"/>
      <w:bookmarkStart w:id="54" w:name="_Toc243825042"/>
      <w:r>
        <w:t>Zielkonflikte und ihre Auflösung</w:t>
      </w:r>
      <w:bookmarkEnd w:id="54"/>
    </w:p>
    <w:p w14:paraId="58BE5CFC" w14:textId="77777777" w:rsidR="00D806ED" w:rsidRDefault="00000000">
      <w:pPr>
        <w:pStyle w:val="Compact"/>
        <w:numPr>
          <w:ilvl w:val="0"/>
          <w:numId w:val="4"/>
        </w:numPr>
      </w:pPr>
      <w:r>
        <w:rPr>
          <w:b/>
          <w:bCs/>
        </w:rPr>
        <w:t>Kosten vs. Kapital:</w:t>
      </w:r>
      <w:r>
        <w:t xml:space="preserve"> Grosse Lose senken die Preise, binden aber Kapital. Der Rahmenvertrag trennt beides: Er sichert den Preis über die Jahresmenge, und die Abrufe bleiben klein.</w:t>
      </w:r>
    </w:p>
    <w:p w14:paraId="1A020FC2" w14:textId="77777777" w:rsidR="00D806ED" w:rsidRDefault="00000000">
      <w:pPr>
        <w:pStyle w:val="Compact"/>
        <w:numPr>
          <w:ilvl w:val="0"/>
          <w:numId w:val="4"/>
        </w:numPr>
      </w:pPr>
      <w:r>
        <w:rPr>
          <w:b/>
          <w:bCs/>
        </w:rPr>
        <w:t>Kosten vs. Versorgungsrisiko:</w:t>
      </w:r>
      <w:r>
        <w:t xml:space="preserve"> Single Sourcing senkt Komplexität und Gesamtkosten und verzichtet dafür bewusst auf kurzfristige Preisvorteile. Es erhöht aber die Abhängigkeit (Hutzler &amp; Fuchs, 2021, S. 36, 38). Deshalb gilt Single Sourcing für C-Teile, Dual Sourcing nur für kritische A-Teile.</w:t>
      </w:r>
    </w:p>
    <w:p w14:paraId="5C2341A5" w14:textId="77777777" w:rsidR="00D806ED" w:rsidRDefault="00000000">
      <w:pPr>
        <w:pStyle w:val="Compact"/>
        <w:numPr>
          <w:ilvl w:val="0"/>
          <w:numId w:val="4"/>
        </w:numPr>
      </w:pPr>
      <w:r>
        <w:rPr>
          <w:b/>
          <w:bCs/>
        </w:rPr>
        <w:t>Servicegrad vs. Kapital:</w:t>
      </w:r>
      <w:r>
        <w:t xml:space="preserve"> Der Sicherheitsbestand richtet sich nach der Planbarkeit, die der geteilte Forecast verbessert.</w:t>
      </w:r>
    </w:p>
    <w:p w14:paraId="4F9A2B4F" w14:textId="77777777" w:rsidR="00D806ED" w:rsidRDefault="00000000">
      <w:pPr>
        <w:pStyle w:val="Compact"/>
        <w:numPr>
          <w:ilvl w:val="0"/>
          <w:numId w:val="4"/>
        </w:numPr>
      </w:pPr>
      <w:r>
        <w:rPr>
          <w:b/>
          <w:bCs/>
        </w:rPr>
        <w:t>Qualität vs. Kosten:</w:t>
      </w:r>
      <w:r>
        <w:t xml:space="preserve"> Audits und Lieferantenentwicklung kosten anfangs Geld. Dafür entfallen dauerhaft Wareneingangsprüfung und Beistellung. Ein Lieferantenwechsel ist erst der letzte Schritt (S. 40).</w:t>
      </w:r>
    </w:p>
    <w:p w14:paraId="687C63C4" w14:textId="77777777" w:rsidR="00D806ED" w:rsidRDefault="00000000">
      <w:pPr>
        <w:pStyle w:val="FirstParagraph"/>
      </w:pPr>
      <w:r>
        <w:rPr>
          <w:b/>
          <w:bCs/>
        </w:rPr>
        <w:t>Grenzen.</w:t>
      </w:r>
      <w:r>
        <w:t xml:space="preserve"> Das C-Teile-Management schafft Abhängigkeit von wenigen Distributoren; die Bestandswirkung ist modelliert und im Pilot zu bestätigen.</w:t>
      </w:r>
      <w:bookmarkEnd w:id="46"/>
      <w:bookmarkEnd w:id="53"/>
    </w:p>
    <w:p w14:paraId="070C4FE4" w14:textId="1E330470" w:rsidR="00D806ED" w:rsidRDefault="00000000">
      <w:pPr>
        <w:pStyle w:val="berschrift1"/>
        <w:pageBreakBefore/>
      </w:pPr>
      <w:bookmarkStart w:id="55" w:name="_Toc243825043"/>
      <w:r>
        <w:lastRenderedPageBreak/>
        <w:t>Block 3: Produktionslogistik</w:t>
      </w:r>
      <w:bookmarkEnd w:id="55"/>
    </w:p>
    <w:p w14:paraId="7E6190B3" w14:textId="77777777" w:rsidR="00D806ED" w:rsidRDefault="00000000">
      <w:pPr>
        <w:pStyle w:val="FirstParagraph"/>
      </w:pPr>
      <w:r>
        <w:t xml:space="preserve">Die Produktionslogistik plant, steuert und überwacht den Material- und Informationsfluss über alle Produktionsstufen bis zum Versand (Hutzler &amp; Fuchs, 2021, S. 43). Heute fertigt Grofu die SFG auf Lager nach Budgetprognose und stellt das Material über zwei Lagerstufen bereit (Abbildung 1). Die Anlagenbau-Kunden verlangen dagegen kundenspezifische Module mit hoher Termintreue (HWZ, o. J., S. 6). Dieses Kapitel beschreibt den Soll-Zustand auf Werksebene. Die Netzwerkebene zeigt Abbildung 2.</w:t>
      </w:r>
    </w:p>
    <w:p w14:paraId="7FF9300A" w14:textId="77777777" w:rsidR="00D806ED" w:rsidRDefault="00000000">
      <w:pPr>
        <w:pStyle w:val="berschrift2"/>
      </w:pPr>
      <w:bookmarkStart w:id="56" w:name="wahl-der-produktionsform"/>
      <w:bookmarkStart w:id="57" w:name="_Toc243825044"/>
      <w:r>
        <w:t>Wahl der Produktionsform</w:t>
      </w:r>
      <w:bookmarkEnd w:id="57"/>
    </w:p>
    <w:p w14:paraId="15B4EA25" w14:textId="77777777" w:rsidR="00D806ED" w:rsidRDefault="00000000">
      <w:pPr>
        <w:pStyle w:val="FirstParagraph"/>
      </w:pPr>
      <w:r>
        <w:t xml:space="preserve">Die drei Segmente stellen sehr verschiedene Anforderungen. Deshalb wird </w:t>
      </w:r>
      <w:r>
        <w:rPr>
          <w:b/>
          <w:bCs/>
        </w:rPr>
        <w:t>je Segment</w:t>
      </w:r>
      <w:r>
        <w:t xml:space="preserve"> entschieden. Für jedes Segment wird zuerst die Fertigungsart nach Menge und Auftragsbezug bestimmt (Hutzler &amp; Fuchs, 2021, S. 44–46). Danach werden die Ablaufprinzipien Werkstatt, Insel bzw. Montagezelle und Fliess bzw. Takt (S. 44–47) per Nutzwertanalyse verglichen. Die Kriterien stammen aus den Einflussgrössen des Skripts (S. 43). Gewichtet sind sie je Segment nach dem, was dort zählt: Termintreue im Anlagenbau, Produktivität bei den Endgeräten. Das Ergebnis zeigt Tabelle 5; Kriterien, Gewichte und Punkte </w:t>
      </w:r>
      <w:r>
        <w:rPr>
          <w:shd w:val="clear" w:color="auto" w:fill="DDEBF7"/>
        </w:rPr>
        <w:t xml:space="preserve">stehen in Tabelle 20.</w:t>
      </w:r>
    </w:p>
    <w:p w14:paraId="58874051" w14:textId="3910AEAF" w:rsidR="00D806ED" w:rsidRDefault="00000000">
      <w:pPr>
        <w:pStyle w:val="Beschriftung"/>
        <w:keepNext/>
      </w:pPr>
      <w:bookmarkStart w:id="58" w:name="_Toc243824212"/>
      <w:r>
        <w:t xml:space="preserve">Tabelle </w:t>
      </w:r>
      <w:fldSimple w:instr=" SEQ Tabelle \* ARABIC ">
        <w:r>
          <w:rPr>
            <w:noProof/>
          </w:rPr>
          <w:t>5</w:t>
        </w:r>
      </w:fldSimple>
      <w:r>
        <w:t>: Fertigungsart und Ablaufprinzip je Segment (Nutzwerte, Skala 1–5)</w:t>
      </w:r>
      <w:bookmarkEnd w:id="58"/>
    </w:p>
    <w:tbl>
      <w:tblPr>
        <w:tblStyle w:val="Tabellenraster"/>
        <w:tblW w:w="9068" w:type="dxa"/>
        <w:tblInd w:w="70" w:type="dxa"/>
        <w:tblLayout w:type="fixed"/>
        <w:tblCellMar>
          <w:left w:w="65" w:type="dxa"/>
          <w:right w:w="65" w:type="dxa"/>
        </w:tblCellMar>
        <w:tblLook w:val="0020" w:firstRow="1" w:lastRow="0" w:firstColumn="0" w:lastColumn="0" w:noHBand="0" w:noVBand="0"/>
      </w:tblPr>
      <w:tblGrid>
        <w:gridCol w:w="1750"/>
        <w:gridCol w:w="2323"/>
        <w:gridCol w:w="986"/>
        <w:gridCol w:w="1177"/>
        <w:gridCol w:w="1177"/>
        <w:gridCol w:w="1655"/>
      </w:tblGrid>
      <w:tr w:rsidR="00D806ED" w14:paraId="1A139E4D" w14:textId="77777777">
        <w:trPr>
          <w:tblHeader/>
        </w:trPr>
        <w:tc>
          <w:tcPr>
            <w:tcW w:w="1750" w:type="dxa"/>
            <w:shd w:val="clear" w:color="auto" w:fill="D9D9D9"/>
          </w:tcPr>
          <w:p w14:paraId="57BB4A14" w14:textId="77777777" w:rsidR="00D806ED" w:rsidRDefault="00000000">
            <w:pPr>
              <w:pStyle w:val="Tabelleninhaltklein"/>
              <w:keepNext/>
            </w:pPr>
            <w:r>
              <w:rPr>
                <w:b/>
              </w:rPr>
              <w:t>Segment</w:t>
            </w:r>
          </w:p>
        </w:tc>
        <w:tc>
          <w:tcPr>
            <w:tcW w:w="2323" w:type="dxa"/>
            <w:shd w:val="clear" w:color="auto" w:fill="D9D9D9"/>
          </w:tcPr>
          <w:p w14:paraId="4715B543" w14:textId="77777777" w:rsidR="00D806ED" w:rsidRDefault="00000000">
            <w:pPr>
              <w:pStyle w:val="Tabelleninhaltklein"/>
              <w:keepNext/>
            </w:pPr>
            <w:r>
              <w:rPr>
                <w:b/>
              </w:rPr>
              <w:t>Fertigungsart (Menge, Auftragsbezug)</w:t>
            </w:r>
          </w:p>
        </w:tc>
        <w:tc>
          <w:tcPr>
            <w:tcW w:w="986" w:type="dxa"/>
            <w:shd w:val="clear" w:color="auto" w:fill="D9D9D9"/>
          </w:tcPr>
          <w:p w14:paraId="26D79692" w14:textId="77777777" w:rsidR="00D806ED" w:rsidRDefault="00000000">
            <w:pPr>
              <w:pStyle w:val="Tabelleninhaltklein"/>
              <w:keepNext/>
              <w:jc w:val="right"/>
            </w:pPr>
            <w:r>
              <w:rPr>
                <w:b/>
              </w:rPr>
              <w:t>Werkstatt</w:t>
            </w:r>
          </w:p>
        </w:tc>
        <w:tc>
          <w:tcPr>
            <w:tcW w:w="1177" w:type="dxa"/>
            <w:shd w:val="clear" w:color="auto" w:fill="D9D9D9"/>
          </w:tcPr>
          <w:p w14:paraId="37B8209A" w14:textId="77777777" w:rsidR="00D806ED" w:rsidRDefault="00000000">
            <w:pPr>
              <w:pStyle w:val="Tabelleninhaltklein"/>
              <w:keepNext/>
              <w:jc w:val="right"/>
            </w:pPr>
            <w:r>
              <w:rPr>
                <w:b/>
              </w:rPr>
              <w:t>Insel/Zelle</w:t>
            </w:r>
          </w:p>
        </w:tc>
        <w:tc>
          <w:tcPr>
            <w:tcW w:w="1177" w:type="dxa"/>
            <w:shd w:val="clear" w:color="auto" w:fill="D9D9D9"/>
          </w:tcPr>
          <w:p w14:paraId="2DC78B50" w14:textId="77777777" w:rsidR="00D806ED" w:rsidRDefault="00000000">
            <w:pPr>
              <w:pStyle w:val="Tabelleninhaltklein"/>
              <w:keepNext/>
              <w:jc w:val="right"/>
            </w:pPr>
            <w:r>
              <w:rPr>
                <w:b/>
              </w:rPr>
              <w:t>Fliess/Takt</w:t>
            </w:r>
          </w:p>
        </w:tc>
        <w:tc>
          <w:tcPr>
            <w:tcW w:w="1655" w:type="dxa"/>
            <w:shd w:val="clear" w:color="auto" w:fill="D9D9D9"/>
          </w:tcPr>
          <w:p w14:paraId="5B384DF5" w14:textId="77777777" w:rsidR="00D806ED" w:rsidRDefault="00000000">
            <w:pPr>
              <w:pStyle w:val="Tabelleninhaltklein"/>
              <w:keepNext/>
            </w:pPr>
            <w:r>
              <w:rPr>
                <w:b/>
              </w:rPr>
              <w:t>Entscheid</w:t>
            </w:r>
          </w:p>
        </w:tc>
      </w:tr>
      <w:tr w:rsidR="00D806ED" w14:paraId="220D3ADF" w14:textId="77777777">
        <w:trPr>
          <w:cantSplit/>
        </w:trPr>
        <w:tc>
          <w:tcPr>
            <w:tcW w:w="1750" w:type="dxa"/>
          </w:tcPr>
          <w:p w14:paraId="7DACB1D5" w14:textId="77777777" w:rsidR="00D806ED" w:rsidRDefault="00000000">
            <w:pPr>
              <w:pStyle w:val="Tabelleninhaltklein"/>
              <w:keepNext/>
            </w:pPr>
            <w:r>
              <w:t>Anlagenbau-Module</w:t>
            </w:r>
          </w:p>
        </w:tc>
        <w:tc>
          <w:tcPr>
            <w:tcW w:w="2323" w:type="dxa"/>
          </w:tcPr>
          <w:p w14:paraId="652F2B9E" w14:textId="77777777" w:rsidR="00D806ED" w:rsidRDefault="00000000">
            <w:pPr>
              <w:pStyle w:val="Tabelleninhaltklein"/>
              <w:keepNext/>
            </w:pPr>
            <w:r>
              <w:t>Einzel-/Kleinserie, kundenspezifisch, auf Auftrag (MtO/ATO)</w:t>
            </w:r>
          </w:p>
        </w:tc>
        <w:tc>
          <w:tcPr>
            <w:tcW w:w="986" w:type="dxa"/>
          </w:tcPr>
          <w:p w14:paraId="5DA93453" w14:textId="77777777" w:rsidR="00D806ED" w:rsidRDefault="00000000">
            <w:pPr>
              <w:pStyle w:val="Tabelleninhaltklein"/>
              <w:keepNext/>
              <w:jc w:val="right"/>
            </w:pPr>
            <w:r>
              <w:rPr>
                <w:shd w:val="clear" w:color="auto" w:fill="DDEBF7"/>
              </w:rPr>
              <w:t xml:space="preserve">3,25</w:t>
            </w:r>
          </w:p>
        </w:tc>
        <w:tc>
          <w:tcPr>
            <w:tcW w:w="1177" w:type="dxa"/>
          </w:tcPr>
          <w:p w14:paraId="3F492B85" w14:textId="77777777" w:rsidR="00D806ED" w:rsidRDefault="00000000">
            <w:pPr>
              <w:pStyle w:val="Tabelleninhaltklein"/>
              <w:keepNext/>
              <w:jc w:val="right"/>
            </w:pPr>
            <w:r>
              <w:rPr>
                <w:b/>
                <w:bCs/>
              </w:rPr>
              <w:t>3,90</w:t>
            </w:r>
          </w:p>
        </w:tc>
        <w:tc>
          <w:tcPr>
            <w:tcW w:w="1177" w:type="dxa"/>
          </w:tcPr>
          <w:p w14:paraId="75175F36" w14:textId="77777777" w:rsidR="00D806ED" w:rsidRDefault="00000000">
            <w:pPr>
              <w:pStyle w:val="Tabelleninhaltklein"/>
              <w:keepNext/>
              <w:jc w:val="right"/>
            </w:pPr>
            <w:r>
              <w:rPr>
                <w:shd w:val="clear" w:color="auto" w:fill="DDEBF7"/>
              </w:rPr>
              <w:t xml:space="preserve">2,40</w:t>
            </w:r>
          </w:p>
        </w:tc>
        <w:tc>
          <w:tcPr>
            <w:tcW w:w="1655" w:type="dxa"/>
          </w:tcPr>
          <w:p w14:paraId="1CAC88EA" w14:textId="77777777" w:rsidR="00D806ED" w:rsidRDefault="00000000">
            <w:pPr>
              <w:pStyle w:val="Tabelleninhaltklein"/>
              <w:keepNext/>
            </w:pPr>
            <w:r>
              <w:t>Montagezelle mit Express-Spur</w:t>
            </w:r>
          </w:p>
        </w:tc>
      </w:tr>
      <w:tr w:rsidR="00D806ED" w14:paraId="2221A02F" w14:textId="77777777">
        <w:trPr>
          <w:cantSplit/>
        </w:trPr>
        <w:tc>
          <w:tcPr>
            <w:tcW w:w="1750" w:type="dxa"/>
          </w:tcPr>
          <w:p w14:paraId="709849E3" w14:textId="77777777" w:rsidR="00D806ED" w:rsidRDefault="00000000">
            <w:pPr>
              <w:pStyle w:val="Tabelleninhaltklein"/>
              <w:keepNext/>
            </w:pPr>
            <w:r>
              <w:t>Endgeräte Eigenlabel/OEM</w:t>
            </w:r>
          </w:p>
        </w:tc>
        <w:tc>
          <w:tcPr>
            <w:tcW w:w="2323" w:type="dxa"/>
          </w:tcPr>
          <w:p w14:paraId="1D57713E" w14:textId="77777777" w:rsidR="00D806ED" w:rsidRDefault="00000000">
            <w:pPr>
              <w:pStyle w:val="Tabelleninhaltklein"/>
              <w:keepNext/>
            </w:pPr>
            <w:r>
              <w:t xml:space="preserve">Grossserie, standardisiert; MtS bzw. gegen EDI-Abruf</w:t>
            </w:r>
          </w:p>
        </w:tc>
        <w:tc>
          <w:tcPr>
            <w:tcW w:w="986" w:type="dxa"/>
          </w:tcPr>
          <w:p w14:paraId="3EA02107" w14:textId="77777777" w:rsidR="00D806ED" w:rsidRDefault="00000000">
            <w:pPr>
              <w:pStyle w:val="Tabelleninhaltklein"/>
              <w:keepNext/>
              <w:jc w:val="right"/>
            </w:pPr>
            <w:r>
              <w:t>2,15</w:t>
            </w:r>
          </w:p>
        </w:tc>
        <w:tc>
          <w:tcPr>
            <w:tcW w:w="1177" w:type="dxa"/>
          </w:tcPr>
          <w:p w14:paraId="201FEAA7" w14:textId="77777777" w:rsidR="00D806ED" w:rsidRDefault="00000000">
            <w:pPr>
              <w:pStyle w:val="Tabelleninhaltklein"/>
              <w:keepNext/>
              <w:jc w:val="right"/>
            </w:pPr>
            <w:r>
              <w:t>3,45</w:t>
            </w:r>
          </w:p>
        </w:tc>
        <w:tc>
          <w:tcPr>
            <w:tcW w:w="1177" w:type="dxa"/>
          </w:tcPr>
          <w:p w14:paraId="0379CBBC" w14:textId="77777777" w:rsidR="00D806ED" w:rsidRDefault="00000000">
            <w:pPr>
              <w:pStyle w:val="Tabelleninhaltklein"/>
              <w:keepNext/>
              <w:jc w:val="right"/>
            </w:pPr>
            <w:r>
              <w:rPr>
                <w:b/>
                <w:bCs/>
              </w:rPr>
              <w:t>4,00</w:t>
            </w:r>
          </w:p>
        </w:tc>
        <w:tc>
          <w:tcPr>
            <w:tcW w:w="1655" w:type="dxa"/>
          </w:tcPr>
          <w:p w14:paraId="72898E36" w14:textId="77777777" w:rsidR="00D806ED" w:rsidRDefault="00000000">
            <w:pPr>
              <w:pStyle w:val="Tabelleninhaltklein"/>
              <w:keepNext/>
            </w:pPr>
            <w:r>
              <w:t>Taktlinie</w:t>
            </w:r>
          </w:p>
        </w:tc>
      </w:tr>
      <w:tr w:rsidR="00D806ED" w14:paraId="37B98614" w14:textId="77777777">
        <w:trPr>
          <w:cantSplit/>
        </w:trPr>
        <w:tc>
          <w:tcPr>
            <w:tcW w:w="1750" w:type="dxa"/>
          </w:tcPr>
          <w:p w14:paraId="7F0AFA92" w14:textId="77777777" w:rsidR="00D806ED" w:rsidRDefault="00000000">
            <w:pPr>
              <w:pStyle w:val="Tabelleninhaltklein"/>
              <w:keepNext/>
            </w:pPr>
            <w:r>
              <w:t>SFG neues Werk (~30 % der Teile)</w:t>
            </w:r>
          </w:p>
        </w:tc>
        <w:tc>
          <w:tcPr>
            <w:tcW w:w="2323" w:type="dxa"/>
          </w:tcPr>
          <w:p w14:paraId="633BA886" w14:textId="77777777" w:rsidR="00D806ED" w:rsidRDefault="00000000">
            <w:pPr>
              <w:pStyle w:val="Tabelleninhaltklein"/>
              <w:keepNext/>
            </w:pPr>
            <w:r>
              <w:t xml:space="preserve">Serien-/Sortenfertigung nach Teilefamilien, MtS in den Supermarkt</w:t>
            </w:r>
          </w:p>
        </w:tc>
        <w:tc>
          <w:tcPr>
            <w:tcW w:w="986" w:type="dxa"/>
          </w:tcPr>
          <w:p w14:paraId="02BD15B1" w14:textId="77777777" w:rsidR="00D806ED" w:rsidRDefault="00000000">
            <w:pPr>
              <w:pStyle w:val="Tabelleninhaltklein"/>
              <w:keepNext/>
              <w:jc w:val="right"/>
            </w:pPr>
            <w:r>
              <w:rPr>
                <w:shd w:val="clear" w:color="auto" w:fill="DDEBF7"/>
              </w:rPr>
              <w:t xml:space="preserve">2,60</w:t>
            </w:r>
          </w:p>
        </w:tc>
        <w:tc>
          <w:tcPr>
            <w:tcW w:w="1177" w:type="dxa"/>
          </w:tcPr>
          <w:p w14:paraId="2AF5E831" w14:textId="77777777" w:rsidR="00D806ED" w:rsidRDefault="00000000">
            <w:pPr>
              <w:pStyle w:val="Tabelleninhaltklein"/>
              <w:keepNext/>
              <w:jc w:val="right"/>
            </w:pPr>
            <w:r>
              <w:rPr>
                <w:b/>
                <w:bCs/>
              </w:rPr>
              <w:t>4,00</w:t>
            </w:r>
          </w:p>
        </w:tc>
        <w:tc>
          <w:tcPr>
            <w:tcW w:w="1177" w:type="dxa"/>
          </w:tcPr>
          <w:p w14:paraId="36D95ED2" w14:textId="77777777" w:rsidR="00D806ED" w:rsidRDefault="00000000">
            <w:pPr>
              <w:pStyle w:val="Tabelleninhaltklein"/>
              <w:keepNext/>
              <w:jc w:val="right"/>
            </w:pPr>
            <w:r>
              <w:t>3,75</w:t>
            </w:r>
          </w:p>
        </w:tc>
        <w:tc>
          <w:tcPr>
            <w:tcW w:w="1655" w:type="dxa"/>
          </w:tcPr>
          <w:p w14:paraId="4C175F8D" w14:textId="77777777" w:rsidR="00D806ED" w:rsidRDefault="00000000">
            <w:pPr>
              <w:pStyle w:val="Tabelleninhaltklein"/>
              <w:keepNext/>
            </w:pPr>
            <w:r>
              <w:t>Fertigungsinseln</w:t>
            </w:r>
          </w:p>
        </w:tc>
      </w:tr>
    </w:tbl>
    <w:p w14:paraId="63598FA5" w14:textId="77777777" w:rsidR="00D806ED" w:rsidRDefault="00000000">
      <w:pPr>
        <w:pStyle w:val="Quellenangabe"/>
      </w:pPr>
      <w:r>
        <w:t>Quelle: Eigene Darstellung und Berechnung; Merkmale nach Hutzler &amp; Fuchs (2021, S. 43–47); Segmente nach HWZ (o. J., S. 5–7).</w:t>
      </w:r>
    </w:p>
    <w:p w14:paraId="7DE899BC" w14:textId="77777777" w:rsidR="00D806ED" w:rsidRDefault="00000000">
      <w:pPr>
        <w:pStyle w:val="Textkrper"/>
      </w:pPr>
      <w:r>
        <w:rPr>
          <w:shd w:val="clear" w:color="auto" w:fill="DDEBF7"/>
        </w:rPr>
        <w:t xml:space="preserve">Mit gleichen Gewichten bleiben die Sieger bei Endgeräten und SFG dieselben (Tabelle 20). Im Anlagenbau liegen Werkstatt und Montagezelle dann gleichauf (je 3,75); den Ausschlag gibt die Durchlaufzeit, die wegen der Konventionalstrafen (HWZ, o. J., S. 6) höher gewichtet ist. Das Skript ordnet Einzel- und Kleinserien zwar der Werkstatt zu (S. 44); die Montagezelle überträgt aber das Gruppenprinzip (S. 45–46) auf eine Modulfamilie aus Standard-SFG und verbindet so kurze Durchlaufzeiten mit Variantenflexibilität.</w:t>
      </w:r>
      <w:r>
        <w:t xml:space="preserve"> Im Anlagenbau verliert die Fliessfertigung </w:t>
      </w:r>
      <w:r>
        <w:rPr>
          <w:shd w:val="clear" w:color="auto" w:fill="DDEBF7"/>
        </w:rPr>
        <w:t xml:space="preserve">an der Variantenvielfalt und an hohen Einrichtezeiten, weil sie technisch stabile Produkte voraussetzt (S. 46)</w:t>
      </w:r>
      <w:r>
        <w:t xml:space="preserve">, die Werkstatt an langen Durchlaufzeiten und hohen Zwischenlagern (S. 45). Bei den Endgeräten lohnt sich der hohe Kapitalbedarf der Taktfertigung (S. 47) wegen Volumen und Standardisierung. Bei den SFG ist es knapp: Die Inseln liegen vor der Fliessfertigung (4,00 zu 3,75), weil sie die Teilefamilien des «eigenen Zulieferers» flexibel bearbeiten (S. 47). Die Kombination der drei Prinzipien ist also das </w:t>
      </w:r>
      <w:r>
        <w:rPr>
          <w:i/>
          <w:iCs/>
        </w:rPr>
        <w:t>Ergebnis</w:t>
      </w:r>
      <w:r>
        <w:t>, keine vorweggenommene Variante.</w:t>
      </w:r>
    </w:p>
    <w:p w14:paraId="5F5EB79B" w14:textId="77777777" w:rsidR="00D806ED" w:rsidRDefault="00000000">
      <w:pPr>
        <w:pStyle w:val="Textkrper"/>
      </w:pPr>
      <w:r>
        <w:t xml:space="preserve">Kern ist der </w:t>
      </w:r>
      <w:r>
        <w:rPr>
          <w:b/>
          <w:bCs/>
        </w:rPr>
        <w:t>Kundenauftragsentkopplungspunkt</w:t>
      </w:r>
      <w:r>
        <w:t xml:space="preserve"> (CODP), ab dem ein Produkt einem Auftrag zugeordnet wird (Olhager, 2010). Er liegt im SFG-Supermarkt: Davor wird verbrauchsgesteuert gefertigt, danach auftragsgesteuert. So rückt die kundenspezifische Konfiguration ans Ende der Kette (Hutzler &amp; Fuchs, 2021, S. 10), und die Lieferzeit im Anlagenbau besteht nur noch aus Endmontage und Transport </w:t>
      </w:r>
      <w:r>
        <w:rPr>
          <w:shd w:val="clear" w:color="auto" w:fill="DDEBF7"/>
        </w:rPr>
        <w:t xml:space="preserve">(Modellrechnung in Tabelle 22)</w:t>
      </w:r>
      <w:r>
        <w:t xml:space="preserve">. </w:t>
      </w:r>
      <w:r>
        <w:rPr>
          <w:b/>
          <w:bCs/>
        </w:rPr>
        <w:t>Nachteile</w:t>
      </w:r>
      <w:r>
        <w:t xml:space="preserve">: Drei Steuerungslogiken machen die Planung aufwendiger, die Inseln sind schwer voll auszulasten, und die Taktlinie bindet Kapital (S. 46–47). Gegenmittel sind eine </w:t>
        <w:lastRenderedPageBreak/>
        <w:t>gemeinsame Absatz- und Produktionsplanung (S&amp;OP) und eine Taktlinie zunächst nur für die volumenstärksten Familien.</w:t>
      </w:r>
      <w:bookmarkEnd w:id="56"/>
    </w:p>
    <w:p w14:paraId="4FB6AE51" w14:textId="77777777" w:rsidR="00D806ED" w:rsidRDefault="00000000">
      <w:pPr>
        <w:pStyle w:val="berschrift2"/>
      </w:pPr>
      <w:bookmarkStart w:id="59" w:name="_Toc243825045"/>
      <w:r>
        <w:t>Soll-Zustand und Flussdiagramm</w:t>
      </w:r>
      <w:bookmarkEnd w:id="59"/>
    </w:p>
    <w:p w14:paraId="2E4A40AE" w14:textId="77777777" w:rsidR="00D806ED" w:rsidRDefault="00000000">
      <w:pPr>
        <w:pStyle w:val="FirstParagraph"/>
      </w:pPr>
      <w:r>
        <w:t xml:space="preserve">Abbildung 3 zeigt den Soll-Fluss. Lager 2 und der LKW-Shuttle entfallen </w:t>
      </w:r>
      <w:r>
        <w:rPr>
          <w:shd w:val="clear" w:color="auto" w:fill="DDEBF7"/>
        </w:rPr>
        <w:t xml:space="preserve">(Tabelle 23 im Anhang)</w:t>
      </w:r>
      <w:r>
        <w:t xml:space="preserve">. Lager 1 wird das einzige, automatisierte Zentrallager mit Zollverschluss, über das auch die Übersee-C-Teile gesammelt laufen. Ein Milkrun versorgt die Supermärkte an Inseln und Linie im Hol-Prinzip. Nur die </w:t>
      </w:r>
      <w:r>
        <w:rPr>
          <w:b/>
          <w:bCs/>
        </w:rPr>
        <w:t>lokalen</w:t>
      </w:r>
      <w:r>
        <w:t xml:space="preserve"> C-Teile liefert ein Partner im C-Teile-Management per 2-Behälter-Kanban direkt an den Verbauort. Die Outsourcing-Partner erhalten kurzfristig Kit-Kanban und liefern mittelfristig endgeprüfte Module (Modular Sourcing, S. 36–37). Aufträge und EDI-Abrufe lösen Kanban-Signale entgegen dem Materialfluss aus. APO übernimmt nur noch die Grobplanung.</w:t>
      </w:r>
    </w:p>
    <w:p w14:paraId="71A01239" w14:textId="77777777" w:rsidR="00D806ED" w:rsidRDefault="00000000">
      <w:pPr>
        <w:pStyle w:val="Abbildung"/>
      </w:pPr>
      <w:bookmarkStart w:id="60" w:name="fig%3Ab3-flussdiagramm"/>
      <w:r>
        <w:rPr>
          <w:noProof/>
        </w:rPr>
        <w:drawing>
          <wp:inline distT="0" distB="0" distL="0" distR="0" wp14:anchorId="4364571B" wp14:editId="7B6E7628">
            <wp:extent cx="5753100" cy="3451860"/>
            <wp:effectExtent l="0" t="0" r="0" b="0"/>
            <wp:docPr id="4" name="Image3" descr="Flussdiagramm Soll-Zustand Produktionslogistik (Werkseb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Flussdiagramm Soll-Zustand Produktionslogistik (Werksebene)"/>
                    <pic:cNvPicPr>
                      <a:picLocks noChangeAspect="1" noChangeArrowheads="1"/>
                    </pic:cNvPicPr>
                  </pic:nvPicPr>
                  <pic:blipFill>
                    <a:blip r:embed="rId12"/>
                    <a:stretch>
                      <a:fillRect/>
                    </a:stretch>
                  </pic:blipFill>
                  <pic:spPr bwMode="auto">
                    <a:xfrm>
                      <a:off x="0" y="0"/>
                      <a:ext cx="5753100" cy="3451860"/>
                    </a:xfrm>
                    <a:prstGeom prst="rect">
                      <a:avLst/>
                    </a:prstGeom>
                    <a:noFill/>
                  </pic:spPr>
                </pic:pic>
              </a:graphicData>
            </a:graphic>
          </wp:inline>
        </w:drawing>
      </w:r>
    </w:p>
    <w:p w14:paraId="24E80BB2" w14:textId="39E13772" w:rsidR="00D806ED" w:rsidRDefault="00000000">
      <w:pPr>
        <w:pStyle w:val="Beschriftung"/>
        <w:keepNext/>
        <w:jc w:val="center"/>
      </w:pPr>
      <w:bookmarkStart w:id="61" w:name="_Toc243824172"/>
      <w:r>
        <w:t xml:space="preserve">Abbildung </w:t>
      </w:r>
      <w:fldSimple w:instr=" SEQ Abbildung \* ARABIC ">
        <w:r>
          <w:rPr>
            <w:noProof/>
          </w:rPr>
          <w:t>3</w:t>
        </w:r>
      </w:fldSimple>
      <w:r>
        <w:t>: Flussdiagramm Soll-Zustand Produktionslogistik (Werksebene)</w:t>
      </w:r>
      <w:bookmarkEnd w:id="60"/>
      <w:bookmarkEnd w:id="61"/>
    </w:p>
    <w:p w14:paraId="75157038" w14:textId="77777777" w:rsidR="00D806ED" w:rsidRDefault="00000000">
      <w:pPr>
        <w:pStyle w:val="Quellenangabe"/>
      </w:pPr>
      <w:bookmarkStart w:id="62" w:name="soll-zustand-und-flussdiagramm"/>
      <w:r>
        <w:t>Quelle: Eigene Darstellung, Begriffe nach Hutzler &amp; Fuchs (2021, S. 36–48, 66).</w:t>
      </w:r>
      <w:bookmarkEnd w:id="62"/>
    </w:p>
    <w:p w14:paraId="527F1C43" w14:textId="16279D91" w:rsidR="00D806ED" w:rsidRDefault="00000000">
      <w:pPr>
        <w:pStyle w:val="berschrift2"/>
        <w:pageBreakBefore/>
      </w:pPr>
      <w:bookmarkStart w:id="63" w:name="_Toc243825046"/>
      <w:r>
        <w:lastRenderedPageBreak/>
        <w:t>Massnahmen je Ziel</w:t>
      </w:r>
      <w:bookmarkEnd w:id="63"/>
    </w:p>
    <w:p w14:paraId="716C235C" w14:textId="77777777" w:rsidR="00D806ED" w:rsidRDefault="00000000">
      <w:pPr>
        <w:pStyle w:val="FirstParagraph"/>
      </w:pPr>
      <w:r>
        <w:t xml:space="preserve">Der </w:t>
      </w:r>
      <w:r>
        <w:rPr>
          <w:b/>
          <w:bCs/>
        </w:rPr>
        <w:t>Servicegrad</w:t>
      </w:r>
      <w:r>
        <w:t xml:space="preserve"> ist hier die Liefertreue gegenüber dem Kunden. Für die internen Kunden zählt die Lieferbereitschaft der Supermärkte (Hutzler &amp; Fuchs, 2021, S. 13, 48). Tabelle 6 ordnet die Massnahmen den vier Zielen zu.</w:t>
      </w:r>
    </w:p>
    <w:p w14:paraId="5C956546" w14:textId="3F4B7742" w:rsidR="00D806ED" w:rsidRDefault="00000000">
      <w:pPr>
        <w:pStyle w:val="Beschriftung"/>
        <w:keepNext/>
      </w:pPr>
      <w:bookmarkStart w:id="64" w:name="_Toc243824213"/>
      <w:r>
        <w:t xml:space="preserve">Tabelle </w:t>
      </w:r>
      <w:fldSimple w:instr=" SEQ Tabelle \* ARABIC ">
        <w:r>
          <w:rPr>
            <w:noProof/>
          </w:rPr>
          <w:t>6</w:t>
        </w:r>
      </w:fldSimple>
      <w:r>
        <w:t>: Massnahmen der Produktionslogistik zu den vier Zielen</w:t>
      </w:r>
      <w:bookmarkEnd w:id="64"/>
    </w:p>
    <w:tbl>
      <w:tblPr>
        <w:tblStyle w:val="Tabellenraster"/>
        <w:tblW w:w="9070" w:type="dxa"/>
        <w:tblInd w:w="70" w:type="dxa"/>
        <w:tblLayout w:type="fixed"/>
        <w:tblCellMar>
          <w:left w:w="65" w:type="dxa"/>
          <w:right w:w="65" w:type="dxa"/>
        </w:tblCellMar>
        <w:tblLook w:val="0020" w:firstRow="1" w:lastRow="0" w:firstColumn="0" w:lastColumn="0" w:noHBand="0" w:noVBand="0"/>
      </w:tblPr>
      <w:tblGrid>
        <w:gridCol w:w="2046"/>
        <w:gridCol w:w="2469"/>
        <w:gridCol w:w="2388"/>
        <w:gridCol w:w="2167"/>
      </w:tblGrid>
      <w:tr w:rsidR="00D806ED" w14:paraId="3E6DD304" w14:textId="77777777">
        <w:trPr>
          <w:tblHeader/>
        </w:trPr>
        <w:tc>
          <w:tcPr>
            <w:tcW w:w="2046" w:type="dxa"/>
            <w:shd w:val="clear" w:color="auto" w:fill="D9D9D9"/>
          </w:tcPr>
          <w:p w14:paraId="6A5B1B26" w14:textId="77777777" w:rsidR="00D806ED" w:rsidRDefault="00000000">
            <w:pPr>
              <w:pStyle w:val="Tabelleninhaltklein"/>
              <w:keepNext/>
            </w:pPr>
            <w:r>
              <w:rPr>
                <w:b/>
              </w:rPr>
              <w:t>Ziel</w:t>
            </w:r>
          </w:p>
        </w:tc>
        <w:tc>
          <w:tcPr>
            <w:tcW w:w="2469" w:type="dxa"/>
            <w:shd w:val="clear" w:color="auto" w:fill="D9D9D9"/>
          </w:tcPr>
          <w:p w14:paraId="442D7026" w14:textId="77777777" w:rsidR="00D806ED" w:rsidRDefault="00000000">
            <w:pPr>
              <w:pStyle w:val="Tabelleninhaltklein"/>
              <w:keepNext/>
            </w:pPr>
            <w:r>
              <w:rPr>
                <w:b/>
              </w:rPr>
              <w:t>Massnahmen</w:t>
            </w:r>
          </w:p>
        </w:tc>
        <w:tc>
          <w:tcPr>
            <w:tcW w:w="2388" w:type="dxa"/>
            <w:shd w:val="clear" w:color="auto" w:fill="D9D9D9"/>
          </w:tcPr>
          <w:p w14:paraId="1E343880" w14:textId="77777777" w:rsidR="00D806ED" w:rsidRDefault="00000000">
            <w:pPr>
              <w:pStyle w:val="Tabelleninhaltklein"/>
              <w:keepNext/>
            </w:pPr>
            <w:r>
              <w:rPr>
                <w:b/>
              </w:rPr>
              <w:t>Wirkung</w:t>
            </w:r>
          </w:p>
        </w:tc>
        <w:tc>
          <w:tcPr>
            <w:tcW w:w="2167" w:type="dxa"/>
            <w:shd w:val="clear" w:color="auto" w:fill="D9D9D9"/>
          </w:tcPr>
          <w:p w14:paraId="5468400B" w14:textId="77777777" w:rsidR="00D806ED" w:rsidRDefault="00000000">
            <w:pPr>
              <w:pStyle w:val="Tabelleninhaltklein"/>
              <w:keepNext/>
            </w:pPr>
            <w:r>
              <w:rPr>
                <w:b/>
              </w:rPr>
              <w:t>Nachteil/Risiko</w:t>
            </w:r>
          </w:p>
        </w:tc>
      </w:tr>
      <w:tr w:rsidR="00D806ED" w14:paraId="618E9E2B" w14:textId="77777777">
        <w:trPr>
          <w:cantSplit/>
        </w:trPr>
        <w:tc>
          <w:tcPr>
            <w:tcW w:w="2046" w:type="dxa"/>
          </w:tcPr>
          <w:p w14:paraId="1645254F" w14:textId="77777777" w:rsidR="00D806ED" w:rsidRDefault="00000000">
            <w:pPr>
              <w:pStyle w:val="Tabelleninhaltklein"/>
              <w:keepNext/>
            </w:pPr>
            <w:r>
              <w:t>Vermeidung von Verschwendung</w:t>
            </w:r>
          </w:p>
        </w:tc>
        <w:tc>
          <w:tcPr>
            <w:tcW w:w="2469" w:type="dxa"/>
          </w:tcPr>
          <w:p w14:paraId="75B50DE7" w14:textId="77777777" w:rsidR="00D806ED" w:rsidRDefault="00000000">
            <w:pPr>
              <w:pStyle w:val="Tabelleninhaltklein"/>
              <w:keepNext/>
            </w:pPr>
            <w:r>
              <w:t>Wertstromanalyse je Segment (S. 14–15). Abbau der Verschwendungsarten nach Ohno (1988): Bestände (Lager 2), Transport (Shuttle), Warten (Umlagerung), Bewegung (Mann-zur-Ware), Überproduktion (Budget-MtS)</w:t>
            </w:r>
          </w:p>
        </w:tc>
        <w:tc>
          <w:tcPr>
            <w:tcW w:w="2388" w:type="dxa"/>
          </w:tcPr>
          <w:p w14:paraId="3DE35EB0" w14:textId="77777777" w:rsidR="00D806ED" w:rsidRDefault="00000000">
            <w:pPr>
              <w:pStyle w:val="Tabelleninhaltklein"/>
              <w:keepNext/>
            </w:pPr>
            <w:r>
              <w:t>Material-DLZ ≤ 1 AT (Tabelle 7)</w:t>
            </w:r>
          </w:p>
        </w:tc>
        <w:tc>
          <w:tcPr>
            <w:tcW w:w="2167" w:type="dxa"/>
          </w:tcPr>
          <w:p w14:paraId="56B464DF" w14:textId="77777777" w:rsidR="00D806ED" w:rsidRDefault="00000000">
            <w:pPr>
              <w:pStyle w:val="Tabelleninhaltklein"/>
              <w:keepNext/>
            </w:pPr>
            <w:r>
              <w:t>Nutzen erst nach Layoutumbau</w:t>
            </w:r>
          </w:p>
        </w:tc>
      </w:tr>
      <w:tr w:rsidR="00D806ED" w14:paraId="39281D2F" w14:textId="77777777">
        <w:trPr>
          <w:cantSplit/>
        </w:trPr>
        <w:tc>
          <w:tcPr>
            <w:tcW w:w="2046" w:type="dxa"/>
          </w:tcPr>
          <w:p w14:paraId="3756CBB0" w14:textId="77777777" w:rsidR="00D806ED" w:rsidRDefault="00000000">
            <w:pPr>
              <w:pStyle w:val="Tabelleninhaltklein"/>
              <w:keepNext/>
            </w:pPr>
            <w:r>
              <w:t>Qualitätssicherung</w:t>
            </w:r>
          </w:p>
        </w:tc>
        <w:tc>
          <w:tcPr>
            <w:tcW w:w="2469" w:type="dxa"/>
          </w:tcPr>
          <w:p w14:paraId="17D0E047" w14:textId="77777777" w:rsidR="00D806ED" w:rsidRDefault="00000000">
            <w:pPr>
              <w:pStyle w:val="Tabelleninhaltklein"/>
              <w:keepNext/>
            </w:pPr>
            <w:r>
              <w:t>Know-how-Teile im neuen Werk statt Rohware-Beistellung; Poka-Yoke (Shingo, 1986); Selbstprüfung; KVP (S. 66)</w:t>
            </w:r>
          </w:p>
        </w:tc>
        <w:tc>
          <w:tcPr>
            <w:tcW w:w="2388" w:type="dxa"/>
          </w:tcPr>
          <w:p w14:paraId="4338C641" w14:textId="77777777" w:rsidR="00D806ED" w:rsidRDefault="00000000">
            <w:pPr>
              <w:pStyle w:val="Tabelleninhaltklein"/>
              <w:keepNext/>
            </w:pPr>
            <w:r>
              <w:t>Prozessbeherrschung (S. 13)</w:t>
            </w:r>
          </w:p>
        </w:tc>
        <w:tc>
          <w:tcPr>
            <w:tcW w:w="2167" w:type="dxa"/>
          </w:tcPr>
          <w:p w14:paraId="741A89DF" w14:textId="77777777" w:rsidR="00D806ED" w:rsidRDefault="00000000">
            <w:pPr>
              <w:pStyle w:val="Tabelleninhaltklein"/>
              <w:keepNext/>
            </w:pPr>
            <w:r>
              <w:t>Know-how-Aufbau, Vorrichtungskosten</w:t>
            </w:r>
          </w:p>
        </w:tc>
      </w:tr>
      <w:tr w:rsidR="00D806ED" w14:paraId="3885710E" w14:textId="77777777">
        <w:trPr>
          <w:cantSplit/>
        </w:trPr>
        <w:tc>
          <w:tcPr>
            <w:tcW w:w="2046" w:type="dxa"/>
          </w:tcPr>
          <w:p w14:paraId="52F46093" w14:textId="77777777" w:rsidR="00D806ED" w:rsidRDefault="00000000">
            <w:pPr>
              <w:pStyle w:val="Tabelleninhaltklein"/>
              <w:keepNext/>
            </w:pPr>
            <w:r>
              <w:t>Hoher Servicegrad</w:t>
            </w:r>
          </w:p>
        </w:tc>
        <w:tc>
          <w:tcPr>
            <w:tcW w:w="2469" w:type="dxa"/>
          </w:tcPr>
          <w:p w14:paraId="0429D2B4" w14:textId="77777777" w:rsidR="00D806ED" w:rsidRDefault="00000000">
            <w:pPr>
              <w:pStyle w:val="Tabelleninhaltklein"/>
              <w:keepNext/>
            </w:pPr>
            <w:r>
              <w:t>CODP im SFG-Supermarkt; Montagezelle mit 15 % Kapazitätsreserve (Annahme A11); Glättung (Heijunka; Liker, 2004)</w:t>
            </w:r>
          </w:p>
        </w:tc>
        <w:tc>
          <w:tcPr>
            <w:tcW w:w="2388" w:type="dxa"/>
          </w:tcPr>
          <w:p w14:paraId="5384FB10" w14:textId="77777777" w:rsidR="00D806ED" w:rsidRDefault="00000000">
            <w:pPr>
              <w:pStyle w:val="Tabelleninhaltklein"/>
              <w:keepNext/>
            </w:pPr>
            <w:r>
              <w:t>Liefertreue ≥ 95 % (Annahme A10)</w:t>
            </w:r>
          </w:p>
        </w:tc>
        <w:tc>
          <w:tcPr>
            <w:tcW w:w="2167" w:type="dxa"/>
          </w:tcPr>
          <w:p w14:paraId="2FA06D14" w14:textId="77777777" w:rsidR="00D806ED" w:rsidRDefault="00000000">
            <w:pPr>
              <w:pStyle w:val="Tabelleninhaltklein"/>
              <w:keepNext/>
            </w:pPr>
            <w:r>
              <w:t>Reserve kostet; Planungsdisziplin</w:t>
            </w:r>
          </w:p>
        </w:tc>
      </w:tr>
      <w:tr w:rsidR="00D806ED" w14:paraId="12BB2D34" w14:textId="77777777">
        <w:trPr>
          <w:cantSplit/>
        </w:trPr>
        <w:tc>
          <w:tcPr>
            <w:tcW w:w="2046" w:type="dxa"/>
          </w:tcPr>
          <w:p w14:paraId="724F094A" w14:textId="77777777" w:rsidR="00D806ED" w:rsidRDefault="00000000">
            <w:pPr>
              <w:pStyle w:val="Tabelleninhaltklein"/>
              <w:keepNext/>
            </w:pPr>
            <w:r>
              <w:t>Geringer Kapitalbedarf</w:t>
            </w:r>
          </w:p>
        </w:tc>
        <w:tc>
          <w:tcPr>
            <w:tcW w:w="2469" w:type="dxa"/>
          </w:tcPr>
          <w:p w14:paraId="5D24489A" w14:textId="77777777" w:rsidR="00D806ED" w:rsidRDefault="00000000">
            <w:pPr>
              <w:pStyle w:val="Tabelleninhaltklein"/>
              <w:keepNext/>
            </w:pPr>
            <w:r>
              <w:t>Supermärkte ≤ 1 AT statt Lager 2; C-Teile in Konsignation (S. 38, 66); Taktlinie gestaffelt</w:t>
            </w:r>
          </w:p>
        </w:tc>
        <w:tc>
          <w:tcPr>
            <w:tcW w:w="2388" w:type="dxa"/>
          </w:tcPr>
          <w:p w14:paraId="54022B5D" w14:textId="77777777" w:rsidR="00D806ED" w:rsidRDefault="00000000">
            <w:pPr>
              <w:pStyle w:val="Tabelleninhaltklein"/>
              <w:keepNext/>
            </w:pPr>
            <w:r>
              <w:t>Bestand sinkt; Toyota erreichte mit Kanban −30 % und mehr (S. 48)</w:t>
            </w:r>
          </w:p>
        </w:tc>
        <w:tc>
          <w:tcPr>
            <w:tcW w:w="2167" w:type="dxa"/>
          </w:tcPr>
          <w:p w14:paraId="72466C71" w14:textId="77777777" w:rsidR="00D806ED" w:rsidRDefault="00000000">
            <w:pPr>
              <w:pStyle w:val="Tabelleninhaltklein"/>
              <w:keepNext/>
            </w:pPr>
            <w:r>
              <w:t>Fehlteilrisiko bei Störungen (S. 48)</w:t>
            </w:r>
          </w:p>
        </w:tc>
      </w:tr>
    </w:tbl>
    <w:p w14:paraId="31C1EB00" w14:textId="77777777" w:rsidR="00D806ED" w:rsidRDefault="00000000">
      <w:pPr>
        <w:pStyle w:val="Quellenangabe"/>
      </w:pPr>
      <w:bookmarkStart w:id="65" w:name="massnahmen-je-ziel"/>
      <w:r>
        <w:t>Quelle: Eigene Darstellung nach Hutzler &amp; Fuchs (2021), Ohno (1988), Shingo (1986), Liker (2004).</w:t>
      </w:r>
      <w:bookmarkEnd w:id="65"/>
    </w:p>
    <w:p w14:paraId="776120EF" w14:textId="77777777" w:rsidR="00D806ED" w:rsidRDefault="00000000">
      <w:pPr>
        <w:pStyle w:val="berschrift2"/>
      </w:pPr>
      <w:bookmarkStart w:id="66" w:name="_Toc243825047"/>
      <w:r>
        <w:t>Logistikstrategie und -konzept</w:t>
      </w:r>
      <w:bookmarkEnd w:id="66"/>
    </w:p>
    <w:p w14:paraId="64396B08" w14:textId="77777777" w:rsidR="00D806ED" w:rsidRDefault="00000000">
      <w:pPr>
        <w:pStyle w:val="FirstParagraph"/>
      </w:pPr>
      <w:r>
        <w:t xml:space="preserve">Leitbild ist </w:t>
      </w:r>
      <w:r>
        <w:rPr>
          <w:b/>
          <w:bCs/>
        </w:rPr>
        <w:t>«Fluss statt Bestand»</w:t>
      </w:r>
      <w:r>
        <w:t>, also Bewegungs- statt Bestände-Management (Hutzler &amp; Fuchs, 2021, S. 11). Ausgerichtet wird es nach Segmenten: schlank bei Standard-Endgeräten, reaktiv im Anlagenbau, agil über modulare Standard-SFG (S. 10). Das Konzept beruht auf fünf Prinzipien. Eine grafische Übersicht zeigt Abbildung 11.</w:t>
      </w:r>
    </w:p>
    <w:p w14:paraId="09CBF5A4" w14:textId="77777777" w:rsidR="00D806ED" w:rsidRDefault="00000000">
      <w:pPr>
        <w:pStyle w:val="Compact"/>
        <w:numPr>
          <w:ilvl w:val="0"/>
          <w:numId w:val="16"/>
        </w:numPr>
      </w:pPr>
      <w:r>
        <w:rPr>
          <w:b/>
          <w:bCs/>
        </w:rPr>
        <w:t>Pull statt Push</w:t>
      </w:r>
      <w:r>
        <w:t>: Kanban für X-Teile und SFG (S. 48), rollierende Planung für Y/Z-Teile (S. 35–36). APO dient nur noch der Rahmenplanung.</w:t>
      </w:r>
    </w:p>
    <w:p w14:paraId="709B3EFC" w14:textId="77777777" w:rsidR="00D806ED" w:rsidRDefault="00000000">
      <w:pPr>
        <w:pStyle w:val="Compact"/>
        <w:numPr>
          <w:ilvl w:val="0"/>
          <w:numId w:val="5"/>
        </w:numPr>
      </w:pPr>
      <w:r>
        <w:rPr>
          <w:b/>
          <w:bCs/>
        </w:rPr>
        <w:t>Einstufige Bereitstellung</w:t>
      </w:r>
      <w:r>
        <w:t xml:space="preserve">: Zentrallager, Milkrun und Supermärkte (Block 4). Just-in-Sequence wird verworfen. In Anlehnung an S. 38 lohnen sich JIT/JIS-Anlieferungen vor allem für sperrige Module, nicht für kleinteilige Elektronik.</w:t>
      </w:r>
    </w:p>
    <w:p w14:paraId="0ECC4269" w14:textId="77777777" w:rsidR="00D806ED" w:rsidRDefault="00000000">
      <w:pPr>
        <w:pStyle w:val="Compact"/>
        <w:numPr>
          <w:ilvl w:val="0"/>
          <w:numId w:val="5"/>
        </w:numPr>
      </w:pPr>
      <w:r>
        <w:rPr>
          <w:b/>
          <w:bCs/>
        </w:rPr>
        <w:t>Automatisierung, wo Volumen sie trägt</w:t>
      </w:r>
      <w:r>
        <w:t xml:space="preserve">: Kommissionierung und Taktlinie werden automatisiert, wie es die Holding verlangt (HWZ, o. J., S. 5). Inseln und Montagezelle bleiben dagegen bewusst teilmanuell. Das ist eine Abwägung gegen diese Vorgabe, weil die kundenspezifischen Module Flexibilität brauchen </w:t>
      </w:r>
      <w:r>
        <w:rPr/>
        <w:t xml:space="preserve">(HWZ, o. J., S. 6).</w:t>
      </w:r>
      <w:r>
        <w:rPr>
          <w:shd w:val="clear" w:color="auto" w:fill="DDEBF7"/>
        </w:rPr>
        <w:t xml:space="preserve"> Bei den tiefen indischen Lohnkosten lohnt sich Automatisierung nur bei hohem Volumen (Kapitel 9).</w:t>
      </w:r>
    </w:p>
    <w:p w14:paraId="4D1C692C" w14:textId="77777777" w:rsidR="00D806ED" w:rsidRDefault="00000000">
      <w:pPr>
        <w:pStyle w:val="Compact"/>
        <w:numPr>
          <w:ilvl w:val="0"/>
          <w:numId w:val="5"/>
        </w:numPr>
      </w:pPr>
      <w:r>
        <w:rPr>
          <w:b/>
          <w:bCs/>
        </w:rPr>
        <w:t>Make-or-Buy nach Kernkompetenz</w:t>
      </w:r>
      <w:r>
        <w:t xml:space="preserve"> (S. 59): SFG-Fertigung, Montage, Kommissionierung und Steuerung bleiben intern. C-Teile-Management, Zoll und Transport gehen an Partner </w:t>
      </w:r>
      <w:r>
        <w:rPr>
          <w:shd w:val="clear" w:color="auto" w:fill="DDEBF7"/>
        </w:rPr>
        <w:t xml:space="preserve">(Tabelle 18)</w:t>
      </w:r>
      <w:r>
        <w:t xml:space="preserve">. Die anderen Hersteller werden auf Kapazitätsspitzen reduziert.</w:t>
      </w:r>
    </w:p>
    <w:p w14:paraId="55FB8B35" w14:textId="77777777" w:rsidR="00D806ED" w:rsidRDefault="00000000">
      <w:pPr>
        <w:pStyle w:val="Compact"/>
        <w:numPr>
          <w:ilvl w:val="0"/>
          <w:numId w:val="5"/>
        </w:numPr>
      </w:pPr>
      <w:r>
        <w:rPr>
          <w:b/>
          <w:bCs/>
        </w:rPr>
        <w:t>Daten und Standards</w:t>
      </w:r>
      <w:r>
        <w:t xml:space="preserve">: EDI für Abrufe, Lieferavis und Kanban-Signale </w:t>
      </w:r>
      <w:r>
        <w:rPr>
          <w:shd w:val="clear" w:color="auto" w:fill="DDEBF7"/>
        </w:rPr>
        <w:t xml:space="preserve">(beleglose Datenübermittlung nach S. 57, vom Projektteam auf die Beschaffung übertragen)</w:t>
      </w:r>
      <w:r>
        <w:t xml:space="preserve">, dazu standardisierte Behälter und Regelkreise.</w:t>
      </w:r>
    </w:p>
    <w:p>
      <w:pPr>
        <w:pStyle w:val="Textkrper"/>
      </w:pPr>
      <w:r>
        <w:rPr>
          <w:b/>
          <w:bCs/>
          <w:shd w:val="clear" w:color="auto" w:fill="DDEBF7"/>
        </w:rPr>
        <w:t xml:space="preserve">Make-or-Buy der wertschöpfungsneutralen Prozesse.</w:t>
      </w:r>
      <w:r>
        <w:rPr>
          <w:shd w:val="clear" w:color="auto" w:fill="DDEBF7"/>
        </w:rPr>
        <w:t xml:space="preserve"> Geprüft wurden sechs Prozesse nach den Kriterien des Skripts: Anteil an der Wertschöpfung, Beitrag zum Kundennutzen und Imitierbarkeit sowie Know-how, Kapazität, Kapitalbindung, Flexibilität und Gesamtkosten (Hutzler &amp; Fuchs, 2021, S. 59–60). Zollabwicklung, C-Teile-Disposition und Exportverpackung gehen an Partner, denn sie differenzieren Grofu nicht, und aus fixen werden variable Kosten. Die Kommissionierung bleibt intern, weil sie im Kanban-Regelkreis die Termintreue mitbestimmt und ein 3PL bei gleicher Produktivität nur eine zusätzliche Schnittstelle brächte (Tabellen 18 und 24). Weil ein Make-or-Buy-Entscheid schwer revidierbar ist (S. 60), werden die Verträge erst nach einer Pilotphase langfristig abgeschlossen.</w:t>
      </w:r>
    </w:p>
    <w:p w14:paraId="2E18625F" w14:textId="77777777" w:rsidR="00D806ED" w:rsidRDefault="00000000">
      <w:pPr>
        <w:pStyle w:val="FirstParagraph"/>
      </w:pPr>
      <w:bookmarkStart w:id="67" w:name="block-3-produktionslogistik"/>
      <w:bookmarkStart w:id="68" w:name="logistikstrategie-und--konzept"/>
      <w:r>
        <w:t>Gemessen wird mit dem Kennzahlen-Cockpit (Tabelle 8), umgesetzt nach der Roadmap (Abbildung 4).</w:t>
      </w:r>
      <w:bookmarkEnd w:id="67"/>
      <w:bookmarkEnd w:id="68"/>
    </w:p>
    <w:p w14:paraId="7882A27C" w14:textId="77777777" w:rsidR="00D806ED" w:rsidRDefault="00000000">
      <w:pPr>
        <w:pStyle w:val="berschrift1"/>
      </w:pPr>
      <w:bookmarkStart w:id="69" w:name="block-4-lagerlogistik"/>
      <w:bookmarkStart w:id="70" w:name="_Toc243825048"/>
      <w:r>
        <w:lastRenderedPageBreak/>
        <w:t>Block 4: Lagerlogistik</w:t>
      </w:r>
      <w:bookmarkEnd w:id="70"/>
    </w:p>
    <w:p w14:paraId="46A0764B" w14:textId="77777777" w:rsidR="00D806ED" w:rsidRDefault="00000000">
      <w:pPr>
        <w:pStyle w:val="FirstParagraph"/>
      </w:pPr>
      <w:r>
        <w:t>Die Lagerlogistik gestaltet Lagerung, Kommissionierung und Förderung vom Wareneingang bis zum Warenausgang (Hutzler &amp; Fuchs, 2021, S. 49).</w:t>
      </w:r>
    </w:p>
    <w:p w14:paraId="14E6EFD8" w14:textId="77777777" w:rsidR="00D806ED" w:rsidRDefault="00000000">
      <w:pPr>
        <w:pStyle w:val="berschrift2"/>
      </w:pPr>
      <w:bookmarkStart w:id="71" w:name="ausgangslage"/>
      <w:bookmarkStart w:id="72" w:name="_Toc243825049"/>
      <w:r>
        <w:t>Ausgangslage</w:t>
      </w:r>
      <w:bookmarkEnd w:id="72"/>
    </w:p>
    <w:p w14:paraId="7A8BE7B7" w14:textId="77777777" w:rsidR="00D806ED" w:rsidRDefault="00000000">
      <w:pPr>
        <w:pStyle w:val="FirstParagraph"/>
      </w:pPr>
      <w:r>
        <w:t xml:space="preserve">Inbound gibt es drei Lagerstufen: Lager 4 Karatschi, Lager 1 (automatisch) und Lager 2, das mehrere Wochen statt 3 Tage Bestand hält. Die Kommissionierung leistet nur einen Bruchteil eines Hochleistungssystems (Zahlen in Tabelle 2). Lager 2 hat </w:t>
      </w:r>
      <w:r>
        <w:rPr>
          <w:b/>
          <w:bCs/>
        </w:rPr>
        <w:t>ein Steuerungsproblem, kein Kapazitätsproblem</w:t>
      </w:r>
      <w:r>
        <w:t xml:space="preserve">: Disponiert wird 3 AT vor der Produktion, die Umlagerung am selben Standort dauert davon 2 AT. Es bleibt 1 AT Puffer, also lagern die Planer «sicherheitshalber» früher ein (Annahme A2). Diese 2 AT sind reine Liegezeit im Sinne der Wertstromanalyse (S. 15).</w:t>
      </w:r>
      <w:bookmarkEnd w:id="71"/>
    </w:p>
    <w:p w14:paraId="644544CD" w14:textId="77777777" w:rsidR="00D806ED" w:rsidRDefault="00000000">
      <w:pPr>
        <w:pStyle w:val="berschrift2"/>
      </w:pPr>
      <w:bookmarkStart w:id="73" w:name="lagerstruktur-und-kommissioniersystem"/>
      <w:bookmarkStart w:id="74" w:name="_Toc243825050"/>
      <w:r>
        <w:t xml:space="preserve">Lagerstruktur und Kommissioniersystem</w:t>
      </w:r>
      <w:bookmarkEnd w:id="74"/>
    </w:p>
    <w:p w14:paraId="506D46E9" w14:textId="77777777" w:rsidR="00D806ED" w:rsidRDefault="00000000">
      <w:pPr>
        <w:pStyle w:val="FirstParagraph"/>
      </w:pPr>
      <w:r>
        <w:t xml:space="preserve">Für die </w:t>
      </w:r>
      <w:r>
        <w:rPr>
          <w:b/>
          <w:bCs/>
        </w:rPr>
        <w:t>Lagerstruktur</w:t>
      </w:r>
      <w:r>
        <w:t xml:space="preserve"> wurden drei Varianten nach Bestand, Fläche, Durchlaufzeit, Versorgungssicherheit und Investition bewertet </w:t>
      </w:r>
      <w:r>
        <w:rPr>
          <w:shd w:val="clear" w:color="auto" w:fill="DDEBF7"/>
        </w:rPr>
        <w:t xml:space="preserve">(Tabelle 23)</w:t>
      </w:r>
      <w:r>
        <w:t xml:space="preserve">:</w:t>
      </w:r>
    </w:p>
    <w:p w14:paraId="0B463BB4" w14:textId="77777777" w:rsidR="00D806ED" w:rsidRDefault="00000000">
      <w:pPr>
        <w:pStyle w:val="Compact"/>
        <w:numPr>
          <w:ilvl w:val="0"/>
          <w:numId w:val="4"/>
        </w:numPr>
      </w:pPr>
      <w:r>
        <w:t>L1: zweistufig, Lager 2 auf Soll begrenzt (2,75)</w:t>
      </w:r>
    </w:p>
    <w:p w14:paraId="206D20D0" w14:textId="77777777" w:rsidR="00D806ED" w:rsidRDefault="00000000">
      <w:pPr>
        <w:pStyle w:val="Compact"/>
        <w:numPr>
          <w:ilvl w:val="0"/>
          <w:numId w:val="4"/>
        </w:numPr>
      </w:pPr>
      <w:r>
        <w:t>L2: einstufig mit Zentrallager und Supermärkten (</w:t>
      </w:r>
      <w:r>
        <w:rPr>
          <w:b/>
          <w:bCs/>
        </w:rPr>
        <w:t>4,55</w:t>
      </w:r>
      <w:r>
        <w:t>)</w:t>
      </w:r>
    </w:p>
    <w:p w14:paraId="15909CCA" w14:textId="77777777" w:rsidR="00D806ED" w:rsidRDefault="00000000">
      <w:pPr>
        <w:pStyle w:val="Compact"/>
        <w:numPr>
          <w:ilvl w:val="0"/>
          <w:numId w:val="4"/>
        </w:numPr>
      </w:pPr>
      <w:r>
        <w:t>L3: Lager 1 an einen 3PL (2,90)</w:t>
      </w:r>
    </w:p>
    <w:p w14:paraId="67DBA0F6" w14:textId="77777777" w:rsidR="00D806ED" w:rsidRDefault="00000000">
      <w:pPr>
        <w:pStyle w:val="FirstParagraph"/>
      </w:pPr>
      <w:r>
        <w:t xml:space="preserve">L1 behebt nur das Symptom, denn Doppel-Handling und Shuttle bleiben. Gegen L3 spricht nach eigener Abwägung, dass Lager 1 bereits automatisiert am Standort steht. Ein 3PL brächte eine Vertragsschnittstelle in den Kanban-Regelkreis. </w:t>
      </w:r>
      <w:r>
        <w:rPr>
          <w:b/>
          <w:bCs/>
        </w:rPr>
        <w:t>Entscheid: L2</w:t>
      </w:r>
      <w:r>
        <w:t>, übereinstimmend mit Block 1 (Tabelle 3). Lager 2 wird erst abgebaut, wenn die Supermarkt-Reichweite stabil unter 3 AT liegt.</w:t>
      </w:r>
    </w:p>
    <w:p w14:paraId="6FBAE451" w14:textId="77777777" w:rsidR="00D806ED" w:rsidRDefault="00000000">
      <w:pPr>
        <w:pStyle w:val="Textkrper"/>
      </w:pPr>
      <w:r>
        <w:t xml:space="preserve">Für die </w:t>
      </w:r>
      <w:r>
        <w:rPr>
          <w:b/>
          <w:bCs/>
        </w:rPr>
        <w:t>Kommissionierung</w:t>
      </w:r>
      <w:r>
        <w:t xml:space="preserve"> wurden drei Varianten nach den Make-or-Buy-Faktoren des Skripts (S. 60) verglichen </w:t>
      </w:r>
      <w:r>
        <w:rPr>
          <w:shd w:val="clear" w:color="auto" w:fill="DDEBF7"/>
        </w:rPr>
        <w:t xml:space="preserve">(Tabelle 24)</w:t>
      </w:r>
      <w:r>
        <w:t xml:space="preserve">:</w:t>
      </w:r>
    </w:p>
    <w:p w14:paraId="6FD5E74B" w14:textId="77777777" w:rsidR="00D806ED" w:rsidRDefault="00000000">
      <w:pPr>
        <w:pStyle w:val="Compact"/>
        <w:numPr>
          <w:ilvl w:val="0"/>
          <w:numId w:val="4"/>
        </w:numPr>
      </w:pPr>
      <w:r>
        <w:t>K1: Mann-zur-Ware manuell, Ist (2,90)</w:t>
      </w:r>
    </w:p>
    <w:p w14:paraId="7C17096D" w14:textId="77777777" w:rsidR="00D806ED" w:rsidRDefault="00000000">
      <w:pPr>
        <w:pStyle w:val="Compact"/>
        <w:numPr>
          <w:ilvl w:val="0"/>
          <w:numId w:val="4"/>
        </w:numPr>
      </w:pPr>
      <w:r>
        <w:t>K2: Ware-zur-Person im Eigenbetrieb (</w:t>
      </w:r>
      <w:r>
        <w:rPr>
          <w:b/>
          <w:bCs/>
        </w:rPr>
        <w:t>4,05</w:t>
      </w:r>
      <w:r>
        <w:t>)</w:t>
      </w:r>
    </w:p>
    <w:p w14:paraId="1AD18B11" w14:textId="77777777" w:rsidR="00D806ED" w:rsidRDefault="00000000">
      <w:pPr>
        <w:pStyle w:val="Compact"/>
        <w:numPr>
          <w:ilvl w:val="0"/>
          <w:numId w:val="4"/>
        </w:numPr>
      </w:pPr>
      <w:r>
        <w:t>K3: Ware-zur-Person durch einen 3PL (3,45)</w:t>
      </w:r>
    </w:p>
    <w:p w14:paraId="73D0D760" w14:textId="77777777" w:rsidR="00D806ED" w:rsidRDefault="00000000">
      <w:pPr>
        <w:pStyle w:val="FirstParagraph"/>
      </w:pPr>
      <w:r>
        <w:rPr>
          <w:b/>
          <w:bCs/>
        </w:rPr>
        <w:t>Entscheid: K2</w:t>
      </w:r>
      <w:r>
        <w:t xml:space="preserve">, auch bei gleichen Gewichten. Die Hochleistungs-Kommissionierung erreicht die 500 Picks pro Person und Tag, </w:t>
      </w:r>
      <w:r>
        <w:rPr>
          <w:shd w:val="clear" w:color="auto" w:fill="DDEBF7"/>
        </w:rPr>
        <w:t xml:space="preserve">mit denen die Fallstudie rechnet (HWZ, o. J., S. 6); wie viele Personen das tatsächlich sind, zeigt das Mengengerüst unten.</w:t>
      </w:r>
      <w:r>
        <w:t xml:space="preserve"> K3 wäre gleich produktiv, brächte aber Abhängigkeit und eine Schnittstelle zum Milkrun. </w:t>
      </w:r>
      <w:r>
        <w:rPr>
          <w:b/>
          <w:bCs/>
        </w:rPr>
        <w:t>Nachteile von K2</w:t>
      </w:r>
      <w:r>
        <w:t xml:space="preserve">: Die Technikabhängigkeit verlangt Redundanz und einen Notbetrieb. Der Stellenabbau soll sozialverträglich über </w:t>
      </w:r>
      <w:r>
        <w:rPr/>
        <w:t xml:space="preserve">Umschulung für Inseln, Milkrun und Instandhaltung laufen.</w:t>
      </w:r>
      <w:r>
        <w:rPr>
          <w:shd w:val="clear" w:color="auto" w:fill="DDEBF7"/>
        </w:rPr>
        <w:t xml:space="preserve"> Weil Grofu deutlich mehr als 300 Mitarbeitende beschäftigt, braucht ein Abbau nach dem Industrial Relations Code die vorgängige Bewilligung der Behörden (Industrial Relations Code, 2020, Sec. 77); er wird deshalb in Etappen über Fluktuation und Umschulung geplant (Abbildung 4).</w:t>
      </w:r>
    </w:p>
    <w:p w14:paraId="2DE373AA" w14:textId="77777777" w:rsidR="00D806ED" w:rsidRDefault="00000000">
      <w:pPr>
        <w:pStyle w:val="Textkrper"/>
      </w:pPr>
      <w:r>
        <w:t xml:space="preserve">Das Skript schränkt ein: Die dynamische Bereitstellung eignet sich für viele Positionen, </w:t>
      </w:r>
      <w:r>
        <w:rPr>
          <w:b/>
          <w:bCs/>
        </w:rPr>
        <w:t>niedrige Zugriffshäufigkeit</w:t>
      </w:r>
      <w:r>
        <w:t xml:space="preserve"> und grosse Mengen je Position. Bei hoher Zugriffshäufigkeit je Artikel passt die statische Bereitstellung (S. 51). Daraus folgt eine </w:t>
      </w:r>
      <w:r>
        <w:rPr>
          <w:b/>
          <w:bCs/>
        </w:rPr>
        <w:t>Dimensionierungsregel</w:t>
      </w:r>
      <w:r>
        <w:t xml:space="preserve">: Die häufig gegriffenen lokalen C-Teile, die fast das ganze Pickvolumen ausmachen (Annahme A26), gehören nicht in die Anlage. Sie kommen per 2-Behälter-Kanban direkt an </w:t>
        <w:lastRenderedPageBreak/>
        <w:t xml:space="preserve">die Linie. Die Ware-zur-Person-Anlage wird deshalb modular ausgebaut. </w:t>
      </w:r>
      <w:r>
        <w:rPr>
          <w:shd w:val="clear" w:color="auto" w:fill="DDEBF7"/>
        </w:rPr>
        <w:t xml:space="preserve">Daraus folgt ein Mengengerüst in zwei Strömen.</w:t>
      </w:r>
      <w:bookmarkEnd w:id="73"/>
    </w:p>
    <w:p>
      <w:pPr>
        <w:pStyle w:val="Textkrper"/>
      </w:pPr>
      <w:r>
        <w:rPr>
          <w:b/>
          <w:bCs/>
          <w:shd w:val="clear" w:color="auto" w:fill="DDEBF7"/>
        </w:rPr>
        <w:t xml:space="preserve">Mengengerüst Kommissionierung.</w:t>
      </w:r>
      <w:r>
        <w:rPr>
          <w:shd w:val="clear" w:color="auto" w:fill="DDEBF7"/>
        </w:rPr>
        <w:t xml:space="preserve"> Die Picks verteilen sich wie die Stückzahlen (Pickfaktor 1 : 1 000, Annahme A4). Lokale C-Teile machen 86,3 % der Stückzahl aus, also rund 12,1 Mio. der 14 Mio. Picks. Sie gehen per 2-Behälter-Kanban direkt an den Verbauort. In der Ware-zur-Person-Anlage verbleiben rund 1,9 Mio. Picks der A-, B- und Übersee-Teile; bei 500 Picks pro Person und Tag und 280 AT sind das 14 Personen. Der C-Teile-Partner füllt Behälter statt Einzelpicks nach: Fasst ein Behälter im Mittel fünf Pickmengen, fallen rund 2,4 Mio. Nachfüllvorgänge an, also 17 Personen beim Partner; im ungünstigsten Fall mit einem Behälter je Pick sind es 86 (Annahme A27). Der Kommissionieraufwand sinkt damit von 600 auf 31–100 Personen, davon 14 bei Grofu (Tabelle 26). Das Ziel der Fallstudie von 100 Personen hält also auch im ungünstigsten Fall. Das Milkrun-Personal ersetzt den heutigen LKW-Shuttle und ist nicht eingerechnet (Annahme A5).</w:t>
      </w:r>
    </w:p>
    <w:p w14:paraId="09D908EB" w14:textId="77777777" w:rsidR="00D806ED" w:rsidRDefault="00000000">
      <w:pPr>
        <w:pStyle w:val="berschrift2"/>
      </w:pPr>
      <w:bookmarkStart w:id="75" w:name="soll-zustand-und-massnahmen-je-ziel"/>
      <w:bookmarkStart w:id="76" w:name="_Toc243825051"/>
      <w:r>
        <w:t>Soll-Zustand und Massnahmen je Ziel</w:t>
      </w:r>
      <w:bookmarkEnd w:id="76"/>
    </w:p>
    <w:p w14:paraId="6637CFC6" w14:textId="77777777" w:rsidR="00D806ED" w:rsidRDefault="00000000">
      <w:pPr>
        <w:pStyle w:val="FirstParagraph"/>
      </w:pPr>
      <w:r>
        <w:t xml:space="preserve">Im Soll gibt es </w:t>
      </w:r>
      <w:r>
        <w:rPr>
          <w:b/>
          <w:bCs/>
        </w:rPr>
        <w:t>eine Inbound-Lagerstufe</w:t>
      </w:r>
      <w:r>
        <w:t xml:space="preserve">: Lager 1 wird Zentrallager mit Zollverschluss (Block 1, V3), Lager 4 Karatschi ist nur noch Rückfallebene. Von dort führt der Fluss über Milkrun und Supermärkte (Abbildung 3). </w:t>
      </w:r>
      <w:r>
        <w:rPr>
          <w:shd w:val="clear" w:color="auto" w:fill="DDEBF7"/>
        </w:rPr>
        <w:t xml:space="preserve">Rechenwege stehen in Tabelle 26.</w:t>
      </w:r>
    </w:p>
    <w:p w14:paraId="062AC5CF" w14:textId="520E70A9" w:rsidR="00D806ED" w:rsidRDefault="00000000">
      <w:pPr>
        <w:pStyle w:val="Beschriftung"/>
        <w:keepNext/>
      </w:pPr>
      <w:bookmarkStart w:id="77" w:name="_Toc243824214"/>
      <w:r>
        <w:t xml:space="preserve">Tabelle </w:t>
      </w:r>
      <w:fldSimple w:instr=" SEQ Tabelle \* ARABIC ">
        <w:r>
          <w:rPr>
            <w:noProof/>
          </w:rPr>
          <w:t>7</w:t>
        </w:r>
      </w:fldSimple>
      <w:r>
        <w:t>: Lagerlogistik: Ausgangslage, Soll und Massnahmen je Ziel</w:t>
      </w:r>
      <w:bookmarkEnd w:id="77"/>
    </w:p>
    <w:tbl>
      <w:tblPr>
        <w:tblStyle w:val="Tabellenraster"/>
        <w:tblW w:w="9070" w:type="dxa"/>
        <w:tblInd w:w="113" w:type="dxa"/>
        <w:tblLayout w:type="fixed"/>
        <w:tblLook w:val="0020" w:firstRow="1" w:lastRow="0" w:firstColumn="0" w:lastColumn="0" w:noHBand="0" w:noVBand="0"/>
      </w:tblPr>
      <w:tblGrid>
        <w:gridCol w:w="1821"/>
        <w:gridCol w:w="2321"/>
        <w:gridCol w:w="2321"/>
        <w:gridCol w:w="2607"/>
      </w:tblGrid>
      <w:tr w:rsidR="00D806ED" w14:paraId="4301291B" w14:textId="77777777">
        <w:trPr>
          <w:tblHeader/>
        </w:trPr>
        <w:tc>
          <w:tcPr>
            <w:tcW w:w="1821" w:type="dxa"/>
            <w:shd w:val="clear" w:color="auto" w:fill="D9D9D9"/>
          </w:tcPr>
          <w:p w14:paraId="31F358BD" w14:textId="77777777" w:rsidR="00D806ED" w:rsidRDefault="00000000">
            <w:pPr>
              <w:pStyle w:val="Tabelleninhalt"/>
            </w:pPr>
            <w:r>
              <w:rPr>
                <w:b/>
              </w:rPr>
              <w:t>Ziel</w:t>
            </w:r>
          </w:p>
        </w:tc>
        <w:tc>
          <w:tcPr>
            <w:tcW w:w="2321" w:type="dxa"/>
            <w:shd w:val="clear" w:color="auto" w:fill="D9D9D9"/>
          </w:tcPr>
          <w:p w14:paraId="5FA00986" w14:textId="77777777" w:rsidR="00D806ED" w:rsidRDefault="00000000">
            <w:pPr>
              <w:pStyle w:val="Tabelleninhalt"/>
            </w:pPr>
            <w:r>
              <w:rPr>
                <w:b/>
              </w:rPr>
              <w:t>Ausgangslage</w:t>
            </w:r>
          </w:p>
        </w:tc>
        <w:tc>
          <w:tcPr>
            <w:tcW w:w="2321" w:type="dxa"/>
            <w:shd w:val="clear" w:color="auto" w:fill="D9D9D9"/>
          </w:tcPr>
          <w:p w14:paraId="199A42BB" w14:textId="77777777" w:rsidR="00D806ED" w:rsidRDefault="00000000">
            <w:pPr>
              <w:pStyle w:val="Tabelleninhalt"/>
            </w:pPr>
            <w:r>
              <w:rPr>
                <w:b/>
              </w:rPr>
              <w:t>Soll</w:t>
            </w:r>
          </w:p>
        </w:tc>
        <w:tc>
          <w:tcPr>
            <w:tcW w:w="2607" w:type="dxa"/>
            <w:shd w:val="clear" w:color="auto" w:fill="D9D9D9"/>
          </w:tcPr>
          <w:p w14:paraId="4DFECCBC" w14:textId="77777777" w:rsidR="00D806ED" w:rsidRDefault="00000000">
            <w:pPr>
              <w:pStyle w:val="Tabelleninhalt"/>
            </w:pPr>
            <w:r>
              <w:rPr>
                <w:b/>
              </w:rPr>
              <w:t>Massnahmen</w:t>
            </w:r>
          </w:p>
        </w:tc>
      </w:tr>
      <w:tr w:rsidR="00D806ED" w14:paraId="1E6D7195" w14:textId="77777777">
        <w:trPr>
          <w:cantSplit/>
        </w:trPr>
        <w:tc>
          <w:tcPr>
            <w:tcW w:w="1821" w:type="dxa"/>
          </w:tcPr>
          <w:p w14:paraId="1E92BE5D" w14:textId="77777777" w:rsidR="00D806ED" w:rsidRDefault="00000000">
            <w:pPr>
              <w:pStyle w:val="Tabelleninhalt"/>
            </w:pPr>
            <w:r>
              <w:rPr>
                <w:b/>
                <w:bCs/>
              </w:rPr>
              <w:t>Erhöhung Lagerumschlag</w:t>
            </w:r>
          </w:p>
        </w:tc>
        <w:tc>
          <w:tcPr>
            <w:tcW w:w="2321" w:type="dxa"/>
          </w:tcPr>
          <w:p w14:paraId="7E9DA92F" w14:textId="77777777" w:rsidR="00D806ED" w:rsidRDefault="00000000">
            <w:pPr>
              <w:pStyle w:val="Tabelleninhalt"/>
            </w:pPr>
            <w:r>
              <w:rPr>
                <w:shd w:val="clear" w:color="auto" w:fill="DDEBF7"/>
              </w:rPr>
              <w:t xml:space="preserve">gesamt ≈ 1,4–1,8 (Losgrössenbestand allein ≈ 3,5; Annahme A21)</w:t>
            </w:r>
            <w:r>
              <w:t xml:space="preserve">, Lager 2 13–26 pro Jahr (Tabelle 2)</w:t>
            </w:r>
          </w:p>
        </w:tc>
        <w:tc>
          <w:tcPr>
            <w:tcW w:w="2321" w:type="dxa"/>
          </w:tcPr>
          <w:p w14:paraId="01706125" w14:textId="77777777" w:rsidR="00D806ED" w:rsidRDefault="00000000">
            <w:pPr>
              <w:pStyle w:val="Tabelleninhalt"/>
            </w:pPr>
            <w:r>
              <w:rPr>
                <w:shd w:val="clear" w:color="auto" w:fill="DDEBF7"/>
              </w:rPr>
              <w:t xml:space="preserve">gesamt 2,0–3,0 (−30 bis −41 % Bestand</w:t>
            </w:r>
            <w:r>
              <w:t xml:space="preserve">, wie es die Konzernzentrale als Potenzial schätzt, HWZ, o. J., S. 5; plausibel unter Annahmen A20, A21); Supermarkt ≈ 280 pro Jahr (≤ 1 AT, Annahme A12)</w:t>
            </w:r>
          </w:p>
        </w:tc>
        <w:tc>
          <w:tcPr>
            <w:tcW w:w="2607" w:type="dxa"/>
          </w:tcPr>
          <w:p w14:paraId="4F4B7FAA" w14:textId="77777777" w:rsidR="00D806ED" w:rsidRDefault="00000000">
            <w:pPr>
              <w:pStyle w:val="Tabelleninhalt"/>
            </w:pPr>
            <w:r>
              <w:t>Lager 2 durch Kanban-Supermärkte ersetzen; A-Teile ≥ 24, B-Teile ≥ 12 Abrufe pro Jahr (Tabelle 15); lokale C-Teile im C-Teile-Management mit Konsignation, Bestand beim Lieferanten (Hutzler &amp; Fuchs, 2021, S. 38, 66)</w:t>
            </w:r>
          </w:p>
        </w:tc>
      </w:tr>
      <w:tr w:rsidR="00D806ED" w14:paraId="6426515F" w14:textId="77777777">
        <w:trPr>
          <w:cantSplit/>
        </w:trPr>
        <w:tc>
          <w:tcPr>
            <w:tcW w:w="1821" w:type="dxa"/>
          </w:tcPr>
          <w:p w14:paraId="67AB1161" w14:textId="77777777" w:rsidR="00D806ED" w:rsidRDefault="00000000">
            <w:pPr>
              <w:pStyle w:val="Tabelleninhalt"/>
            </w:pPr>
            <w:r>
              <w:rPr>
                <w:b/>
                <w:bCs/>
              </w:rPr>
              <w:t>Reduktion Lagerfläche</w:t>
            </w:r>
          </w:p>
        </w:tc>
        <w:tc>
          <w:tcPr>
            <w:tcW w:w="2321" w:type="dxa"/>
          </w:tcPr>
          <w:p w14:paraId="28C6B58B" w14:textId="77777777" w:rsidR="00D806ED" w:rsidRDefault="00000000">
            <w:pPr>
              <w:pStyle w:val="Tabelleninhalt"/>
            </w:pPr>
            <w:r>
              <w:t>drei Inbound-Stufen: Lager 4, Lager 1 (12 000 Paletten-, 30 000 Behälterplätze; HWZ, o. J., S. 3), Lager 2</w:t>
            </w:r>
          </w:p>
        </w:tc>
        <w:tc>
          <w:tcPr>
            <w:tcW w:w="2321" w:type="dxa"/>
          </w:tcPr>
          <w:p w14:paraId="6A2F6046" w14:textId="77777777" w:rsidR="00D806ED" w:rsidRDefault="00000000">
            <w:pPr>
              <w:pStyle w:val="Tabelleninhalt"/>
            </w:pPr>
            <w:r>
              <w:rPr>
                <w:b/>
                <w:bCs/>
              </w:rPr>
              <w:t>eine</w:t>
            </w:r>
            <w:r>
              <w:t xml:space="preserve"> Stufe: Lager 2 und im Zielbild Lager 4 entfallen ganz. Lager 1 bleibt netto etwa gleich gross (Annahme A13) und braucht keinen Neubau</w:t>
            </w:r>
          </w:p>
        </w:tc>
        <w:tc>
          <w:tcPr>
            <w:tcW w:w="2607" w:type="dxa"/>
          </w:tcPr>
          <w:p w14:paraId="368D41E9" w14:textId="77777777" w:rsidR="00D806ED" w:rsidRDefault="00000000">
            <w:pPr>
              <w:pStyle w:val="Tabelleninhalt"/>
            </w:pPr>
            <w:r>
              <w:t xml:space="preserve">Lager 1 wird 30–40 % Bestand los und nimmt dafür den Restbestand aus Lager 2, den Zollverschluss und die Übersee-C-Teile auf; lokale C-Teile gehen direkt an den Verbauort; Lagerplätze nach </w:t>
            </w:r>
            <w:r>
              <w:rPr>
                <w:b/>
                <w:bCs/>
              </w:rPr>
              <w:t>Zugriffshäufigkeit</w:t>
            </w:r>
            <w:r>
              <w:t xml:space="preserve"> statt nach Wert vergeben (die ABC-Analyse ist wertbasiert, S. 35), dazu Pick-ABC erheben</w:t>
            </w:r>
          </w:p>
        </w:tc>
      </w:tr>
      <w:tr w:rsidR="00D806ED" w14:paraId="34E113EB" w14:textId="77777777">
        <w:trPr>
          <w:cantSplit/>
        </w:trPr>
        <w:tc>
          <w:tcPr>
            <w:tcW w:w="1821" w:type="dxa"/>
          </w:tcPr>
          <w:p w14:paraId="2D0C9F86" w14:textId="77777777" w:rsidR="00D806ED" w:rsidRDefault="00000000">
            <w:pPr>
              <w:pStyle w:val="Tabelleninhalt"/>
              <w:keepNext/>
            </w:pPr>
            <w:r>
              <w:rPr>
                <w:b/>
                <w:bCs/>
              </w:rPr>
              <w:t>Verkürzung Durchlaufzeit</w:t>
            </w:r>
          </w:p>
        </w:tc>
        <w:tc>
          <w:tcPr>
            <w:tcW w:w="2321" w:type="dxa"/>
          </w:tcPr>
          <w:p w14:paraId="5850B4BD" w14:textId="77777777" w:rsidR="00D806ED" w:rsidRDefault="00000000">
            <w:pPr>
              <w:pStyle w:val="Tabelleninhalt"/>
              <w:keepNext/>
            </w:pPr>
            <w:r>
              <w:t xml:space="preserve">ab Lager 1 bis Verbau 12,8–23,5 AT (Umlagerung + Liegezeit, Annahme A1); dazu Konsolidierung und Zoll in Karatschi</w:t>
            </w:r>
          </w:p>
        </w:tc>
        <w:tc>
          <w:tcPr>
            <w:tcW w:w="2321" w:type="dxa"/>
          </w:tcPr>
          <w:p w14:paraId="2B32A76E" w14:textId="77777777" w:rsidR="00D806ED" w:rsidRDefault="00000000">
            <w:pPr>
              <w:pStyle w:val="Tabelleninhalt"/>
              <w:keepNext/>
            </w:pPr>
            <w:r>
              <w:t>≤ 1 AT (−92 bis −96 %); Dock-to-Stock ≤ 1 AT (Annahme A14)</w:t>
            </w:r>
          </w:p>
        </w:tc>
        <w:tc>
          <w:tcPr>
            <w:tcW w:w="2607" w:type="dxa"/>
          </w:tcPr>
          <w:p w14:paraId="514DE899" w14:textId="77777777" w:rsidR="00D806ED" w:rsidRDefault="00000000">
            <w:pPr>
              <w:pStyle w:val="Tabelleninhalt"/>
              <w:keepNext/>
            </w:pPr>
            <w:r>
              <w:t>Milkrun mit mindestens 2 Runden pro Schicht statt Tages-Shuttle; QSV und Skip-Lot statt Eingangsprüfung (S. 67); EDI-Lieferavis und Scan (S. 57); Zollverschluss: bei Ankunft nur Anmeldung, Verzollung bei Entnahme (HWZ, o. J., S. 4)</w:t>
            </w:r>
          </w:p>
        </w:tc>
      </w:tr>
    </w:tbl>
    <w:p w14:paraId="39C5EC26" w14:textId="77777777" w:rsidR="00D806ED" w:rsidRDefault="00000000">
      <w:pPr>
        <w:pStyle w:val="Quellenangabe"/>
      </w:pPr>
      <w:r>
        <w:t xml:space="preserve">Quelle: Eigene Darstellung und Berechnung; Daten: HWZ (o. J., S. 3–6), </w:t>
      </w:r>
      <w:r>
        <w:rPr>
          <w:i/>
          <w:iCs/>
        </w:rPr>
        <w:t>Daten-ABC-Analyse-Grofu</w:t>
      </w:r>
      <w:r>
        <w:t xml:space="preserve"> (o. J.).</w:t>
      </w:r>
    </w:p>
    <w:p w14:paraId="7901361B" w14:textId="77777777" w:rsidR="00D806ED" w:rsidRDefault="00000000">
      <w:pPr>
        <w:pStyle w:val="Textkrper"/>
      </w:pPr>
      <w:r>
        <w:t xml:space="preserve">Der </w:t>
      </w:r>
      <w:r>
        <w:rPr>
          <w:b/>
          <w:bCs/>
        </w:rPr>
        <w:t>Nachteil</w:t>
      </w:r>
      <w:r>
        <w:t>: Ohne Lager 2 schlagen Störungen schneller auf die Produktion durch (Hutzler &amp; Fuchs, 2021, S. 48). Gegenmittel sind Sicherheitsbestände für Z-Teile und Übersee-C-Teile im Zentrallager, ein Notfall-Milkrun und der stufenweise Abbau von Lager 2.</w:t>
      </w:r>
      <w:bookmarkEnd w:id="75"/>
    </w:p>
    <w:p w14:paraId="3E85B4E0" w14:textId="723D9336" w:rsidR="00D806ED" w:rsidRDefault="00000000">
      <w:pPr>
        <w:pStyle w:val="berschrift2"/>
        <w:pageBreakBefore/>
      </w:pPr>
      <w:bookmarkStart w:id="78" w:name="kennzahlen-zur-messung-der-verbesserung"/>
      <w:bookmarkStart w:id="79" w:name="_Toc243825052"/>
      <w:r>
        <w:lastRenderedPageBreak/>
        <w:t>Kennzahlen zur Messung der Verbesserung</w:t>
      </w:r>
      <w:bookmarkEnd w:id="79"/>
    </w:p>
    <w:p w14:paraId="2A78D403" w14:textId="77777777" w:rsidR="00D806ED" w:rsidRDefault="00000000">
      <w:pPr>
        <w:pStyle w:val="FirstParagraph"/>
      </w:pPr>
      <w:r>
        <w:rPr>
          <w:shd w:val="clear" w:color="auto" w:fill="DDEBF7"/>
        </w:rPr>
        <w:t xml:space="preserve">Skript und Kursfolien verlangen, Lagerkennzahlen zu erfassen und zu überwachen, und ordnen Kennzahlen in die Balanced Scorecard ein (Fuchs, 2024a, Folie 26; Fuchs, 2024b, Folie 31), definieren aber keine einzelnen Lagerkennzahlen.</w:t>
      </w:r>
      <w:r>
        <w:t xml:space="preserve"> Die Auswahl folgt daher der VDI-Richtlinie 4490 (Verein Deutscher Ingenieure [VDI], 2007). Der Lagerumschlag ist der Lagerabgang geteilt durch den durchschnittlichen Lagerbestand (Krieger, 2018), die Reichweite sein Kehrwert (Kenning, 2018).</w:t>
      </w:r>
    </w:p>
    <w:p w14:paraId="786A3A5F" w14:textId="6AE4EA90" w:rsidR="00D806ED" w:rsidRDefault="00000000">
      <w:pPr>
        <w:pStyle w:val="Beschriftung"/>
        <w:keepNext/>
      </w:pPr>
      <w:bookmarkStart w:id="80" w:name="_Toc243824215"/>
      <w:r>
        <w:t xml:space="preserve">Tabelle </w:t>
      </w:r>
      <w:fldSimple w:instr=" SEQ Tabelle \* ARABIC ">
        <w:r>
          <w:rPr>
            <w:noProof/>
          </w:rPr>
          <w:t>8</w:t>
        </w:r>
      </w:fldSimple>
      <w:r>
        <w:t>: Kennzahlen-Cockpit Lagerlogistik</w:t>
      </w:r>
      <w:bookmarkEnd w:id="80"/>
    </w:p>
    <w:tbl>
      <w:tblPr>
        <w:tblStyle w:val="Tabellenraster"/>
        <w:tblW w:w="9070" w:type="dxa"/>
        <w:tblInd w:w="113" w:type="dxa"/>
        <w:tblLayout w:type="fixed"/>
        <w:tblLook w:val="0020" w:firstRow="1" w:lastRow="0" w:firstColumn="0" w:lastColumn="0" w:noHBand="0" w:noVBand="0"/>
      </w:tblPr>
      <w:tblGrid>
        <w:gridCol w:w="2634"/>
        <w:gridCol w:w="2144"/>
        <w:gridCol w:w="1242"/>
        <w:gridCol w:w="1390"/>
        <w:gridCol w:w="1660"/>
      </w:tblGrid>
      <w:tr w:rsidR="00D806ED" w14:paraId="52D7385D" w14:textId="77777777">
        <w:trPr>
          <w:tblHeader/>
        </w:trPr>
        <w:tc>
          <w:tcPr>
            <w:tcW w:w="2634" w:type="dxa"/>
            <w:shd w:val="clear" w:color="auto" w:fill="D9D9D9"/>
          </w:tcPr>
          <w:p w14:paraId="1E4E5310" w14:textId="77777777" w:rsidR="00D806ED" w:rsidRDefault="00000000">
            <w:pPr>
              <w:pStyle w:val="Tabelleninhalt"/>
              <w:keepNext/>
            </w:pPr>
            <w:r>
              <w:rPr>
                <w:b/>
              </w:rPr>
              <w:t>Kennzahl</w:t>
            </w:r>
          </w:p>
        </w:tc>
        <w:tc>
          <w:tcPr>
            <w:tcW w:w="2144" w:type="dxa"/>
            <w:shd w:val="clear" w:color="auto" w:fill="D9D9D9"/>
          </w:tcPr>
          <w:p w14:paraId="3DD54CBA" w14:textId="77777777" w:rsidR="00D806ED" w:rsidRDefault="00000000">
            <w:pPr>
              <w:pStyle w:val="Tabelleninhalt"/>
              <w:keepNext/>
            </w:pPr>
            <w:r>
              <w:rPr>
                <w:b/>
              </w:rPr>
              <w:t>Formel</w:t>
            </w:r>
          </w:p>
        </w:tc>
        <w:tc>
          <w:tcPr>
            <w:tcW w:w="1242" w:type="dxa"/>
            <w:shd w:val="clear" w:color="auto" w:fill="D9D9D9"/>
          </w:tcPr>
          <w:p w14:paraId="3AED5316" w14:textId="77777777" w:rsidR="00D806ED" w:rsidRDefault="00000000">
            <w:pPr>
              <w:pStyle w:val="Tabelleninhalt"/>
              <w:keepNext/>
            </w:pPr>
            <w:r>
              <w:rPr>
                <w:b/>
              </w:rPr>
              <w:t>Ist</w:t>
            </w:r>
          </w:p>
        </w:tc>
        <w:tc>
          <w:tcPr>
            <w:tcW w:w="1390" w:type="dxa"/>
            <w:shd w:val="clear" w:color="auto" w:fill="D9D9D9"/>
          </w:tcPr>
          <w:p w14:paraId="3D9952D3" w14:textId="77777777" w:rsidR="00D806ED" w:rsidRDefault="00000000">
            <w:pPr>
              <w:pStyle w:val="Tabelleninhalt"/>
              <w:keepNext/>
            </w:pPr>
            <w:r>
              <w:rPr>
                <w:b/>
              </w:rPr>
              <w:t>Ziel</w:t>
            </w:r>
          </w:p>
        </w:tc>
        <w:tc>
          <w:tcPr>
            <w:tcW w:w="1660" w:type="dxa"/>
            <w:shd w:val="clear" w:color="auto" w:fill="D9D9D9"/>
          </w:tcPr>
          <w:p w14:paraId="3E0B4EB5" w14:textId="77777777" w:rsidR="00D806ED" w:rsidRDefault="00000000">
            <w:pPr>
              <w:pStyle w:val="Tabelleninhalt"/>
              <w:keepNext/>
            </w:pPr>
            <w:r>
              <w:rPr>
                <w:b/>
              </w:rPr>
              <w:t>Takt</w:t>
            </w:r>
          </w:p>
        </w:tc>
      </w:tr>
      <w:tr w:rsidR="00D806ED" w14:paraId="225C9E36" w14:textId="77777777">
        <w:trPr>
          <w:cantSplit/>
        </w:trPr>
        <w:tc>
          <w:tcPr>
            <w:tcW w:w="2634" w:type="dxa"/>
          </w:tcPr>
          <w:p w14:paraId="259A33FC" w14:textId="77777777" w:rsidR="00D806ED" w:rsidRDefault="00000000">
            <w:pPr>
              <w:pStyle w:val="Tabelleninhalt"/>
              <w:keepNext/>
            </w:pPr>
            <w:r>
              <w:t>Lagerumschlag gesamt</w:t>
            </w:r>
          </w:p>
        </w:tc>
        <w:tc>
          <w:tcPr>
            <w:tcW w:w="2144" w:type="dxa"/>
          </w:tcPr>
          <w:p w14:paraId="27C9091D" w14:textId="77777777" w:rsidR="00D806ED" w:rsidRDefault="00000000">
            <w:pPr>
              <w:pStyle w:val="Tabelleninhalt"/>
              <w:keepNext/>
            </w:pPr>
            <w:r>
              <w:t>Jahresverbrauch ÷ Ø Bestand</w:t>
            </w:r>
          </w:p>
        </w:tc>
        <w:tc>
          <w:tcPr>
            <w:tcW w:w="1242" w:type="dxa"/>
          </w:tcPr>
          <w:p w14:paraId="666F6AB6" w14:textId="77777777" w:rsidR="00D806ED" w:rsidRDefault="00000000">
            <w:pPr>
              <w:pStyle w:val="Tabelleninhalt"/>
              <w:keepNext/>
            </w:pPr>
            <w:r>
              <w:rPr>
                <w:shd w:val="clear" w:color="auto" w:fill="DDEBF7"/>
              </w:rPr>
              <w:t xml:space="preserve">≈ 1,4–1,8</w:t>
            </w:r>
          </w:p>
        </w:tc>
        <w:tc>
          <w:tcPr>
            <w:tcW w:w="1390" w:type="dxa"/>
          </w:tcPr>
          <w:p w14:paraId="5B5DA567" w14:textId="77777777" w:rsidR="00D806ED" w:rsidRDefault="00000000">
            <w:pPr>
              <w:pStyle w:val="Tabelleninhalt"/>
              <w:keepNext/>
            </w:pPr>
            <w:r>
              <w:rPr>
                <w:shd w:val="clear" w:color="auto" w:fill="DDEBF7"/>
              </w:rPr>
              <w:t xml:space="preserve">2,0–3,0</w:t>
            </w:r>
          </w:p>
        </w:tc>
        <w:tc>
          <w:tcPr>
            <w:tcW w:w="1660" w:type="dxa"/>
          </w:tcPr>
          <w:p w14:paraId="329F3FBA" w14:textId="77777777" w:rsidR="00D806ED" w:rsidRDefault="00000000">
            <w:pPr>
              <w:pStyle w:val="Tabelleninhalt"/>
              <w:keepNext/>
            </w:pPr>
            <w:r>
              <w:t>monatlich</w:t>
            </w:r>
          </w:p>
        </w:tc>
      </w:tr>
      <w:tr w:rsidR="00D806ED" w14:paraId="3E72B936" w14:textId="77777777">
        <w:trPr>
          <w:cantSplit/>
        </w:trPr>
        <w:tc>
          <w:tcPr>
            <w:tcW w:w="2634" w:type="dxa"/>
          </w:tcPr>
          <w:p w14:paraId="562E36B6" w14:textId="77777777" w:rsidR="00D806ED" w:rsidRDefault="00000000">
            <w:pPr>
              <w:pStyle w:val="Tabelleninhalt"/>
              <w:keepNext/>
            </w:pPr>
            <w:r>
              <w:t>Reichweite Lager 2 bzw. Supermarkt</w:t>
            </w:r>
          </w:p>
        </w:tc>
        <w:tc>
          <w:tcPr>
            <w:tcW w:w="2144" w:type="dxa"/>
          </w:tcPr>
          <w:p w14:paraId="45F5CDB1" w14:textId="77777777" w:rsidR="00D806ED" w:rsidRDefault="00000000">
            <w:pPr>
              <w:pStyle w:val="Tabelleninhalt"/>
              <w:keepNext/>
            </w:pPr>
            <w:r>
              <w:t>Ø Bestand ÷ Ø Tagesbedarf</w:t>
            </w:r>
          </w:p>
        </w:tc>
        <w:tc>
          <w:tcPr>
            <w:tcW w:w="1242" w:type="dxa"/>
          </w:tcPr>
          <w:p w14:paraId="01E0D685" w14:textId="77777777" w:rsidR="00D806ED" w:rsidRDefault="00000000">
            <w:pPr>
              <w:pStyle w:val="Tabelleninhalt"/>
              <w:keepNext/>
            </w:pPr>
            <w:r>
              <w:t>10,8–21,5 AT</w:t>
            </w:r>
          </w:p>
        </w:tc>
        <w:tc>
          <w:tcPr>
            <w:tcW w:w="1390" w:type="dxa"/>
          </w:tcPr>
          <w:p w14:paraId="29927047" w14:textId="77777777" w:rsidR="00D806ED" w:rsidRDefault="00000000">
            <w:pPr>
              <w:pStyle w:val="Tabelleninhalt"/>
              <w:keepNext/>
            </w:pPr>
            <w:r>
              <w:t>&lt; 3 AT, dann ≤ 1 AT</w:t>
            </w:r>
          </w:p>
        </w:tc>
        <w:tc>
          <w:tcPr>
            <w:tcW w:w="1660" w:type="dxa"/>
          </w:tcPr>
          <w:p w14:paraId="71EA23F7" w14:textId="77777777" w:rsidR="00D806ED" w:rsidRDefault="00000000">
            <w:pPr>
              <w:pStyle w:val="Tabelleninhalt"/>
              <w:keepNext/>
            </w:pPr>
            <w:r>
              <w:t>wöchentlich</w:t>
            </w:r>
          </w:p>
        </w:tc>
      </w:tr>
      <w:tr w:rsidR="00D806ED" w14:paraId="0037360A" w14:textId="77777777">
        <w:trPr>
          <w:cantSplit/>
        </w:trPr>
        <w:tc>
          <w:tcPr>
            <w:tcW w:w="2634" w:type="dxa"/>
          </w:tcPr>
          <w:p w14:paraId="52381778" w14:textId="77777777" w:rsidR="00D806ED" w:rsidRDefault="00000000">
            <w:pPr>
              <w:pStyle w:val="Tabelleninhalt"/>
              <w:keepNext/>
            </w:pPr>
            <w:r>
              <w:t>Inbound-Lagerfläche gesamt</w:t>
            </w:r>
          </w:p>
        </w:tc>
        <w:tc>
          <w:tcPr>
            <w:tcW w:w="2144" w:type="dxa"/>
          </w:tcPr>
          <w:p w14:paraId="4CE9420A" w14:textId="77777777" w:rsidR="00D806ED" w:rsidRDefault="00000000">
            <w:pPr>
              <w:pStyle w:val="Tabelleninhalt"/>
              <w:keepNext/>
            </w:pPr>
            <w:r>
              <w:t>m² Lager 1 + 2 + 4</w:t>
            </w:r>
          </w:p>
        </w:tc>
        <w:tc>
          <w:tcPr>
            <w:tcW w:w="1242" w:type="dxa"/>
          </w:tcPr>
          <w:p w14:paraId="2B97659B" w14:textId="77777777" w:rsidR="00D806ED" w:rsidRDefault="00000000">
            <w:pPr>
              <w:pStyle w:val="Tabelleninhalt"/>
              <w:keepNext/>
            </w:pPr>
            <w:r>
              <w:t>Baseline</w:t>
            </w:r>
          </w:p>
        </w:tc>
        <w:tc>
          <w:tcPr>
            <w:tcW w:w="1390" w:type="dxa"/>
          </w:tcPr>
          <w:p w14:paraId="6A21BB54" w14:textId="77777777" w:rsidR="00D806ED" w:rsidRDefault="00000000">
            <w:pPr>
              <w:pStyle w:val="Tabelleninhalt"/>
              <w:keepNext/>
            </w:pPr>
            <w:r>
              <w:t>− Fläche Lager 2 und 4</w:t>
            </w:r>
          </w:p>
        </w:tc>
        <w:tc>
          <w:tcPr>
            <w:tcW w:w="1660" w:type="dxa"/>
          </w:tcPr>
          <w:p w14:paraId="2B1C856B" w14:textId="77777777" w:rsidR="00D806ED" w:rsidRDefault="00000000">
            <w:pPr>
              <w:pStyle w:val="Tabelleninhalt"/>
              <w:keepNext/>
            </w:pPr>
            <w:r>
              <w:t>quartalsweise</w:t>
            </w:r>
          </w:p>
        </w:tc>
      </w:tr>
      <w:tr w:rsidR="00D806ED" w14:paraId="518860BD" w14:textId="77777777">
        <w:trPr>
          <w:cantSplit/>
        </w:trPr>
        <w:tc>
          <w:tcPr>
            <w:tcW w:w="2634" w:type="dxa"/>
          </w:tcPr>
          <w:p w14:paraId="6120BAC7" w14:textId="77777777" w:rsidR="00D806ED" w:rsidRDefault="00000000">
            <w:pPr>
              <w:pStyle w:val="Tabelleninhalt"/>
              <w:keepNext/>
            </w:pPr>
            <w:r>
              <w:t>Kommissionierleistung</w:t>
            </w:r>
          </w:p>
        </w:tc>
        <w:tc>
          <w:tcPr>
            <w:tcW w:w="2144" w:type="dxa"/>
          </w:tcPr>
          <w:p w14:paraId="3FAA5762" w14:textId="77777777" w:rsidR="00D806ED" w:rsidRDefault="00000000">
            <w:pPr>
              <w:pStyle w:val="Tabelleninhalt"/>
              <w:keepNext/>
            </w:pPr>
            <w:r>
              <w:t>Picks ÷ Personentage</w:t>
            </w:r>
          </w:p>
        </w:tc>
        <w:tc>
          <w:tcPr>
            <w:tcW w:w="1242" w:type="dxa"/>
          </w:tcPr>
          <w:p w14:paraId="04E732D5" w14:textId="77777777" w:rsidR="00D806ED" w:rsidRDefault="00000000">
            <w:pPr>
              <w:pStyle w:val="Tabelleninhalt"/>
              <w:keepNext/>
            </w:pPr>
            <w:r>
              <w:t>83</w:t>
            </w:r>
          </w:p>
        </w:tc>
        <w:tc>
          <w:tcPr>
            <w:tcW w:w="1390" w:type="dxa"/>
          </w:tcPr>
          <w:p w14:paraId="3495BBE5" w14:textId="77777777" w:rsidR="00D806ED" w:rsidRDefault="00000000">
            <w:pPr>
              <w:pStyle w:val="Tabelleninhalt"/>
              <w:keepNext/>
            </w:pPr>
            <w:r>
              <w:t>500</w:t>
            </w:r>
          </w:p>
        </w:tc>
        <w:tc>
          <w:tcPr>
            <w:tcW w:w="1660" w:type="dxa"/>
          </w:tcPr>
          <w:p w14:paraId="6F56019A" w14:textId="77777777" w:rsidR="00D806ED" w:rsidRDefault="00000000">
            <w:pPr>
              <w:pStyle w:val="Tabelleninhalt"/>
              <w:keepNext/>
            </w:pPr>
            <w:r>
              <w:t>täglich</w:t>
            </w:r>
          </w:p>
        </w:tc>
      </w:tr>
      <w:tr w:rsidR="00D806ED" w14:paraId="4AAB3389" w14:textId="77777777">
        <w:trPr>
          <w:cantSplit/>
        </w:trPr>
        <w:tc>
          <w:tcPr>
            <w:tcW w:w="2634" w:type="dxa"/>
          </w:tcPr>
          <w:p w14:paraId="77F40CCC" w14:textId="77777777" w:rsidR="00D806ED" w:rsidRDefault="00000000">
            <w:pPr>
              <w:pStyle w:val="Tabelleninhalt"/>
              <w:keepNext/>
            </w:pPr>
            <w:r>
              <w:t>Kommissionierqualität</w:t>
            </w:r>
          </w:p>
        </w:tc>
        <w:tc>
          <w:tcPr>
            <w:tcW w:w="2144" w:type="dxa"/>
          </w:tcPr>
          <w:p w14:paraId="689BDBA7" w14:textId="77777777" w:rsidR="00D806ED" w:rsidRDefault="00000000">
            <w:pPr>
              <w:pStyle w:val="Tabelleninhalt"/>
              <w:keepNext/>
            </w:pPr>
            <w:r>
              <w:t xml:space="preserve">fehlerfreie ÷ alle Picks</w:t>
            </w:r>
          </w:p>
        </w:tc>
        <w:tc>
          <w:tcPr>
            <w:tcW w:w="1242" w:type="dxa"/>
          </w:tcPr>
          <w:p w14:paraId="3E468516" w14:textId="77777777" w:rsidR="00D806ED" w:rsidRDefault="00000000">
            <w:pPr>
              <w:pStyle w:val="Tabelleninhalt"/>
              <w:keepNext/>
            </w:pPr>
            <w:r>
              <w:t>Baseline</w:t>
            </w:r>
          </w:p>
        </w:tc>
        <w:tc>
          <w:tcPr>
            <w:tcW w:w="1390" w:type="dxa"/>
          </w:tcPr>
          <w:p w14:paraId="326C7AA7" w14:textId="77777777" w:rsidR="00D806ED" w:rsidRDefault="00000000">
            <w:pPr>
              <w:pStyle w:val="Tabelleninhalt"/>
              <w:keepNext/>
            </w:pPr>
            <w:r>
              <w:rPr>
                <w:highlight w:val="yellow"/>
              </w:rPr>
              <w:t>Zielwert nach Baseline festlegen</w:t>
            </w:r>
          </w:p>
        </w:tc>
        <w:tc>
          <w:tcPr>
            <w:tcW w:w="1660" w:type="dxa"/>
          </w:tcPr>
          <w:p w14:paraId="06AA3475" w14:textId="77777777" w:rsidR="00D806ED" w:rsidRDefault="00000000">
            <w:pPr>
              <w:pStyle w:val="Tabelleninhalt"/>
              <w:keepNext/>
            </w:pPr>
            <w:r>
              <w:t>täglich</w:t>
            </w:r>
          </w:p>
        </w:tc>
      </w:tr>
      <w:tr w:rsidR="00D806ED" w14:paraId="0C5D49D6" w14:textId="77777777">
        <w:trPr>
          <w:cantSplit/>
        </w:trPr>
        <w:tc>
          <w:tcPr>
            <w:tcW w:w="2634" w:type="dxa"/>
          </w:tcPr>
          <w:p w14:paraId="24E4F01A" w14:textId="77777777" w:rsidR="00D806ED" w:rsidRDefault="00000000">
            <w:pPr>
              <w:pStyle w:val="Tabelleninhalt"/>
              <w:keepNext/>
            </w:pPr>
            <w:r>
              <w:t xml:space="preserve">Material-DLZ Lager 1 → Verbauort</w:t>
            </w:r>
          </w:p>
        </w:tc>
        <w:tc>
          <w:tcPr>
            <w:tcW w:w="2144" w:type="dxa"/>
          </w:tcPr>
          <w:p w14:paraId="7DDBED68" w14:textId="77777777" w:rsidR="00D806ED" w:rsidRDefault="00000000">
            <w:pPr>
              <w:pStyle w:val="Tabelleninhalt"/>
              <w:keepNext/>
            </w:pPr>
            <w:r>
              <w:t xml:space="preserve">Zeit Auslagerung bis Verbau</w:t>
            </w:r>
          </w:p>
        </w:tc>
        <w:tc>
          <w:tcPr>
            <w:tcW w:w="1242" w:type="dxa"/>
          </w:tcPr>
          <w:p w14:paraId="792FB86C" w14:textId="77777777" w:rsidR="00D806ED" w:rsidRDefault="00000000">
            <w:pPr>
              <w:pStyle w:val="Tabelleninhalt"/>
              <w:keepNext/>
            </w:pPr>
            <w:r>
              <w:t>12,8–23,5 AT</w:t>
            </w:r>
          </w:p>
        </w:tc>
        <w:tc>
          <w:tcPr>
            <w:tcW w:w="1390" w:type="dxa"/>
          </w:tcPr>
          <w:p w14:paraId="36C2FB00" w14:textId="77777777" w:rsidR="00D806ED" w:rsidRDefault="00000000">
            <w:pPr>
              <w:pStyle w:val="Tabelleninhalt"/>
              <w:keepNext/>
            </w:pPr>
            <w:r>
              <w:t>≤ 1 AT</w:t>
            </w:r>
          </w:p>
        </w:tc>
        <w:tc>
          <w:tcPr>
            <w:tcW w:w="1660" w:type="dxa"/>
          </w:tcPr>
          <w:p w14:paraId="7123FAE6" w14:textId="77777777" w:rsidR="00D806ED" w:rsidRDefault="00000000">
            <w:pPr>
              <w:pStyle w:val="Tabelleninhalt"/>
              <w:keepNext/>
            </w:pPr>
            <w:r>
              <w:t>wöchentlich</w:t>
            </w:r>
          </w:p>
        </w:tc>
      </w:tr>
      <w:tr w:rsidR="00D806ED" w14:paraId="18543CC1" w14:textId="77777777">
        <w:trPr>
          <w:cantSplit/>
        </w:trPr>
        <w:tc>
          <w:tcPr>
            <w:tcW w:w="2634" w:type="dxa"/>
          </w:tcPr>
          <w:p w14:paraId="71E64904" w14:textId="77777777" w:rsidR="00D806ED" w:rsidRDefault="00000000">
            <w:pPr>
              <w:pStyle w:val="Tabelleninhalt"/>
              <w:keepNext/>
            </w:pPr>
            <w:r>
              <w:t>Dock-to-Stock</w:t>
            </w:r>
          </w:p>
        </w:tc>
        <w:tc>
          <w:tcPr>
            <w:tcW w:w="2144" w:type="dxa"/>
          </w:tcPr>
          <w:p w14:paraId="2A8C1A16" w14:textId="77777777" w:rsidR="00D806ED" w:rsidRDefault="00000000">
            <w:pPr>
              <w:pStyle w:val="Tabelleninhalt"/>
              <w:keepNext/>
            </w:pPr>
            <w:r>
              <w:t>Zeit Wareneingang bis Platz verfügbar</w:t>
            </w:r>
          </w:p>
        </w:tc>
        <w:tc>
          <w:tcPr>
            <w:tcW w:w="1242" w:type="dxa"/>
          </w:tcPr>
          <w:p w14:paraId="5BD18CBE" w14:textId="77777777" w:rsidR="00D806ED" w:rsidRDefault="00000000">
            <w:pPr>
              <w:pStyle w:val="Tabelleninhalt"/>
              <w:keepNext/>
            </w:pPr>
            <w:r>
              <w:t>Baseline</w:t>
            </w:r>
          </w:p>
        </w:tc>
        <w:tc>
          <w:tcPr>
            <w:tcW w:w="1390" w:type="dxa"/>
          </w:tcPr>
          <w:p w14:paraId="11112B32" w14:textId="77777777" w:rsidR="00D806ED" w:rsidRDefault="00000000">
            <w:pPr>
              <w:pStyle w:val="Tabelleninhalt"/>
              <w:keepNext/>
            </w:pPr>
            <w:r>
              <w:t>≤ 1 AT (Annahme A14)</w:t>
            </w:r>
          </w:p>
        </w:tc>
        <w:tc>
          <w:tcPr>
            <w:tcW w:w="1660" w:type="dxa"/>
          </w:tcPr>
          <w:p w14:paraId="5AB2CC4B" w14:textId="77777777" w:rsidR="00D806ED" w:rsidRDefault="00000000">
            <w:pPr>
              <w:pStyle w:val="Tabelleninhalt"/>
              <w:keepNext/>
            </w:pPr>
            <w:r>
              <w:t>täglich</w:t>
            </w:r>
          </w:p>
        </w:tc>
      </w:tr>
      <w:tr w:rsidR="00D806ED" w14:paraId="140959BA" w14:textId="77777777">
        <w:trPr>
          <w:cantSplit/>
        </w:trPr>
        <w:tc>
          <w:tcPr>
            <w:tcW w:w="2634" w:type="dxa"/>
          </w:tcPr>
          <w:p w14:paraId="72AB73FA" w14:textId="77777777" w:rsidR="00D806ED" w:rsidRDefault="00000000">
            <w:pPr>
              <w:pStyle w:val="Tabelleninhalt"/>
              <w:keepNext/>
            </w:pPr>
            <w:r>
              <w:t>Lieferbereitschaft Supermarkt</w:t>
            </w:r>
          </w:p>
        </w:tc>
        <w:tc>
          <w:tcPr>
            <w:tcW w:w="2144" w:type="dxa"/>
          </w:tcPr>
          <w:p w14:paraId="368D430B" w14:textId="77777777" w:rsidR="00D806ED" w:rsidRDefault="00000000">
            <w:pPr>
              <w:pStyle w:val="Tabelleninhalt"/>
              <w:keepNext/>
            </w:pPr>
            <w:r>
              <w:t xml:space="preserve">Bereitstellungen ohne Fehlteil ÷ alle</w:t>
            </w:r>
          </w:p>
        </w:tc>
        <w:tc>
          <w:tcPr>
            <w:tcW w:w="1242" w:type="dxa"/>
          </w:tcPr>
          <w:p w14:paraId="6451D556" w14:textId="77777777" w:rsidR="00D806ED" w:rsidRDefault="00000000">
            <w:pPr>
              <w:pStyle w:val="Tabelleninhalt"/>
              <w:keepNext/>
            </w:pPr>
            <w:r>
              <w:t>Baseline</w:t>
            </w:r>
          </w:p>
        </w:tc>
        <w:tc>
          <w:tcPr>
            <w:tcW w:w="1390" w:type="dxa"/>
          </w:tcPr>
          <w:p w14:paraId="32722400" w14:textId="77777777" w:rsidR="00D806ED" w:rsidRDefault="00000000">
            <w:pPr>
              <w:pStyle w:val="Tabelleninhalt"/>
              <w:keepNext/>
            </w:pPr>
            <w:r>
              <w:t>≥ 98 % (Annahme A15)</w:t>
            </w:r>
          </w:p>
        </w:tc>
        <w:tc>
          <w:tcPr>
            <w:tcW w:w="1660" w:type="dxa"/>
          </w:tcPr>
          <w:p w14:paraId="5FDBF315" w14:textId="77777777" w:rsidR="00D806ED" w:rsidRDefault="00000000">
            <w:pPr>
              <w:pStyle w:val="Tabelleninhalt"/>
              <w:keepNext/>
            </w:pPr>
            <w:r>
              <w:t>täglich</w:t>
            </w:r>
          </w:p>
        </w:tc>
      </w:tr>
      <w:tr w:rsidR="00D806ED" w14:paraId="762951A8" w14:textId="77777777">
        <w:trPr>
          <w:cantSplit/>
        </w:trPr>
        <w:tc>
          <w:tcPr>
            <w:tcW w:w="2634" w:type="dxa"/>
          </w:tcPr>
          <w:p w14:paraId="45C3FA07" w14:textId="77777777" w:rsidR="00D806ED" w:rsidRDefault="00000000">
            <w:pPr>
              <w:pStyle w:val="Tabelleninhalt"/>
              <w:keepNext/>
            </w:pPr>
            <w:r>
              <w:t>Liefertreue Anlagenbau</w:t>
            </w:r>
          </w:p>
        </w:tc>
        <w:tc>
          <w:tcPr>
            <w:tcW w:w="2144" w:type="dxa"/>
          </w:tcPr>
          <w:p w14:paraId="0A5BC6FF" w14:textId="77777777" w:rsidR="00D806ED" w:rsidRDefault="00000000">
            <w:pPr>
              <w:pStyle w:val="Tabelleninhalt"/>
              <w:keepNext/>
            </w:pPr>
            <w:r>
              <w:t>termingerechte ÷ alle Aufträge</w:t>
            </w:r>
          </w:p>
        </w:tc>
        <w:tc>
          <w:tcPr>
            <w:tcW w:w="1242" w:type="dxa"/>
          </w:tcPr>
          <w:p w14:paraId="7DEDE00D" w14:textId="77777777" w:rsidR="00D806ED" w:rsidRDefault="00000000">
            <w:pPr>
              <w:pStyle w:val="Tabelleninhalt"/>
              <w:keepNext/>
            </w:pPr>
            <w:r>
              <w:t>55 %</w:t>
            </w:r>
          </w:p>
        </w:tc>
        <w:tc>
          <w:tcPr>
            <w:tcW w:w="1390" w:type="dxa"/>
          </w:tcPr>
          <w:p w14:paraId="29B95480" w14:textId="77777777" w:rsidR="00D806ED" w:rsidRDefault="00000000">
            <w:pPr>
              <w:pStyle w:val="Tabelleninhalt"/>
              <w:keepNext/>
            </w:pPr>
            <w:r>
              <w:t>≥ 95 % (Annahme A10)</w:t>
            </w:r>
          </w:p>
        </w:tc>
        <w:tc>
          <w:tcPr>
            <w:tcW w:w="1660" w:type="dxa"/>
          </w:tcPr>
          <w:p w14:paraId="45EB7D0E" w14:textId="77777777" w:rsidR="00D806ED" w:rsidRDefault="00000000">
            <w:pPr>
              <w:pStyle w:val="Tabelleninhalt"/>
              <w:keepNext/>
            </w:pPr>
            <w:r>
              <w:t>wöchentlich</w:t>
            </w:r>
          </w:p>
        </w:tc>
      </w:tr>
      <w:tr w:rsidR="00D806ED" w14:paraId="762951A8" w14:textId="77777777">
        <w:trPr>
          <w:cantSplit/>
        </w:trPr>
        <w:tc>
          <w:tcPr>
            <w:tcW w:w="2634" w:type="dxa"/>
          </w:tcPr>
          <w:p w14:paraId="45C3FA07" w14:textId="77777777" w:rsidR="00D806ED" w:rsidRDefault="00000000">
            <w:pPr>
              <w:pStyle w:val="Tabelleninhalt"/>
              <w:keepNext/>
            </w:pPr>
            <w:r>
              <w:rPr>
                <w:shd w:val="clear" w:color="auto" w:fill="DDEBF7"/>
              </w:rPr>
              <w:t xml:space="preserve">Gebundenes Kapital im Bestand</w:t>
            </w:r>
          </w:p>
        </w:tc>
        <w:tc>
          <w:tcPr>
            <w:tcW w:w="2144" w:type="dxa"/>
          </w:tcPr>
          <w:p w14:paraId="0A5BC6FF" w14:textId="77777777" w:rsidR="00D806ED" w:rsidRDefault="00000000">
            <w:pPr>
              <w:pStyle w:val="Tabelleninhalt"/>
              <w:keepNext/>
            </w:pPr>
            <w:r>
              <w:rPr>
                <w:shd w:val="clear" w:color="auto" w:fill="DDEBF7"/>
              </w:rPr>
              <w:t xml:space="preserve">Ø Bestandswert in Rupien</w:t>
            </w:r>
          </w:p>
        </w:tc>
        <w:tc>
          <w:tcPr>
            <w:tcW w:w="1242" w:type="dxa"/>
          </w:tcPr>
          <w:p w14:paraId="7DEDE00D" w14:textId="77777777" w:rsidR="00D806ED" w:rsidRDefault="00000000">
            <w:pPr>
              <w:pStyle w:val="Tabelleninhalt"/>
              <w:keepNext/>
            </w:pPr>
            <w:r>
              <w:rPr>
                <w:shd w:val="clear" w:color="auto" w:fill="DDEBF7"/>
              </w:rPr>
              <w:t xml:space="preserve">Baseline</w:t>
            </w:r>
          </w:p>
        </w:tc>
        <w:tc>
          <w:tcPr>
            <w:tcW w:w="1390" w:type="dxa"/>
          </w:tcPr>
          <w:p w14:paraId="29B95480" w14:textId="77777777" w:rsidR="00D806ED" w:rsidRDefault="00000000">
            <w:pPr>
              <w:pStyle w:val="Tabelleninhalt"/>
              <w:keepNext/>
            </w:pPr>
            <w:r>
              <w:rPr>
                <w:shd w:val="clear" w:color="auto" w:fill="DDEBF7"/>
              </w:rPr>
              <w:t xml:space="preserve">−30 bis −41 %</w:t>
            </w:r>
          </w:p>
        </w:tc>
        <w:tc>
          <w:tcPr>
            <w:tcW w:w="1660" w:type="dxa"/>
          </w:tcPr>
          <w:p w14:paraId="45EB7D0E" w14:textId="77777777" w:rsidR="00D806ED" w:rsidRDefault="00000000">
            <w:pPr>
              <w:pStyle w:val="Tabelleninhalt"/>
              <w:keepNext/>
            </w:pPr>
            <w:r>
              <w:rPr>
                <w:shd w:val="clear" w:color="auto" w:fill="DDEBF7"/>
              </w:rPr>
              <w:t xml:space="preserve">monatlich</w:t>
            </w:r>
          </w:p>
        </w:tc>
      </w:tr>
      <w:tr w:rsidR="00D806ED" w14:paraId="762951A8" w14:textId="77777777">
        <w:trPr>
          <w:cantSplit/>
        </w:trPr>
        <w:tc>
          <w:tcPr>
            <w:tcW w:w="2634" w:type="dxa"/>
          </w:tcPr>
          <w:p w14:paraId="45C3FA07" w14:textId="77777777" w:rsidR="00D806ED" w:rsidRDefault="00000000">
            <w:pPr>
              <w:pStyle w:val="Tabelleninhalt"/>
              <w:keepNext/>
            </w:pPr>
            <w:r>
              <w:rPr>
                <w:shd w:val="clear" w:color="auto" w:fill="DDEBF7"/>
              </w:rPr>
              <w:t xml:space="preserve">Umschulungsquote</w:t>
            </w:r>
          </w:p>
        </w:tc>
        <w:tc>
          <w:tcPr>
            <w:tcW w:w="2144" w:type="dxa"/>
          </w:tcPr>
          <w:p w14:paraId="0A5BC6FF" w14:textId="77777777" w:rsidR="00D806ED" w:rsidRDefault="00000000">
            <w:pPr>
              <w:pStyle w:val="Tabelleninhalt"/>
              <w:keepNext/>
            </w:pPr>
            <w:r>
              <w:rPr>
                <w:shd w:val="clear" w:color="auto" w:fill="DDEBF7"/>
              </w:rPr>
              <w:t xml:space="preserve">umgeschulte ÷ intern weiterbeschäftigte Betroffene</w:t>
            </w:r>
          </w:p>
        </w:tc>
        <w:tc>
          <w:tcPr>
            <w:tcW w:w="1242" w:type="dxa"/>
          </w:tcPr>
          <w:p w14:paraId="7DEDE00D" w14:textId="77777777" w:rsidR="00D806ED" w:rsidRDefault="00000000">
            <w:pPr>
              <w:pStyle w:val="Tabelleninhalt"/>
              <w:keepNext/>
            </w:pPr>
            <w:r>
              <w:rPr>
                <w:shd w:val="clear" w:color="auto" w:fill="DDEBF7"/>
              </w:rPr>
              <w:t xml:space="preserve">0 %</w:t>
            </w:r>
          </w:p>
        </w:tc>
        <w:tc>
          <w:tcPr>
            <w:tcW w:w="1390" w:type="dxa"/>
          </w:tcPr>
          <w:p w14:paraId="29B95480" w14:textId="77777777" w:rsidR="00D806ED" w:rsidRDefault="00000000">
            <w:pPr>
              <w:pStyle w:val="Tabelleninhalt"/>
              <w:keepNext/>
            </w:pPr>
            <w:r>
              <w:rPr>
                <w:shd w:val="clear" w:color="auto" w:fill="DDEBF7"/>
              </w:rPr>
              <w:t xml:space="preserve">≥ 80 % (Annahme A9)</w:t>
            </w:r>
          </w:p>
        </w:tc>
        <w:tc>
          <w:tcPr>
            <w:tcW w:w="1660" w:type="dxa"/>
          </w:tcPr>
          <w:p w14:paraId="45EB7D0E" w14:textId="77777777" w:rsidR="00D806ED" w:rsidRDefault="00000000">
            <w:pPr>
              <w:pStyle w:val="Tabelleninhalt"/>
              <w:keepNext/>
            </w:pPr>
            <w:r>
              <w:rPr>
                <w:shd w:val="clear" w:color="auto" w:fill="DDEBF7"/>
              </w:rPr>
              <w:t xml:space="preserve">quartalsweise</w:t>
            </w:r>
          </w:p>
        </w:tc>
      </w:tr>
    </w:tbl>
    <w:p w14:paraId="2A2E967D" w14:textId="77777777" w:rsidR="00D806ED" w:rsidRDefault="00000000">
      <w:pPr>
        <w:pStyle w:val="Quellenangabe"/>
      </w:pPr>
      <w:r>
        <w:t>Quelle: Eigene Darstellung in Anlehnung an VDI (2007), Krieger (2018) und Kenning (2018); Ist-Werte aus Tabelle 2.</w:t>
      </w:r>
    </w:p>
    <w:p w14:paraId="58500802" w14:textId="77777777" w:rsidR="00D806ED" w:rsidRDefault="00000000">
      <w:pPr>
        <w:pStyle w:val="Textkrper"/>
      </w:pPr>
      <w:r>
        <w:t xml:space="preserve">Die Lieferbereitschaft der Supermärkte ist eine </w:t>
      </w:r>
      <w:r>
        <w:rPr>
          <w:b/>
          <w:bCs/>
        </w:rPr>
        <w:t>Nebenbedingung</w:t>
      </w:r>
      <w:r>
        <w:t xml:space="preserve">: Lager 2 wird nur so schnell abgebaut, wie sie mindestens 98 % hält. Mehrere Ist-Werte fehlen. Grofu misst heute also nicht, was es steuern will. Deshalb ist die Baseline der erste Schritt der Roadmap.</w:t>
      </w:r>
      <w:bookmarkEnd w:id="69"/>
      <w:bookmarkEnd w:id="78"/>
    </w:p>
    <w:p>
      <w:pPr>
        <w:pStyle w:val="Textkrper"/>
      </w:pPr>
      <w:r>
        <w:rPr>
          <w:b/>
          <w:bCs/>
          <w:shd w:val="clear" w:color="auto" w:fill="DDEBF7"/>
        </w:rPr>
        <w:t xml:space="preserve">Einordnung in die Balanced Scorecard.</w:t>
      </w:r>
      <w:r>
        <w:rPr>
          <w:shd w:val="clear" w:color="auto" w:fill="DDEBF7"/>
        </w:rPr>
        <w:t xml:space="preserve"> Das Cockpit deckt die Prozessperspektive (Umschlag, Durchlaufzeit, Kommissionierleistung und -qualität) und die Kundenperspektive (Liefertreue, Lieferbereitschaft) ab. Das gebundene Kapital bildet die Finanzperspektive, die Umschulungsquote die Lern- und Entwicklungsperspektive (Fuchs, 2024b, Folie 31). So ist jede Kennzahl mit einem Ziel der Holding verbunden.</w:t>
      </w:r>
    </w:p>
    <w:p w14:paraId="11502353" w14:textId="04FCFDBA" w:rsidR="00D806ED" w:rsidRDefault="00000000">
      <w:pPr>
        <w:pStyle w:val="berschrift1"/>
        <w:pageBreakBefore/>
      </w:pPr>
      <w:bookmarkStart w:id="81" w:name="distribution-potenzialmatrix"/>
      <w:bookmarkStart w:id="82" w:name="_Toc243825053"/>
      <w:r>
        <w:lastRenderedPageBreak/>
        <w:t>Distribution – Potenzialmatrix</w:t>
      </w:r>
      <w:bookmarkEnd w:id="82"/>
    </w:p>
    <w:p w14:paraId="4A67DE86" w14:textId="77777777" w:rsidR="00D806ED" w:rsidRDefault="00000000">
      <w:pPr>
        <w:pStyle w:val="FirstParagraph"/>
      </w:pPr>
      <w:r>
        <w:t>Die vierte strategische Vorgabe verlangt eine Potenzialmatrix. Sie soll Distributionswege «marktspezifisch» nach Lieferzeit, Kosten, Flexibilität und Supply-Chain-Risiken bewerten. Ist-Daten fehlen dafür bewusst (HWZ, o. J., S. 6). Die Grundfrage lautet: einstufig verteilen und damit Umschlag und Bestand sparen, oder mehrstufig und damit näher am Kunden, aber mit mehr Bestand (Hutzler &amp; Fuchs, 2021, S. 53–54).</w:t>
      </w:r>
    </w:p>
    <w:p w14:paraId="0DD09D70" w14:textId="77777777" w:rsidR="00D806ED" w:rsidRDefault="00000000">
      <w:pPr>
        <w:pStyle w:val="Textkrper"/>
      </w:pPr>
      <w:r>
        <w:t>Die Segmente gewichten die Kriterien unterschiedlich:</w:t>
      </w:r>
    </w:p>
    <w:p w14:paraId="1734949A" w14:textId="77777777" w:rsidR="00D806ED" w:rsidRDefault="00000000">
      <w:pPr>
        <w:pStyle w:val="Compact"/>
        <w:numPr>
          <w:ilvl w:val="0"/>
          <w:numId w:val="4"/>
        </w:numPr>
      </w:pPr>
      <w:r>
        <w:rPr>
          <w:b/>
          <w:bCs/>
        </w:rPr>
        <w:t>Anlagenbau:</w:t>
      </w:r>
      <w:r>
        <w:t xml:space="preserve"> Ein Tag Verzug kostet Konventionalstrafen, die Liefertreue liegt bei 55 % (HWZ, o. J., S. 6). </w:t>
      </w:r>
      <w:r>
        <w:rPr>
          <w:shd w:val="clear" w:color="auto" w:fill="DDEBF7"/>
        </w:rPr>
        <w:t xml:space="preserve">Lieferzeit und Flexibilität dominieren. Die Transportkosten sind untergeordnet, weil ein Tag Verzug mehr kostet als der Frachtaufpreis; das Skript hält dasselbe für die Ersatzteillogistik fest (Hutzler &amp; Fuchs, 2021, S. 58), das Projektteam überträgt es auf den Anlagenbau.</w:t>
      </w:r>
    </w:p>
    <w:p w14:paraId="5735934A" w14:textId="77777777" w:rsidR="00D806ED" w:rsidRDefault="00000000">
      <w:pPr>
        <w:pStyle w:val="Compact"/>
        <w:numPr>
          <w:ilvl w:val="0"/>
          <w:numId w:val="4"/>
        </w:numPr>
      </w:pPr>
      <w:r>
        <w:rPr>
          <w:b/>
          <w:bCs/>
        </w:rPr>
        <w:t>Eigenlabel:</w:t>
      </w:r>
      <w:r>
        <w:t xml:space="preserve"> Standardgeräte für den Fachhandel (HWZ, o. J., S. 6). Kosten und Verfügbarkeit sind ausgewogen gewichtet.</w:t>
      </w:r>
    </w:p>
    <w:p w14:paraId="3D605254" w14:textId="77777777" w:rsidR="00D806ED" w:rsidRDefault="00000000">
      <w:pPr>
        <w:pStyle w:val="Compact"/>
        <w:numPr>
          <w:ilvl w:val="0"/>
          <w:numId w:val="4"/>
        </w:numPr>
      </w:pPr>
      <w:r>
        <w:rPr>
          <w:b/>
          <w:bCs/>
        </w:rPr>
        <w:t>OEM:</w:t>
      </w:r>
      <w:r>
        <w:t xml:space="preserve"> Die Frachtkosten betragen 84 % des Nettogewinns (HWZ, o. J., S. 7). Die Kosten dominieren.</w:t>
      </w:r>
    </w:p>
    <w:p w14:paraId="33432F31" w14:textId="77777777" w:rsidR="00D806ED" w:rsidRDefault="00000000">
      <w:pPr>
        <w:pStyle w:val="FirstParagraph"/>
      </w:pPr>
      <w:r>
        <w:t>Die Wege werden von 1 (schlecht) bis 5 (sehr gut) bewertet. Das Potenzial ist die gewichtete Summe. «–» bedeutet ausgeschlossen: Kundenspezifische Module eignen sich nicht für ein Regionallager, und die OEM-Kunden verteilen selbst.</w:t>
      </w:r>
    </w:p>
    <w:p w14:paraId="33763A00" w14:textId="60970C2B" w:rsidR="00D806ED" w:rsidRDefault="00000000">
      <w:pPr>
        <w:pStyle w:val="Beschriftung"/>
        <w:keepNext/>
      </w:pPr>
      <w:bookmarkStart w:id="83" w:name="_Toc243824216"/>
      <w:r>
        <w:t xml:space="preserve">Tabelle </w:t>
      </w:r>
      <w:fldSimple w:instr=" SEQ Tabelle \* ARABIC ">
        <w:r>
          <w:rPr>
            <w:noProof/>
          </w:rPr>
          <w:t>9</w:t>
        </w:r>
      </w:fldSimple>
      <w:r>
        <w:t>: Potenzialmatrix Distribution (L Lieferzeit, K Kosten, F Flexibilität, R SC-Risiken; Gewichte in % je Segment)</w:t>
      </w:r>
      <w:bookmarkEnd w:id="83"/>
    </w:p>
    <w:tbl>
      <w:tblPr>
        <w:tblStyle w:val="Tabellenraster"/>
        <w:tblW w:w="9068" w:type="dxa"/>
        <w:tblInd w:w="113" w:type="dxa"/>
        <w:tblLayout w:type="fixed"/>
        <w:tblLook w:val="0020" w:firstRow="1" w:lastRow="0" w:firstColumn="0" w:lastColumn="0" w:noHBand="0" w:noVBand="0"/>
      </w:tblPr>
      <w:tblGrid>
        <w:gridCol w:w="2525"/>
        <w:gridCol w:w="339"/>
        <w:gridCol w:w="340"/>
        <w:gridCol w:w="340"/>
        <w:gridCol w:w="340"/>
        <w:gridCol w:w="1747"/>
        <w:gridCol w:w="1745"/>
        <w:gridCol w:w="1692"/>
      </w:tblGrid>
      <w:tr w:rsidR="00D806ED" w14:paraId="04063724" w14:textId="77777777">
        <w:trPr>
          <w:tblHeader/>
        </w:trPr>
        <w:tc>
          <w:tcPr>
            <w:tcW w:w="2525" w:type="dxa"/>
            <w:shd w:val="clear" w:color="auto" w:fill="D9D9D9"/>
          </w:tcPr>
          <w:p w14:paraId="599BEB9D" w14:textId="77777777" w:rsidR="00D806ED" w:rsidRDefault="00000000">
            <w:pPr>
              <w:pStyle w:val="Tabelleninhalt"/>
              <w:keepNext/>
            </w:pPr>
            <w:r>
              <w:rPr>
                <w:b/>
              </w:rPr>
              <w:t>Distributionsweg</w:t>
            </w:r>
          </w:p>
        </w:tc>
        <w:tc>
          <w:tcPr>
            <w:tcW w:w="339" w:type="dxa"/>
            <w:shd w:val="clear" w:color="auto" w:fill="D9D9D9"/>
          </w:tcPr>
          <w:p w14:paraId="4DAAC92A" w14:textId="77777777" w:rsidR="00D806ED" w:rsidRDefault="00000000">
            <w:pPr>
              <w:pStyle w:val="Tabelleninhalt"/>
              <w:keepNext/>
              <w:jc w:val="right"/>
            </w:pPr>
            <w:r>
              <w:rPr>
                <w:b/>
              </w:rPr>
              <w:t>L</w:t>
            </w:r>
          </w:p>
        </w:tc>
        <w:tc>
          <w:tcPr>
            <w:tcW w:w="340" w:type="dxa"/>
            <w:shd w:val="clear" w:color="auto" w:fill="D9D9D9"/>
          </w:tcPr>
          <w:p w14:paraId="2BF43603" w14:textId="77777777" w:rsidR="00D806ED" w:rsidRDefault="00000000">
            <w:pPr>
              <w:pStyle w:val="Tabelleninhalt"/>
              <w:keepNext/>
              <w:jc w:val="right"/>
            </w:pPr>
            <w:r>
              <w:rPr>
                <w:b/>
              </w:rPr>
              <w:t>K</w:t>
            </w:r>
          </w:p>
        </w:tc>
        <w:tc>
          <w:tcPr>
            <w:tcW w:w="340" w:type="dxa"/>
            <w:shd w:val="clear" w:color="auto" w:fill="D9D9D9"/>
          </w:tcPr>
          <w:p w14:paraId="52C8DE31" w14:textId="77777777" w:rsidR="00D806ED" w:rsidRDefault="00000000">
            <w:pPr>
              <w:pStyle w:val="Tabelleninhalt"/>
              <w:keepNext/>
              <w:jc w:val="right"/>
            </w:pPr>
            <w:r>
              <w:rPr>
                <w:b/>
              </w:rPr>
              <w:t>F</w:t>
            </w:r>
          </w:p>
        </w:tc>
        <w:tc>
          <w:tcPr>
            <w:tcW w:w="340" w:type="dxa"/>
            <w:shd w:val="clear" w:color="auto" w:fill="D9D9D9"/>
          </w:tcPr>
          <w:p w14:paraId="7F00D41D" w14:textId="77777777" w:rsidR="00D806ED" w:rsidRDefault="00000000">
            <w:pPr>
              <w:pStyle w:val="Tabelleninhalt"/>
              <w:keepNext/>
              <w:jc w:val="right"/>
            </w:pPr>
            <w:r>
              <w:rPr>
                <w:b/>
              </w:rPr>
              <w:t>R</w:t>
            </w:r>
          </w:p>
        </w:tc>
        <w:tc>
          <w:tcPr>
            <w:tcW w:w="1747" w:type="dxa"/>
            <w:shd w:val="clear" w:color="auto" w:fill="D9D9D9"/>
          </w:tcPr>
          <w:p w14:paraId="5DD66654" w14:textId="77777777" w:rsidR="00D806ED" w:rsidRDefault="00000000">
            <w:pPr>
              <w:pStyle w:val="Tabelleninhalt"/>
              <w:keepNext/>
              <w:jc w:val="right"/>
            </w:pPr>
            <w:r>
              <w:rPr>
                <w:b/>
              </w:rPr>
              <w:t>Anlagenbau (50/10/25/15)</w:t>
            </w:r>
          </w:p>
        </w:tc>
        <w:tc>
          <w:tcPr>
            <w:tcW w:w="1745" w:type="dxa"/>
            <w:shd w:val="clear" w:color="auto" w:fill="D9D9D9"/>
          </w:tcPr>
          <w:p w14:paraId="05207FDB" w14:textId="77777777" w:rsidR="00D806ED" w:rsidRDefault="00000000">
            <w:pPr>
              <w:pStyle w:val="Tabelleninhalt"/>
              <w:keepNext/>
              <w:jc w:val="right"/>
            </w:pPr>
            <w:r>
              <w:rPr>
                <w:b/>
              </w:rPr>
              <w:t>Eigenlabel (25/35/20/20)</w:t>
            </w:r>
          </w:p>
        </w:tc>
        <w:tc>
          <w:tcPr>
            <w:tcW w:w="1692" w:type="dxa"/>
            <w:shd w:val="clear" w:color="auto" w:fill="D9D9D9"/>
          </w:tcPr>
          <w:p w14:paraId="4AD5B825" w14:textId="77777777" w:rsidR="00D806ED" w:rsidRDefault="00000000">
            <w:pPr>
              <w:pStyle w:val="Tabelleninhalt"/>
              <w:keepNext/>
              <w:jc w:val="right"/>
            </w:pPr>
            <w:r>
              <w:rPr>
                <w:b/>
              </w:rPr>
              <w:t>OEM (15/50/15/20)</w:t>
            </w:r>
          </w:p>
        </w:tc>
      </w:tr>
      <w:tr w:rsidR="00D806ED" w14:paraId="785521DF" w14:textId="77777777">
        <w:trPr>
          <w:cantSplit/>
        </w:trPr>
        <w:tc>
          <w:tcPr>
            <w:tcW w:w="2525" w:type="dxa"/>
          </w:tcPr>
          <w:p w14:paraId="7D7E0F6E" w14:textId="77777777" w:rsidR="00D806ED" w:rsidRDefault="00000000">
            <w:pPr>
              <w:pStyle w:val="Tabelleninhalt"/>
              <w:keepNext/>
            </w:pPr>
            <w:r>
              <w:t>W1 Luftfracht direkt ab Werk (heute)</w:t>
            </w:r>
          </w:p>
        </w:tc>
        <w:tc>
          <w:tcPr>
            <w:tcW w:w="339" w:type="dxa"/>
          </w:tcPr>
          <w:p w14:paraId="6822E75E" w14:textId="77777777" w:rsidR="00D806ED" w:rsidRDefault="00000000">
            <w:pPr>
              <w:pStyle w:val="Tabelleninhalt"/>
              <w:keepNext/>
              <w:jc w:val="right"/>
            </w:pPr>
            <w:r>
              <w:t>5</w:t>
            </w:r>
          </w:p>
        </w:tc>
        <w:tc>
          <w:tcPr>
            <w:tcW w:w="340" w:type="dxa"/>
          </w:tcPr>
          <w:p w14:paraId="1E12FD75" w14:textId="77777777" w:rsidR="00D806ED" w:rsidRDefault="00000000">
            <w:pPr>
              <w:pStyle w:val="Tabelleninhalt"/>
              <w:keepNext/>
              <w:jc w:val="right"/>
            </w:pPr>
            <w:r>
              <w:t>1</w:t>
            </w:r>
          </w:p>
        </w:tc>
        <w:tc>
          <w:tcPr>
            <w:tcW w:w="340" w:type="dxa"/>
          </w:tcPr>
          <w:p w14:paraId="59923217" w14:textId="77777777" w:rsidR="00D806ED" w:rsidRDefault="00000000">
            <w:pPr>
              <w:pStyle w:val="Tabelleninhalt"/>
              <w:keepNext/>
              <w:jc w:val="right"/>
            </w:pPr>
            <w:r>
              <w:t>4</w:t>
            </w:r>
          </w:p>
        </w:tc>
        <w:tc>
          <w:tcPr>
            <w:tcW w:w="340" w:type="dxa"/>
          </w:tcPr>
          <w:p w14:paraId="58988C39" w14:textId="77777777" w:rsidR="00D806ED" w:rsidRDefault="00000000">
            <w:pPr>
              <w:pStyle w:val="Tabelleninhalt"/>
              <w:keepNext/>
              <w:jc w:val="right"/>
            </w:pPr>
            <w:r>
              <w:t>3</w:t>
            </w:r>
          </w:p>
        </w:tc>
        <w:tc>
          <w:tcPr>
            <w:tcW w:w="1747" w:type="dxa"/>
          </w:tcPr>
          <w:p w14:paraId="6F4847D0" w14:textId="77777777" w:rsidR="00D806ED" w:rsidRDefault="00000000">
            <w:pPr>
              <w:pStyle w:val="Tabelleninhalt"/>
              <w:keepNext/>
              <w:jc w:val="right"/>
            </w:pPr>
            <w:r>
              <w:rPr>
                <w:b/>
                <w:bCs/>
              </w:rPr>
              <w:t>4,05</w:t>
            </w:r>
          </w:p>
        </w:tc>
        <w:tc>
          <w:tcPr>
            <w:tcW w:w="1745" w:type="dxa"/>
          </w:tcPr>
          <w:p w14:paraId="42F7DFFD" w14:textId="77777777" w:rsidR="00D806ED" w:rsidRDefault="00000000">
            <w:pPr>
              <w:pStyle w:val="Tabelleninhalt"/>
              <w:keepNext/>
              <w:jc w:val="right"/>
            </w:pPr>
            <w:r>
              <w:t>3,00</w:t>
            </w:r>
          </w:p>
        </w:tc>
        <w:tc>
          <w:tcPr>
            <w:tcW w:w="1692" w:type="dxa"/>
          </w:tcPr>
          <w:p w14:paraId="3A58B644" w14:textId="77777777" w:rsidR="00D806ED" w:rsidRDefault="00000000">
            <w:pPr>
              <w:pStyle w:val="Tabelleninhalt"/>
              <w:keepNext/>
              <w:jc w:val="right"/>
            </w:pPr>
            <w:r>
              <w:t>2,45</w:t>
            </w:r>
          </w:p>
        </w:tc>
      </w:tr>
      <w:tr w:rsidR="00D806ED" w14:paraId="591E4B62" w14:textId="77777777">
        <w:trPr>
          <w:cantSplit/>
        </w:trPr>
        <w:tc>
          <w:tcPr>
            <w:tcW w:w="2525" w:type="dxa"/>
          </w:tcPr>
          <w:p w14:paraId="750159AD" w14:textId="77777777" w:rsidR="00D806ED" w:rsidRDefault="00000000">
            <w:pPr>
              <w:pStyle w:val="Tabelleninhalt"/>
              <w:keepNext/>
            </w:pPr>
            <w:r>
              <w:t>W2 Luftfracht konsolidiert (feste Abflüge)</w:t>
            </w:r>
          </w:p>
        </w:tc>
        <w:tc>
          <w:tcPr>
            <w:tcW w:w="339" w:type="dxa"/>
          </w:tcPr>
          <w:p w14:paraId="4FDA30D1" w14:textId="77777777" w:rsidR="00D806ED" w:rsidRDefault="00000000">
            <w:pPr>
              <w:pStyle w:val="Tabelleninhalt"/>
              <w:keepNext/>
              <w:jc w:val="right"/>
            </w:pPr>
            <w:r>
              <w:t>4</w:t>
            </w:r>
          </w:p>
        </w:tc>
        <w:tc>
          <w:tcPr>
            <w:tcW w:w="340" w:type="dxa"/>
          </w:tcPr>
          <w:p w14:paraId="008F9C38" w14:textId="77777777" w:rsidR="00D806ED" w:rsidRDefault="00000000">
            <w:pPr>
              <w:pStyle w:val="Tabelleninhalt"/>
              <w:keepNext/>
              <w:jc w:val="right"/>
            </w:pPr>
            <w:r>
              <w:t>2</w:t>
            </w:r>
          </w:p>
        </w:tc>
        <w:tc>
          <w:tcPr>
            <w:tcW w:w="340" w:type="dxa"/>
          </w:tcPr>
          <w:p w14:paraId="2068BF1A" w14:textId="77777777" w:rsidR="00D806ED" w:rsidRDefault="00000000">
            <w:pPr>
              <w:pStyle w:val="Tabelleninhalt"/>
              <w:keepNext/>
              <w:jc w:val="right"/>
            </w:pPr>
            <w:r>
              <w:t>3</w:t>
            </w:r>
          </w:p>
        </w:tc>
        <w:tc>
          <w:tcPr>
            <w:tcW w:w="340" w:type="dxa"/>
          </w:tcPr>
          <w:p w14:paraId="6D78091B" w14:textId="77777777" w:rsidR="00D806ED" w:rsidRDefault="00000000">
            <w:pPr>
              <w:pStyle w:val="Tabelleninhalt"/>
              <w:keepNext/>
              <w:jc w:val="right"/>
            </w:pPr>
            <w:r>
              <w:t>3</w:t>
            </w:r>
          </w:p>
        </w:tc>
        <w:tc>
          <w:tcPr>
            <w:tcW w:w="1747" w:type="dxa"/>
          </w:tcPr>
          <w:p w14:paraId="31025326" w14:textId="77777777" w:rsidR="00D806ED" w:rsidRDefault="00000000">
            <w:pPr>
              <w:pStyle w:val="Tabelleninhalt"/>
              <w:keepNext/>
              <w:jc w:val="right"/>
            </w:pPr>
            <w:r>
              <w:t>3,40</w:t>
            </w:r>
          </w:p>
        </w:tc>
        <w:tc>
          <w:tcPr>
            <w:tcW w:w="1745" w:type="dxa"/>
          </w:tcPr>
          <w:p w14:paraId="413C9E1D" w14:textId="77777777" w:rsidR="00D806ED" w:rsidRDefault="00000000">
            <w:pPr>
              <w:pStyle w:val="Tabelleninhalt"/>
              <w:keepNext/>
              <w:jc w:val="right"/>
            </w:pPr>
            <w:r>
              <w:t>2,90</w:t>
            </w:r>
          </w:p>
        </w:tc>
        <w:tc>
          <w:tcPr>
            <w:tcW w:w="1692" w:type="dxa"/>
          </w:tcPr>
          <w:p w14:paraId="4D8A990C" w14:textId="77777777" w:rsidR="00D806ED" w:rsidRDefault="00000000">
            <w:pPr>
              <w:pStyle w:val="Tabelleninhalt"/>
              <w:keepNext/>
              <w:jc w:val="right"/>
            </w:pPr>
            <w:r>
              <w:t>2,65</w:t>
            </w:r>
          </w:p>
        </w:tc>
      </w:tr>
      <w:tr w:rsidR="00D806ED" w14:paraId="314E1BA0" w14:textId="77777777">
        <w:trPr>
          <w:cantSplit/>
        </w:trPr>
        <w:tc>
          <w:tcPr>
            <w:tcW w:w="2525" w:type="dxa"/>
          </w:tcPr>
          <w:p w14:paraId="7A3EC943" w14:textId="77777777" w:rsidR="00D806ED" w:rsidRDefault="00000000">
            <w:pPr>
              <w:pStyle w:val="Tabelleninhalt"/>
              <w:keepNext/>
            </w:pPr>
            <w:r>
              <w:t>W3 Seefracht direkt ab indischem Westhafen</w:t>
            </w:r>
          </w:p>
        </w:tc>
        <w:tc>
          <w:tcPr>
            <w:tcW w:w="339" w:type="dxa"/>
          </w:tcPr>
          <w:p w14:paraId="55BC074D" w14:textId="77777777" w:rsidR="00D806ED" w:rsidRDefault="00000000">
            <w:pPr>
              <w:pStyle w:val="Tabelleninhalt"/>
              <w:keepNext/>
              <w:jc w:val="right"/>
            </w:pPr>
            <w:r>
              <w:t>1</w:t>
            </w:r>
          </w:p>
        </w:tc>
        <w:tc>
          <w:tcPr>
            <w:tcW w:w="340" w:type="dxa"/>
          </w:tcPr>
          <w:p w14:paraId="2970E778" w14:textId="77777777" w:rsidR="00D806ED" w:rsidRDefault="00000000">
            <w:pPr>
              <w:pStyle w:val="Tabelleninhalt"/>
              <w:keepNext/>
              <w:jc w:val="right"/>
            </w:pPr>
            <w:r>
              <w:t>5</w:t>
            </w:r>
          </w:p>
        </w:tc>
        <w:tc>
          <w:tcPr>
            <w:tcW w:w="340" w:type="dxa"/>
          </w:tcPr>
          <w:p w14:paraId="6B6CBFE8" w14:textId="77777777" w:rsidR="00D806ED" w:rsidRDefault="00000000">
            <w:pPr>
              <w:pStyle w:val="Tabelleninhalt"/>
              <w:keepNext/>
              <w:jc w:val="right"/>
            </w:pPr>
            <w:r>
              <w:t>1</w:t>
            </w:r>
          </w:p>
        </w:tc>
        <w:tc>
          <w:tcPr>
            <w:tcW w:w="340" w:type="dxa"/>
          </w:tcPr>
          <w:p w14:paraId="460B14E7" w14:textId="77777777" w:rsidR="00D806ED" w:rsidRDefault="00000000">
            <w:pPr>
              <w:pStyle w:val="Tabelleninhalt"/>
              <w:keepNext/>
              <w:jc w:val="right"/>
            </w:pPr>
            <w:r>
              <w:t>2</w:t>
            </w:r>
          </w:p>
        </w:tc>
        <w:tc>
          <w:tcPr>
            <w:tcW w:w="1747" w:type="dxa"/>
          </w:tcPr>
          <w:p w14:paraId="322DB1DE" w14:textId="77777777" w:rsidR="00D806ED" w:rsidRDefault="00000000">
            <w:pPr>
              <w:pStyle w:val="Tabelleninhalt"/>
              <w:keepNext/>
              <w:jc w:val="right"/>
            </w:pPr>
            <w:r>
              <w:t>1,55</w:t>
            </w:r>
          </w:p>
        </w:tc>
        <w:tc>
          <w:tcPr>
            <w:tcW w:w="1745" w:type="dxa"/>
          </w:tcPr>
          <w:p w14:paraId="1E0D6439" w14:textId="77777777" w:rsidR="00D806ED" w:rsidRDefault="00000000">
            <w:pPr>
              <w:pStyle w:val="Tabelleninhalt"/>
              <w:keepNext/>
              <w:jc w:val="right"/>
            </w:pPr>
            <w:r>
              <w:t>2,60</w:t>
            </w:r>
          </w:p>
        </w:tc>
        <w:tc>
          <w:tcPr>
            <w:tcW w:w="1692" w:type="dxa"/>
          </w:tcPr>
          <w:p w14:paraId="02CA98A1" w14:textId="77777777" w:rsidR="00D806ED" w:rsidRDefault="00000000">
            <w:pPr>
              <w:pStyle w:val="Tabelleninhalt"/>
              <w:keepNext/>
              <w:jc w:val="right"/>
            </w:pPr>
            <w:r>
              <w:rPr>
                <w:b/>
                <w:bCs/>
              </w:rPr>
              <w:t>3,20</w:t>
            </w:r>
          </w:p>
        </w:tc>
      </w:tr>
      <w:tr w:rsidR="00D806ED" w14:paraId="6510FA67" w14:textId="77777777">
        <w:trPr>
          <w:cantSplit/>
        </w:trPr>
        <w:tc>
          <w:tcPr>
            <w:tcW w:w="2525" w:type="dxa"/>
          </w:tcPr>
          <w:p w14:paraId="1C869961" w14:textId="77777777" w:rsidR="00D806ED" w:rsidRDefault="00000000">
            <w:pPr>
              <w:pStyle w:val="Tabelleninhalt"/>
              <w:keepNext/>
            </w:pPr>
            <w:r>
              <w:t xml:space="preserve">W4 Sea-Air über Dubai</w:t>
            </w:r>
          </w:p>
        </w:tc>
        <w:tc>
          <w:tcPr>
            <w:tcW w:w="339" w:type="dxa"/>
          </w:tcPr>
          <w:p w14:paraId="72B6D6F5" w14:textId="77777777" w:rsidR="00D806ED" w:rsidRDefault="00000000">
            <w:pPr>
              <w:pStyle w:val="Tabelleninhalt"/>
              <w:keepNext/>
              <w:jc w:val="right"/>
            </w:pPr>
            <w:r>
              <w:t>3</w:t>
            </w:r>
          </w:p>
        </w:tc>
        <w:tc>
          <w:tcPr>
            <w:tcW w:w="340" w:type="dxa"/>
          </w:tcPr>
          <w:p w14:paraId="6B616219" w14:textId="77777777" w:rsidR="00D806ED" w:rsidRDefault="00000000">
            <w:pPr>
              <w:pStyle w:val="Tabelleninhalt"/>
              <w:keepNext/>
              <w:jc w:val="right"/>
            </w:pPr>
            <w:r>
              <w:t>3</w:t>
            </w:r>
          </w:p>
        </w:tc>
        <w:tc>
          <w:tcPr>
            <w:tcW w:w="340" w:type="dxa"/>
          </w:tcPr>
          <w:p w14:paraId="11FD44E8" w14:textId="77777777" w:rsidR="00D806ED" w:rsidRDefault="00000000">
            <w:pPr>
              <w:pStyle w:val="Tabelleninhalt"/>
              <w:keepNext/>
              <w:jc w:val="right"/>
            </w:pPr>
            <w:r>
              <w:t>2</w:t>
            </w:r>
          </w:p>
        </w:tc>
        <w:tc>
          <w:tcPr>
            <w:tcW w:w="340" w:type="dxa"/>
          </w:tcPr>
          <w:p w14:paraId="3C493A72" w14:textId="77777777" w:rsidR="00D806ED" w:rsidRDefault="00000000">
            <w:pPr>
              <w:pStyle w:val="Tabelleninhalt"/>
              <w:keepNext/>
              <w:jc w:val="right"/>
            </w:pPr>
            <w:r>
              <w:t>3</w:t>
            </w:r>
          </w:p>
        </w:tc>
        <w:tc>
          <w:tcPr>
            <w:tcW w:w="1747" w:type="dxa"/>
          </w:tcPr>
          <w:p w14:paraId="6053E9CD" w14:textId="77777777" w:rsidR="00D806ED" w:rsidRDefault="00000000">
            <w:pPr>
              <w:pStyle w:val="Tabelleninhalt"/>
              <w:keepNext/>
              <w:jc w:val="right"/>
            </w:pPr>
            <w:r>
              <w:t>2,75</w:t>
            </w:r>
          </w:p>
        </w:tc>
        <w:tc>
          <w:tcPr>
            <w:tcW w:w="1745" w:type="dxa"/>
          </w:tcPr>
          <w:p w14:paraId="0E3D34C4" w14:textId="77777777" w:rsidR="00D806ED" w:rsidRDefault="00000000">
            <w:pPr>
              <w:pStyle w:val="Tabelleninhalt"/>
              <w:keepNext/>
              <w:jc w:val="right"/>
            </w:pPr>
            <w:r>
              <w:t>2,80</w:t>
            </w:r>
          </w:p>
        </w:tc>
        <w:tc>
          <w:tcPr>
            <w:tcW w:w="1692" w:type="dxa"/>
          </w:tcPr>
          <w:p w14:paraId="5D1E0E21" w14:textId="77777777" w:rsidR="00D806ED" w:rsidRDefault="00000000">
            <w:pPr>
              <w:pStyle w:val="Tabelleninhalt"/>
              <w:keepNext/>
              <w:jc w:val="right"/>
            </w:pPr>
            <w:r>
              <w:t>2,85</w:t>
            </w:r>
          </w:p>
        </w:tc>
      </w:tr>
      <w:tr w:rsidR="00D806ED" w14:paraId="4CC51588" w14:textId="77777777">
        <w:trPr>
          <w:cantSplit/>
        </w:trPr>
        <w:tc>
          <w:tcPr>
            <w:tcW w:w="2525" w:type="dxa"/>
          </w:tcPr>
          <w:p w14:paraId="57632944" w14:textId="77777777" w:rsidR="00D806ED" w:rsidRDefault="00000000">
            <w:pPr>
              <w:pStyle w:val="Tabelleninhalt"/>
              <w:keepNext/>
            </w:pPr>
            <w:r>
              <w:t>W5 Regionallager Naher Osten, Seefracht-Nachschub</w:t>
            </w:r>
          </w:p>
        </w:tc>
        <w:tc>
          <w:tcPr>
            <w:tcW w:w="339" w:type="dxa"/>
          </w:tcPr>
          <w:p w14:paraId="12330C78" w14:textId="77777777" w:rsidR="00D806ED" w:rsidRDefault="00000000">
            <w:pPr>
              <w:pStyle w:val="Tabelleninhalt"/>
              <w:keepNext/>
              <w:jc w:val="right"/>
            </w:pPr>
            <w:r>
              <w:t>5</w:t>
            </w:r>
          </w:p>
        </w:tc>
        <w:tc>
          <w:tcPr>
            <w:tcW w:w="340" w:type="dxa"/>
          </w:tcPr>
          <w:p w14:paraId="4B72073F" w14:textId="77777777" w:rsidR="00D806ED" w:rsidRDefault="00000000">
            <w:pPr>
              <w:pStyle w:val="Tabelleninhalt"/>
              <w:keepNext/>
              <w:jc w:val="right"/>
            </w:pPr>
            <w:r>
              <w:t>3</w:t>
            </w:r>
          </w:p>
        </w:tc>
        <w:tc>
          <w:tcPr>
            <w:tcW w:w="340" w:type="dxa"/>
          </w:tcPr>
          <w:p w14:paraId="708CE9CE" w14:textId="77777777" w:rsidR="00D806ED" w:rsidRDefault="00000000">
            <w:pPr>
              <w:pStyle w:val="Tabelleninhalt"/>
              <w:keepNext/>
              <w:jc w:val="right"/>
            </w:pPr>
            <w:r>
              <w:t>4</w:t>
            </w:r>
          </w:p>
        </w:tc>
        <w:tc>
          <w:tcPr>
            <w:tcW w:w="340" w:type="dxa"/>
          </w:tcPr>
          <w:p w14:paraId="68F26F95" w14:textId="77777777" w:rsidR="00D806ED" w:rsidRDefault="00000000">
            <w:pPr>
              <w:pStyle w:val="Tabelleninhalt"/>
              <w:keepNext/>
              <w:jc w:val="right"/>
            </w:pPr>
            <w:r>
              <w:t>4</w:t>
            </w:r>
          </w:p>
        </w:tc>
        <w:tc>
          <w:tcPr>
            <w:tcW w:w="1747" w:type="dxa"/>
          </w:tcPr>
          <w:p w14:paraId="37AF88C3" w14:textId="77777777" w:rsidR="00D806ED" w:rsidRDefault="00000000">
            <w:pPr>
              <w:pStyle w:val="Tabelleninhalt"/>
              <w:keepNext/>
              <w:jc w:val="right"/>
            </w:pPr>
            <w:r>
              <w:t>–</w:t>
            </w:r>
          </w:p>
        </w:tc>
        <w:tc>
          <w:tcPr>
            <w:tcW w:w="1745" w:type="dxa"/>
          </w:tcPr>
          <w:p w14:paraId="641E6E50" w14:textId="77777777" w:rsidR="00D806ED" w:rsidRDefault="00000000">
            <w:pPr>
              <w:pStyle w:val="Tabelleninhalt"/>
              <w:keepNext/>
              <w:jc w:val="right"/>
            </w:pPr>
            <w:r>
              <w:rPr>
                <w:b/>
                <w:bCs/>
              </w:rPr>
              <w:t>3,90</w:t>
            </w:r>
          </w:p>
        </w:tc>
        <w:tc>
          <w:tcPr>
            <w:tcW w:w="1692" w:type="dxa"/>
          </w:tcPr>
          <w:p w14:paraId="7E7AEC38" w14:textId="77777777" w:rsidR="00D806ED" w:rsidRDefault="00000000">
            <w:pPr>
              <w:pStyle w:val="Tabelleninhalt"/>
              <w:keepNext/>
              <w:jc w:val="right"/>
            </w:pPr>
            <w:r>
              <w:t>–</w:t>
            </w:r>
          </w:p>
        </w:tc>
      </w:tr>
    </w:tbl>
    <w:p w14:paraId="3FD7DF8B" w14:textId="77777777" w:rsidR="00D806ED" w:rsidRDefault="00000000">
      <w:pPr>
        <w:pStyle w:val="Quellenangabe"/>
      </w:pPr>
      <w:r>
        <w:t>Quelle: Eigene Darstellung und Bewertung; Kriterien nach HWZ (o. J., S. 6).</w:t>
      </w:r>
    </w:p>
    <w:p w14:paraId="57A7A8DE" w14:textId="77777777" w:rsidR="00D806ED" w:rsidRDefault="00000000">
      <w:pPr>
        <w:pStyle w:val="Textkrper"/>
      </w:pPr>
      <w:r>
        <w:t xml:space="preserve">Die Bewertung folgt den Eigenschaften der Verkehrsträger. Seefracht ist günstig, aber langsam und an Engpässen verwundbar: Mitte 2024 lag die Tonnage durch den Suezkanal rund 70 % unter dem Stand von Dezember 2023 (UNCTAD, 2024). Für Sea-Air nennt ein Anbieter bis zu 30–40 % tiefere Kosten als Luftfracht und über drei Wochen Zeitgewinn gegenüber Seefracht (DSV, o. J.). Jebel Ali in Dubai bietet dafür multimodalen Zugang zu See, Luft und Land (DP World, o. J.). Bei gleichen Gewichten bleiben die Empfehlungen für Anlagenbau und Eigenlabel gleich. Bei OEM schlägt die Seefracht die Luftfracht ab einem Kostengewicht von rund 38 %. Die 84 % rechtfertigen dieses Gewicht (Herleitung und Soll-Netz im Anhang, Abbildung 10).</w:t>
      </w:r>
    </w:p>
    <w:p w14:paraId="56063087" w14:textId="77777777" w:rsidR="00D806ED" w:rsidRDefault="00000000">
      <w:pPr>
        <w:pStyle w:val="berschrift2"/>
      </w:pPr>
      <w:bookmarkStart w:id="84" w:name="empfehlung-je-segment"/>
      <w:bookmarkStart w:id="85" w:name="_Toc243825054"/>
      <w:r>
        <w:lastRenderedPageBreak/>
        <w:t>Empfehlung je Segment</w:t>
      </w:r>
      <w:bookmarkEnd w:id="85"/>
    </w:p>
    <w:p w14:paraId="468089C1" w14:textId="77777777" w:rsidR="00D806ED" w:rsidRDefault="00000000">
      <w:pPr>
        <w:pStyle w:val="Compact"/>
        <w:numPr>
          <w:ilvl w:val="0"/>
          <w:numId w:val="4"/>
        </w:numPr>
      </w:pPr>
      <w:r>
        <w:rPr>
          <w:b/>
          <w:bCs/>
        </w:rPr>
        <w:t>Anlagenbau: Luftfracht direkt (W1) bleibt.</w:t>
      </w:r>
      <w:r>
        <w:t xml:space="preserve"> Die Liefertreue von 55 % ist ein Problem des Auftragsdurchlaufs, nicht des Verkehrsträgers. Hebel sind die MtO-Zelle mit Express-Spur (Block 3), Abflugslots, die schon bei Auftragsfreigabe gebucht werden, und der Control Tower.</w:t>
      </w:r>
    </w:p>
    <w:p w14:paraId="4C317B5E" w14:textId="77777777" w:rsidR="00D806ED" w:rsidRDefault="00000000">
      <w:pPr>
        <w:pStyle w:val="Compact"/>
        <w:numPr>
          <w:ilvl w:val="0"/>
          <w:numId w:val="4"/>
        </w:numPr>
      </w:pPr>
      <w:r>
        <w:rPr>
          <w:b/>
          <w:bCs/>
        </w:rPr>
        <w:t>Eigenlabel: Regionallager Naher Osten mit Seefracht-Nachschub (W5).</w:t>
      </w:r>
      <w:r>
        <w:t xml:space="preserve"> Eilaufträge und andere Regionen gehen weiter per Luftfracht, also selektive Belieferung im gemischten System (Hutzler &amp; Fuchs, 2021, S. 54). Der Nachteil ist zusätzlicher Bestand. Dass der Nahe Osten auch für Eigenlabel ein Schwerpunktmarkt ist, ist eine Annahme (A35); belegt ist das nur für die Anlagen-Systemkomponenten (HWZ, o. J., S. 3). Bei geringerem regionalem Absatz (Kosten 2, Lieferzeit 4) liegt W5 mit 3,30 noch knapp vor W1. Den Standort legt eine Absatzanalyse fest.</w:t>
      </w:r>
    </w:p>
    <w:p w14:paraId="21569F37" w14:textId="77777777" w:rsidR="00D806ED" w:rsidRDefault="00000000">
      <w:pPr>
        <w:pStyle w:val="Compact"/>
        <w:numPr>
          <w:ilvl w:val="0"/>
          <w:numId w:val="4"/>
        </w:numPr>
      </w:pPr>
      <w:r>
        <w:rPr>
          <w:b/>
          <w:bCs/>
        </w:rPr>
        <w:t xml:space="preserve">OEM: Seefracht für die Grundlast (W3), Sea-Air für Spitzen (W4).</w:t>
      </w:r>
      <w:r>
        <w:t xml:space="preserve"> Voraussetzung ist ein rollierender Forecast der Kunden per EDI (Annahme A34). Sinken die Frachtkosten um x %, steigt der Nettogewinn um 0,84 · x %. Verlagert Grofu die Hälfte des Volumens auf Sea-Air und spart dort 30 % </w:t>
      </w:r>
      <w:r>
        <w:rPr>
          <w:shd w:val="clear" w:color="auto" w:fill="DDEBF7"/>
        </w:rPr>
        <w:t xml:space="preserve">(optimistische Annahme A28, gestützt auf die «bis zu»-Angabe)</w:t>
      </w:r>
      <w:r>
        <w:t xml:space="preserve">, steigt der Nettogewinn um rund 13 %. Das Zielbild mit 60 % Seefracht und 20 % Sea-Air bringt rund +40 % </w:t>
      </w:r>
      <w:r>
        <w:rPr>
          <w:shd w:val="clear" w:color="auto" w:fill="DDEBF7"/>
        </w:rPr>
        <w:t xml:space="preserve">(Annahmen A29, A33)</w:t>
      </w:r>
      <w:r>
        <w:t xml:space="preserve">.</w:t>
      </w:r>
    </w:p>
    <w:p w14:paraId="1326C132" w14:textId="77777777" w:rsidR="00D806ED" w:rsidRDefault="00000000">
      <w:pPr>
        <w:pStyle w:val="FirstParagraph"/>
      </w:pPr>
      <w:r>
        <w:rPr>
          <w:b/>
          <w:bCs/>
        </w:rPr>
        <w:t>Risiken.</w:t>
      </w:r>
      <w:r>
        <w:t xml:space="preserve"> Längere Transitzeiten erhöhen den Bestand unterwegs und verlangen vertraglich vereinbarte Lieferfenster. Fällt der Suezkanal als Route aus, dient Sea-Air als Ausweichweg. Die Matrix ist eine Potenzialaussage und kein Business Case: Frachtofferten und Kundenstandorte sind als Nächstes zu erheben.</w:t>
      </w:r>
      <w:bookmarkEnd w:id="81"/>
      <w:bookmarkEnd w:id="84"/>
    </w:p>
    <w:p w14:paraId="50CE6831" w14:textId="179BFF9C" w:rsidR="00D806ED" w:rsidRDefault="00000000">
      <w:pPr>
        <w:pStyle w:val="berschrift1"/>
        <w:pageBreakBefore/>
      </w:pPr>
      <w:bookmarkStart w:id="86" w:name="gesamtkonzept-und-umsetzung"/>
      <w:bookmarkStart w:id="87" w:name="_Toc243825055"/>
      <w:r>
        <w:lastRenderedPageBreak/>
        <w:t>Gesamtkonzept und Umsetzung</w:t>
      </w:r>
      <w:bookmarkEnd w:id="87"/>
    </w:p>
    <w:p w14:paraId="197FEF27" w14:textId="77777777" w:rsidR="00D806ED" w:rsidRDefault="00000000">
      <w:pPr>
        <w:pStyle w:val="FirstParagraph"/>
      </w:pPr>
      <w:r>
        <w:t>Tabelle 10 zeigt, wie die Massnahmen aller Blöcke auf die Ziele der Holding wirken (HWZ, o. J., S. 5–7).</w:t>
      </w:r>
    </w:p>
    <w:p w14:paraId="5C066C5B" w14:textId="3BE01F23" w:rsidR="00D806ED" w:rsidRDefault="00000000">
      <w:pPr>
        <w:pStyle w:val="Beschriftung"/>
        <w:keepNext/>
      </w:pPr>
      <w:bookmarkStart w:id="88" w:name="_Toc243824217"/>
      <w:r>
        <w:t xml:space="preserve">Tabelle </w:t>
      </w:r>
      <w:fldSimple w:instr=" SEQ Tabelle \* ARABIC ">
        <w:r>
          <w:rPr>
            <w:noProof/>
          </w:rPr>
          <w:t>10</w:t>
        </w:r>
      </w:fldSimple>
      <w:r>
        <w:t>: Massnahmen und Wirkung auf die Ziele der Holding</w:t>
      </w:r>
      <w:bookmarkEnd w:id="88"/>
    </w:p>
    <w:tbl>
      <w:tblPr>
        <w:tblStyle w:val="Tabellenraster"/>
        <w:tblW w:w="9069" w:type="dxa"/>
        <w:tblInd w:w="70" w:type="dxa"/>
        <w:tblLayout w:type="fixed"/>
        <w:tblCellMar>
          <w:left w:w="65" w:type="dxa"/>
          <w:right w:w="65" w:type="dxa"/>
        </w:tblCellMar>
        <w:tblLook w:val="0020" w:firstRow="1" w:lastRow="0" w:firstColumn="0" w:lastColumn="0" w:noHBand="0" w:noVBand="0"/>
      </w:tblPr>
      <w:tblGrid>
        <w:gridCol w:w="1968"/>
        <w:gridCol w:w="3438"/>
        <w:gridCol w:w="1878"/>
        <w:gridCol w:w="1785"/>
      </w:tblGrid>
      <w:tr w:rsidR="00D806ED" w14:paraId="37057382" w14:textId="77777777">
        <w:trPr>
          <w:tblHeader/>
        </w:trPr>
        <w:tc>
          <w:tcPr>
            <w:tcW w:w="1968" w:type="dxa"/>
            <w:shd w:val="clear" w:color="auto" w:fill="D9D9D9"/>
          </w:tcPr>
          <w:p w14:paraId="7D77B9F1" w14:textId="77777777" w:rsidR="00D806ED" w:rsidRDefault="00000000">
            <w:pPr>
              <w:pStyle w:val="Tabelleninhaltklein"/>
              <w:keepNext/>
            </w:pPr>
            <w:r>
              <w:rPr>
                <w:b/>
              </w:rPr>
              <w:t>Ziel der Holding</w:t>
            </w:r>
          </w:p>
        </w:tc>
        <w:tc>
          <w:tcPr>
            <w:tcW w:w="3438" w:type="dxa"/>
            <w:shd w:val="clear" w:color="auto" w:fill="D9D9D9"/>
          </w:tcPr>
          <w:p w14:paraId="75255F6A" w14:textId="77777777" w:rsidR="00D806ED" w:rsidRDefault="00000000">
            <w:pPr>
              <w:pStyle w:val="Tabelleninhaltklein"/>
              <w:keepNext/>
            </w:pPr>
            <w:r>
              <w:rPr>
                <w:b/>
              </w:rPr>
              <w:t>Wichtigste Massnahmen</w:t>
            </w:r>
          </w:p>
        </w:tc>
        <w:tc>
          <w:tcPr>
            <w:tcW w:w="1878" w:type="dxa"/>
            <w:shd w:val="clear" w:color="auto" w:fill="D9D9D9"/>
          </w:tcPr>
          <w:p w14:paraId="35CA51EE" w14:textId="77777777" w:rsidR="00D806ED" w:rsidRDefault="00000000">
            <w:pPr>
              <w:pStyle w:val="Tabelleninhaltklein"/>
              <w:keepNext/>
            </w:pPr>
            <w:r>
              <w:rPr>
                <w:b/>
              </w:rPr>
              <w:t>Erwartete Wirkung</w:t>
            </w:r>
          </w:p>
        </w:tc>
        <w:tc>
          <w:tcPr>
            <w:tcW w:w="1785" w:type="dxa"/>
            <w:shd w:val="clear" w:color="auto" w:fill="D9D9D9"/>
          </w:tcPr>
          <w:p w14:paraId="2DB5EB02" w14:textId="77777777" w:rsidR="00D806ED" w:rsidRDefault="00000000">
            <w:pPr>
              <w:pStyle w:val="Tabelleninhaltklein"/>
              <w:keepNext/>
            </w:pPr>
            <w:r>
              <w:rPr>
                <w:b/>
              </w:rPr>
              <w:t>Belastbarkeit</w:t>
            </w:r>
          </w:p>
        </w:tc>
      </w:tr>
      <w:tr w:rsidR="00D806ED" w14:paraId="4CD81BCB" w14:textId="77777777">
        <w:trPr>
          <w:cantSplit/>
        </w:trPr>
        <w:tc>
          <w:tcPr>
            <w:tcW w:w="1968" w:type="dxa"/>
          </w:tcPr>
          <w:p w14:paraId="672D1C83" w14:textId="77777777" w:rsidR="00D806ED" w:rsidRDefault="00000000">
            <w:pPr>
              <w:pStyle w:val="Tabelleninhaltklein"/>
              <w:keepNext/>
            </w:pPr>
            <w:r>
              <w:t>Bestand senken (Potenzial laut Konzernzentrale 30–40 %)</w:t>
            </w:r>
          </w:p>
        </w:tc>
        <w:tc>
          <w:tcPr>
            <w:tcW w:w="3438" w:type="dxa"/>
          </w:tcPr>
          <w:p w14:paraId="48ABC912" w14:textId="77777777" w:rsidR="00D806ED" w:rsidRDefault="00000000">
            <w:pPr>
              <w:pStyle w:val="Tabelleninhaltklein"/>
              <w:keepNext/>
            </w:pPr>
            <w:r>
              <w:t>häufigere A/B-Abrufe, Lager 2 auflösen, C-Teile in Konsignation (Block 2, 4)</w:t>
            </w:r>
          </w:p>
        </w:tc>
        <w:tc>
          <w:tcPr>
            <w:tcW w:w="1878" w:type="dxa"/>
          </w:tcPr>
          <w:p w14:paraId="014D9E92" w14:textId="77777777" w:rsidR="00D806ED" w:rsidRDefault="00000000">
            <w:pPr>
              <w:pStyle w:val="Tabelleninhaltklein"/>
              <w:keepNext/>
            </w:pPr>
            <w:r>
              <w:t xml:space="preserve">−30 bis −41 %, </w:t>
            </w:r>
            <w:r>
              <w:rPr>
                <w:shd w:val="clear" w:color="auto" w:fill="DDEBF7"/>
              </w:rPr>
              <w:t xml:space="preserve">Umschlag 2,0–3,0</w:t>
            </w:r>
          </w:p>
        </w:tc>
        <w:tc>
          <w:tcPr>
            <w:tcW w:w="1785" w:type="dxa"/>
          </w:tcPr>
          <w:p w14:paraId="19C8F127" w14:textId="77777777" w:rsidR="00D806ED" w:rsidRDefault="00000000">
            <w:pPr>
              <w:pStyle w:val="Tabelleninhaltklein"/>
              <w:keepNext/>
            </w:pPr>
            <w:r>
              <w:t>plausibel unter Annahmen A20, A21</w:t>
            </w:r>
          </w:p>
        </w:tc>
      </w:tr>
      <w:tr w:rsidR="00D806ED" w14:paraId="713EC6BD" w14:textId="77777777">
        <w:trPr>
          <w:cantSplit/>
        </w:trPr>
        <w:tc>
          <w:tcPr>
            <w:tcW w:w="1968" w:type="dxa"/>
          </w:tcPr>
          <w:p w14:paraId="19AF09B0" w14:textId="77777777" w:rsidR="00D806ED" w:rsidRDefault="00000000">
            <w:pPr>
              <w:pStyle w:val="Tabelleninhaltklein"/>
              <w:keepNext/>
            </w:pPr>
            <w:r>
              <w:t>Lieferzeit auf Wettbewerbsniveau (heute 30–50 % darüber)</w:t>
            </w:r>
          </w:p>
        </w:tc>
        <w:tc>
          <w:tcPr>
            <w:tcW w:w="3438" w:type="dxa"/>
          </w:tcPr>
          <w:p w14:paraId="6B1352F1" w14:textId="77777777" w:rsidR="00D806ED" w:rsidRDefault="00000000">
            <w:pPr>
              <w:pStyle w:val="Tabelleninhaltklein"/>
              <w:keepNext/>
            </w:pPr>
            <w:r>
              <w:t>CODP im SFG-Supermarkt, Milkrun, Zollverschluss (Block 1, 3, 4)</w:t>
            </w:r>
          </w:p>
        </w:tc>
        <w:tc>
          <w:tcPr>
            <w:tcW w:w="1878" w:type="dxa"/>
          </w:tcPr>
          <w:p w14:paraId="5F61D59E" w14:textId="77777777" w:rsidR="00D806ED" w:rsidRDefault="00000000">
            <w:pPr>
              <w:pStyle w:val="Tabelleninhaltklein"/>
              <w:keepNext/>
            </w:pPr>
            <w:r>
              <w:rPr>
                <w:shd w:val="clear" w:color="auto" w:fill="DDEBF7"/>
              </w:rPr>
              <w:t xml:space="preserve">Anlagenbau −32 bis −74 %</w:t>
            </w:r>
            <w:r>
              <w:t xml:space="preserve"> gegenüber nötigen −23 bis −33 %</w:t>
            </w:r>
          </w:p>
        </w:tc>
        <w:tc>
          <w:tcPr>
            <w:tcW w:w="1785" w:type="dxa"/>
          </w:tcPr>
          <w:p w14:paraId="474D0828" w14:textId="77777777" w:rsidR="00D806ED" w:rsidRDefault="00000000">
            <w:pPr>
              <w:pStyle w:val="Tabelleninhaltklein"/>
              <w:keepNext/>
            </w:pPr>
            <w:r>
              <w:t xml:space="preserve">Modellrechnung, Annahmen A18, A19 </w:t>
            </w:r>
            <w:r>
              <w:rPr>
                <w:shd w:val="clear" w:color="auto" w:fill="DDEBF7"/>
              </w:rPr>
              <w:t xml:space="preserve">(Tabelle 22)</w:t>
            </w:r>
          </w:p>
        </w:tc>
      </w:tr>
      <w:tr w:rsidR="00D806ED" w14:paraId="368C5834" w14:textId="77777777">
        <w:trPr>
          <w:cantSplit/>
        </w:trPr>
        <w:tc>
          <w:tcPr>
            <w:tcW w:w="1968" w:type="dxa"/>
          </w:tcPr>
          <w:p w14:paraId="105B2332" w14:textId="77777777" w:rsidR="00D806ED" w:rsidRDefault="00000000">
            <w:pPr>
              <w:pStyle w:val="Tabelleninhaltklein"/>
              <w:keepNext/>
            </w:pPr>
            <w:r>
              <w:t>Liefertreue Anlagenbau</w:t>
            </w:r>
          </w:p>
        </w:tc>
        <w:tc>
          <w:tcPr>
            <w:tcW w:w="3438" w:type="dxa"/>
          </w:tcPr>
          <w:p w14:paraId="1361E33F" w14:textId="77777777" w:rsidR="00D806ED" w:rsidRDefault="00000000">
            <w:pPr>
              <w:pStyle w:val="Tabelleninhaltklein"/>
              <w:keepNext/>
            </w:pPr>
            <w:r>
              <w:t>Montagezelle mit Express-Spur und Reserve, feste Abflugslots (Block 3, Distribution)</w:t>
            </w:r>
          </w:p>
        </w:tc>
        <w:tc>
          <w:tcPr>
            <w:tcW w:w="1878" w:type="dxa"/>
          </w:tcPr>
          <w:p w14:paraId="2D57B690" w14:textId="77777777" w:rsidR="00D806ED" w:rsidRDefault="00000000">
            <w:pPr>
              <w:pStyle w:val="Tabelleninhaltklein"/>
              <w:keepNext/>
            </w:pPr>
            <w:r>
              <w:t>55 % → ≥ 95 %</w:t>
            </w:r>
          </w:p>
        </w:tc>
        <w:tc>
          <w:tcPr>
            <w:tcW w:w="1785" w:type="dxa"/>
          </w:tcPr>
          <w:p w14:paraId="19038184" w14:textId="77777777" w:rsidR="00D806ED" w:rsidRDefault="00000000">
            <w:pPr>
              <w:pStyle w:val="Tabelleninhaltklein"/>
              <w:keepNext/>
            </w:pPr>
            <w:r>
              <w:t>Zielwert, Annahmen A10, A11</w:t>
            </w:r>
          </w:p>
        </w:tc>
      </w:tr>
      <w:tr w:rsidR="00D806ED" w14:paraId="1DCBD220" w14:textId="77777777">
        <w:trPr>
          <w:cantSplit/>
        </w:trPr>
        <w:tc>
          <w:tcPr>
            <w:tcW w:w="1968" w:type="dxa"/>
          </w:tcPr>
          <w:p w14:paraId="4120A605" w14:textId="77777777" w:rsidR="00D806ED" w:rsidRDefault="00000000">
            <w:pPr>
              <w:pStyle w:val="Tabelleninhaltklein"/>
              <w:keepNext/>
            </w:pPr>
            <w:r>
              <w:t>Kosten und Personal</w:t>
            </w:r>
          </w:p>
        </w:tc>
        <w:tc>
          <w:tcPr>
            <w:tcW w:w="3438" w:type="dxa"/>
          </w:tcPr>
          <w:p w14:paraId="1C8DF392" w14:textId="77777777" w:rsidR="00D806ED" w:rsidRDefault="00000000">
            <w:pPr>
              <w:pStyle w:val="Tabelleninhaltklein"/>
              <w:keepNext/>
            </w:pPr>
            <w:r>
              <w:t>Ware-zur-Person-Kommissionierung, C-Teile-Management, Modal Shift OEM (Block 2, 4, Distribution)</w:t>
            </w:r>
          </w:p>
        </w:tc>
        <w:tc>
          <w:tcPr>
            <w:tcW w:w="1878" w:type="dxa"/>
          </w:tcPr>
          <w:p w14:paraId="0CC5F525" w14:textId="77777777" w:rsidR="00D806ED" w:rsidRDefault="00000000">
            <w:pPr>
              <w:pStyle w:val="Tabelleninhaltklein"/>
              <w:keepNext/>
            </w:pPr>
            <w:r>
              <w:rPr>
                <w:shd w:val="clear" w:color="auto" w:fill="DDEBF7"/>
              </w:rPr>
              <w:t xml:space="preserve">Kommissionierung 31–100 statt 600 Personen, davon 14 bei Grofu</w:t>
            </w:r>
            <w:r>
              <w:t xml:space="preserve">; rund 44 000 Bestellungen weniger; OEM-Frachtkosten −15 bis −48 %</w:t>
            </w:r>
          </w:p>
        </w:tc>
        <w:tc>
          <w:tcPr>
            <w:tcW w:w="1785" w:type="dxa"/>
          </w:tcPr>
          <w:p w14:paraId="215A3C66" w14:textId="77777777" w:rsidR="00D806ED" w:rsidRDefault="00000000">
            <w:pPr>
              <w:pStyle w:val="Tabelleninhaltklein"/>
              <w:keepNext/>
            </w:pPr>
            <w:r>
              <w:t xml:space="preserve">Fallstudie S. 6; </w:t>
            </w:r>
            <w:r>
              <w:rPr>
                <w:shd w:val="clear" w:color="auto" w:fill="DDEBF7"/>
              </w:rPr>
              <w:t xml:space="preserve">Annahmen A4, A27, A31–A33</w:t>
            </w:r>
          </w:p>
        </w:tc>
      </w:tr>
      <w:tr w:rsidR="00D806ED" w14:paraId="21D9EF03" w14:textId="77777777">
        <w:trPr>
          <w:cantSplit/>
        </w:trPr>
        <w:tc>
          <w:tcPr>
            <w:tcW w:w="1968" w:type="dxa"/>
          </w:tcPr>
          <w:p w14:paraId="2F48CA87" w14:textId="77777777" w:rsidR="00D806ED" w:rsidRDefault="00000000">
            <w:pPr>
              <w:pStyle w:val="Tabelleninhaltklein"/>
              <w:keepNext/>
            </w:pPr>
            <w:r>
              <w:t>LEAN-Inbound: Fläche, Handling</w:t>
            </w:r>
          </w:p>
        </w:tc>
        <w:tc>
          <w:tcPr>
            <w:tcW w:w="3438" w:type="dxa"/>
          </w:tcPr>
          <w:p w14:paraId="168E59AA" w14:textId="77777777" w:rsidR="00D806ED" w:rsidRDefault="00000000">
            <w:pPr>
              <w:pStyle w:val="Tabelleninhaltklein"/>
              <w:keepNext/>
            </w:pPr>
            <w:r>
              <w:t>eine Inbound-Lagerstufe statt drei (Block 1, 4)</w:t>
            </w:r>
          </w:p>
        </w:tc>
        <w:tc>
          <w:tcPr>
            <w:tcW w:w="1878" w:type="dxa"/>
          </w:tcPr>
          <w:p w14:paraId="6E128035" w14:textId="77777777" w:rsidR="00D806ED" w:rsidRDefault="00000000">
            <w:pPr>
              <w:pStyle w:val="Tabelleninhaltklein"/>
              <w:keepNext/>
            </w:pPr>
            <w:r>
              <w:t>Lager 2 und 4 entfallen, kein Neubau</w:t>
            </w:r>
          </w:p>
        </w:tc>
        <w:tc>
          <w:tcPr>
            <w:tcW w:w="1785" w:type="dxa"/>
          </w:tcPr>
          <w:p w14:paraId="56CD6CF6" w14:textId="77777777" w:rsidR="00D806ED" w:rsidRDefault="00000000">
            <w:pPr>
              <w:pStyle w:val="Tabelleninhaltklein"/>
              <w:keepNext/>
            </w:pPr>
            <w:r>
              <w:t>Annahme A13</w:t>
            </w:r>
          </w:p>
        </w:tc>
      </w:tr>
    </w:tbl>
    <w:p w14:paraId="40B3112B" w14:textId="77777777" w:rsidR="00D806ED" w:rsidRDefault="00000000">
      <w:pPr>
        <w:pStyle w:val="Quellenangabe"/>
      </w:pPr>
      <w:r>
        <w:t xml:space="preserve">Quelle: Eigene Darstellung; Werte aus analyse/kennzahlen.csv, analyse/block3_4_kennzahlen.py und den Kapiteln Block 1–4 und Distribution.</w:t>
      </w:r>
    </w:p>
    <w:p w14:paraId="30A6789C" w14:textId="77777777" w:rsidR="00D806ED" w:rsidRDefault="00000000">
      <w:pPr>
        <w:pStyle w:val="Textkrper"/>
      </w:pPr>
      <w:r>
        <w:t xml:space="preserve">Die Roadmap (Abbildung 4; Annahmen A16, A17) folgt der Regel </w:t>
      </w:r>
      <w:r>
        <w:rPr>
          <w:b/>
          <w:bCs/>
        </w:rPr>
        <w:t>erst messen und stabilisieren, dann Bestände abbauen, dann automatisieren</w:t>
      </w:r>
      <w:r>
        <w:t>. Sonst drohen Stillstände (Hutzler &amp; Fuchs, 2021, S. 48) oder eine falsch ausgelegte Anlage.</w:t>
      </w:r>
    </w:p>
    <w:p w14:paraId="7D6DD847" w14:textId="77777777" w:rsidR="00D806ED" w:rsidRDefault="00000000">
      <w:pPr>
        <w:pStyle w:val="Abbildung"/>
      </w:pPr>
      <w:bookmarkStart w:id="89" w:name="fig%3Aroadmap"/>
      <w:r>
        <w:rPr>
          <w:noProof/>
        </w:rPr>
        <w:drawing>
          <wp:inline distT="0" distB="0" distL="0" distR="0" wp14:anchorId="57B7C415" wp14:editId="3FEA34AB">
            <wp:extent cx="5465445" cy="1978025"/>
            <wp:effectExtent l="0" t="0" r="0" b="0"/>
            <wp:docPr id="5" name="Image4" descr="Umsetzungs-Roadmap in drei Phasen mit Meilenstei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Umsetzungs-Roadmap in drei Phasen mit Meilensteinen"/>
                    <pic:cNvPicPr>
                      <a:picLocks noChangeAspect="1" noChangeArrowheads="1"/>
                    </pic:cNvPicPr>
                  </pic:nvPicPr>
                  <pic:blipFill>
                    <a:blip r:embed="rId13"/>
                    <a:stretch>
                      <a:fillRect/>
                    </a:stretch>
                  </pic:blipFill>
                  <pic:spPr bwMode="auto">
                    <a:xfrm>
                      <a:off x="0" y="0"/>
                      <a:ext cx="5465445" cy="1978025"/>
                    </a:xfrm>
                    <a:prstGeom prst="rect">
                      <a:avLst/>
                    </a:prstGeom>
                    <a:noFill/>
                  </pic:spPr>
                </pic:pic>
              </a:graphicData>
            </a:graphic>
          </wp:inline>
        </w:drawing>
      </w:r>
    </w:p>
    <w:p w14:paraId="7A0F134D" w14:textId="5EE3568D" w:rsidR="00D806ED" w:rsidRDefault="00000000">
      <w:pPr>
        <w:pStyle w:val="Beschriftung"/>
        <w:keepNext/>
        <w:jc w:val="center"/>
      </w:pPr>
      <w:bookmarkStart w:id="90" w:name="_Toc243824173"/>
      <w:r>
        <w:t xml:space="preserve">Abbildung </w:t>
      </w:r>
      <w:fldSimple w:instr=" SEQ Abbildung \* ARABIC ">
        <w:r>
          <w:rPr>
            <w:noProof/>
          </w:rPr>
          <w:t>4</w:t>
        </w:r>
      </w:fldSimple>
      <w:r>
        <w:t>: Umsetzungs-Roadmap in drei Phasen mit Meilensteinen</w:t>
      </w:r>
      <w:bookmarkEnd w:id="89"/>
      <w:bookmarkEnd w:id="90"/>
    </w:p>
    <w:p w14:paraId="2F646663" w14:textId="77777777" w:rsidR="00D806ED" w:rsidRDefault="00000000">
      <w:pPr>
        <w:pStyle w:val="Quellenangabe"/>
      </w:pPr>
      <w:r>
        <w:t>Quelle: Eigene Darstellung.</w:t>
      </w:r>
    </w:p>
    <w:p w14:paraId="39B8AFB8" w14:textId="77777777" w:rsidR="00D806ED" w:rsidRDefault="00000000">
      <w:pPr>
        <w:pStyle w:val="Textkrper"/>
      </w:pPr>
      <w:r>
        <w:rPr>
          <w:b/>
          <w:bCs/>
        </w:rPr>
        <w:t>Top-3-Risiken</w:t>
      </w:r>
      <w:r>
        <w:t xml:space="preserve"> </w:t>
      </w:r>
      <w:r>
        <w:rPr>
          <w:shd w:val="clear" w:color="auto" w:fill="DDEBF7"/>
        </w:rPr>
        <w:t xml:space="preserve">(weitere in Tabelle 27)</w:t>
      </w:r>
      <w:r>
        <w:t xml:space="preserve">: (1) Die Importroute über Pakistan ist gesperrt (DGFT, 2025). Gegenmittel sind der Hub im Westhafen bzw. der Zollverschluss im Werk. (2) Kleine Kanban-Puffer sind störanfällig (S. 48). Lager 2 wird deshalb erst nach stabiler Lieferbereitschaft abgebaut, und Z- und Übersee-C-Teile erhalten Sicherheitsbestand. (3) </w:t>
      </w:r>
      <w:r>
        <w:rPr>
          <w:shd w:val="clear" w:color="auto" w:fill="DDEBF7"/>
        </w:rPr>
        <w:t xml:space="preserve">Es fehlt die Zustimmung der gesamten Geschäftsleitung (Management Commitment, Begriff nach S. 66).</w:t>
      </w:r>
      <w:r>
        <w:t xml:space="preserve"> Phase 1 setzt deshalb auf schnell messbare Erfolge.</w:t>
      </w:r>
      <w:bookmarkEnd w:id="86"/>
    </w:p>
    <w:p>
      <w:pPr>
        <w:pStyle w:val="Textkrper"/>
      </w:pPr>
      <w:r>
        <w:rPr>
          <w:b/>
          <w:bCs/>
          <w:shd w:val="clear" w:color="auto" w:fill="DDEBF7"/>
        </w:rPr>
        <w:t xml:space="preserve">Investitionen und Umsetzungshürden.</w:t>
      </w:r>
      <w:r>
        <w:rPr>
          <w:shd w:val="clear" w:color="auto" w:fill="DDEBF7"/>
        </w:rPr>
        <w:t xml:space="preserve"> Die Holding hat die Investitionen pauschal budgetiert (HWZ, o. J., S. 5), Offerten liegen nicht vor. Das Projektteam rechnet deshalb die Obergrenze, bis zu der sich die Kommissionierautomatik lohnt: Netto entfallen rund 500–570 Kommissionierstellen (600 minus 31–100). Bei Vollkosten von 200 000–250 000 Rupien je Stelle und Jahr (Annahme A6) sind das 100–140 Mio. Rupien pro Jahr. Bei fünf Jahren Amortisation darf die Ware-zur-Person-Anlage samt Umbau also höchstens 500–700 Mio. Rupien kosten. Liegt die Offerte darüber, wird die Anlage kleiner ausgelegt oder in Etappen gebaut. Die tiefen Lohnkosten erklären, warum Grofu bisher manuell kommissioniert, und begründen die Regel «Automatisierung, wo Volumen sie trägt». Zwei weitere Hürden bestimmen den Zeitplan: Der Zollverschluss braucht Lizenz, Zoll-IT und Warehouse Keeper (Annahmen A7, A8), und der Personalabbau braucht die Bewilligung der Behörden (Industrial Relations Code, 2020, Sec. 77). Beide Gesuche starten deshalb in Phase 1.</w:t>
      </w:r>
    </w:p>
    <w:p w14:paraId="7D39F1D1" w14:textId="77777777" w:rsidR="00D806ED" w:rsidRDefault="00000000">
      <w:pPr>
        <w:pStyle w:val="berschrift1"/>
      </w:pPr>
      <w:bookmarkStart w:id="91" w:name="_Toc243825056"/>
      <w:r>
        <w:lastRenderedPageBreak/>
        <w:t>Fazit und Ausblick</w:t>
      </w:r>
      <w:bookmarkEnd w:id="91"/>
    </w:p>
    <w:p w14:paraId="32FEE62C" w14:textId="10B00A38" w:rsidR="00D806ED" w:rsidRDefault="00000000">
      <w:pPr>
        <w:pStyle w:val="FirstParagraph"/>
      </w:pPr>
      <w:r>
        <w:t xml:space="preserve">Die Daten geben der Holding teilweise recht, dass die Begründung des indischen Managements nicht stichhaltig ist (HWZ, o. J., S. 5). Der Import ist wertmässig kein Treiber, </w:t>
      </w:r>
      <w:r>
        <w:rPr>
          <w:shd w:val="clear" w:color="auto" w:fill="DDEBF7"/>
        </w:rPr>
        <w:t xml:space="preserve">positionsmässig aber relevant (Tabelle 12)</w:t>
      </w:r>
      <w:r>
        <w:t xml:space="preserve">. Der grösste Hebel liegt in der eigenen Steuerung: Eine Budgetprognose drückt Material durch zwei Lagerstufen. Das Projektteam empfiehlt deshalb, zuerst die </w:t>
      </w:r>
      <w:r>
        <w:rPr>
          <w:b/>
          <w:bCs/>
        </w:rPr>
        <w:t>Logik des Flusses</w:t>
      </w:r>
      <w:r>
        <w:t xml:space="preserve"> zu ändern: verbrauchsgesteuerter Nachschub, ein bewusst gesetzter Entkopplungspunkt und Lösungen je Segment. Technik und Automatisierung folgen erst danach.</w:t>
      </w:r>
    </w:p>
    <w:p w14:paraId="77D0FA93" w14:textId="77777777" w:rsidR="00D806ED" w:rsidRDefault="00000000">
      <w:pPr>
        <w:pStyle w:val="Textkrper"/>
      </w:pPr>
      <w:r>
        <w:rPr>
          <w:b/>
          <w:bCs/>
        </w:rPr>
        <w:t>Grenzen</w:t>
      </w:r>
      <w:r>
        <w:t xml:space="preserve">: Es fehlen Zeitreihen (daher keine echte XYZ-Analyse), Bestands-, Kosten- und Distributionsdaten. Die Bestandssenkung und die Lieferzeitwirkung beruhen auf Modellrechnungen mit Annahmen. Die Nutzwertanalysen bleiben subjektiv, </w:t>
      </w:r>
      <w:r>
        <w:rPr>
          <w:shd w:val="clear" w:color="auto" w:fill="DDEBF7"/>
        </w:rPr>
        <w:t xml:space="preserve">halten aber auch bei gleichen Gewichten; im Anlagenbau entsteht dann ein Gleichstand, den die Termintreue entscheidet.</w:t>
      </w:r>
      <w:r>
        <w:t xml:space="preserve"> Als Nächstes folgt ein Business Case.</w:t>
      </w:r>
    </w:p>
    <w:p w14:paraId="2729DC61" w14:textId="77777777" w:rsidR="00D806ED" w:rsidRDefault="00000000">
      <w:pPr>
        <w:pStyle w:val="Textkrper"/>
      </w:pPr>
      <w:r>
        <w:rPr>
          <w:b/>
          <w:bCs/>
        </w:rPr>
        <w:t>Ausblick</w:t>
      </w:r>
      <w:r>
        <w:t xml:space="preserve">: Lieferketten-Störungen von einem Monat oder länger treten im Durchschnitt etwa alle 3,7 Jahre auf. Ketten mit hoher Handelsintensität, darunter Kommunikationstechnik sowie Computer und Elektronik, sind besonders exponiert (Lund et al., 2020). Resilienz gehört deshalb in jede Netzwerkentscheidung, wie hier bei der Importroute. Zudem macht die Digitalisierung Transparenz günstiger. Das Skript betont dafür «Realtime Visibility» (Hutzler &amp; Fuchs, 2021, S. 20). Daraus schliesst das Projektteam, dass sich EDI, Kanban-Signale und Sendungsverfolgung bei Grofu zu einem Supply-Chain-Control-Tower verbinden lassen.</w:t>
      </w:r>
    </w:p>
    <w:p w14:paraId="4D2A2487" w14:textId="3372A858" w:rsidR="00D806ED" w:rsidRDefault="00000000">
      <w:pPr>
        <w:pStyle w:val="berschrift1"/>
        <w:pageBreakBefore/>
        <w:numPr>
          <w:ilvl w:val="0"/>
          <w:numId w:val="0"/>
        </w:numPr>
      </w:pPr>
      <w:bookmarkStart w:id="92" w:name="_Toc243825057"/>
      <w:r>
        <w:lastRenderedPageBreak/>
        <w:t>Literaturverzeichnis</w:t>
      </w:r>
      <w:bookmarkEnd w:id="92"/>
    </w:p>
    <w:p w14:paraId="64C82B21" w14:textId="77777777" w:rsidR="00D806ED" w:rsidRPr="004E094B" w:rsidRDefault="00000000">
      <w:pPr>
        <w:pStyle w:val="Literatur"/>
        <w:rPr>
          <w:lang w:val="fr-CH"/>
        </w:rPr>
      </w:pPr>
      <w:r>
        <w:t xml:space="preserve">Christopher, M., &amp; Towill, D. (2001). </w:t>
      </w:r>
      <w:r>
        <w:rPr>
          <w:lang w:val="fr-CH"/>
        </w:rPr>
        <w:t xml:space="preserve">An integrated model for the design of agile supply chains. </w:t>
      </w:r>
      <w:r>
        <w:rPr>
          <w:i/>
          <w:iCs/>
          <w:lang w:val="fr-CH"/>
        </w:rPr>
        <w:t xml:space="preserve">International Journal of Physical Distribution &amp; Logistics Management, 31</w:t>
      </w:r>
      <w:r>
        <w:rPr>
          <w:lang w:val="fr-CH"/>
        </w:rPr>
        <w:t>(4), 235–246. https://doi.org/10.1108/09600030110394914</w:t>
      </w:r>
    </w:p>
    <w:p w14:paraId="6E2B73E4" w14:textId="77777777" w:rsidR="00D806ED" w:rsidRDefault="00000000">
      <w:pPr>
        <w:pStyle w:val="Literatur"/>
      </w:pPr>
      <w:r>
        <w:rPr>
          <w:i/>
          <w:iCs/>
        </w:rPr>
        <w:t>Daten-ABC-Analyse-Grofu</w:t>
      </w:r>
      <w:r>
        <w:t xml:space="preserve"> [Datensatz, Microsoft-Excel-Datei]. (o. J.). Unveröffentlichte Kursunterlage zur Fallstudie Grofu AG, HWZ Hochschule für Wirtschaft Zürich.</w:t>
      </w:r>
    </w:p>
    <w:p w14:paraId="1409E90B" w14:textId="77777777" w:rsidR="00D806ED" w:rsidRPr="004E094B" w:rsidRDefault="00000000">
      <w:pPr>
        <w:pStyle w:val="Literatur"/>
        <w:rPr>
          <w:lang w:val="fr-CH"/>
        </w:rPr>
      </w:pPr>
      <w:r>
        <w:rPr>
          <w:lang w:val="fr-CH"/>
        </w:rPr>
        <w:t xml:space="preserve">Directorate General of Foreign Trade. (2025, 2. Mai). </w:t>
      </w:r>
      <w:r>
        <w:rPr>
          <w:i/>
          <w:iCs/>
          <w:lang w:val="fr-CH"/>
        </w:rPr>
        <w:t xml:space="preserve">Notification No. 06/2025-26: Insertion of Para 2.20A in the Foreign Trade Policy 2023</w:t>
      </w:r>
      <w:r>
        <w:rPr>
          <w:lang w:val="fr-CH"/>
        </w:rPr>
        <w:t xml:space="preserve"> [Bekanntmachung]. Ministry of Commerce and Industry, Government of India. https://dgft.gov.in</w:t>
      </w:r>
    </w:p>
    <w:p w14:paraId="5B3DFE2C" w14:textId="77777777" w:rsidR="00D806ED" w:rsidRDefault="00000000">
      <w:pPr>
        <w:pStyle w:val="Literatur"/>
      </w:pPr>
      <w:r>
        <w:t xml:space="preserve">DP World. (o. J.). </w:t>
      </w:r>
      <w:r>
        <w:rPr>
          <w:i/>
          <w:iCs/>
        </w:rPr>
        <w:t xml:space="preserve">Jebel Ali Port</w:t>
      </w:r>
      <w:r>
        <w:t>. Abgerufen am 15. Oktober 2026, von https://www.dpworld.com/en/uae/ports-and-terminals/jebel-ali-port</w:t>
      </w:r>
    </w:p>
    <w:p w14:paraId="744CBA25" w14:textId="77777777" w:rsidR="00D806ED" w:rsidRDefault="00000000">
      <w:pPr>
        <w:pStyle w:val="Literatur"/>
      </w:pPr>
      <w:r>
        <w:t xml:space="preserve">DSV. (o. J.). </w:t>
      </w:r>
      <w:r>
        <w:rPr>
          <w:i/>
          <w:iCs/>
        </w:rPr>
        <w:t xml:space="preserve">Air Skybridge: Faster global shipping</w:t>
      </w:r>
      <w:r>
        <w:t>. Abgerufen am 15. Oktober 2026, von https://www.dsv.com/en-ae/our-solutions/modes-of-transport/air-freight/sea-air-freight</w:t>
      </w:r>
    </w:p>
    <w:p w14:paraId="3E8E0751" w14:textId="77777777" w:rsidR="00D806ED" w:rsidRDefault="00000000">
      <w:pPr>
        <w:pStyle w:val="Literatur"/>
      </w:pPr>
      <w:r>
        <w:rPr>
          <w:lang w:val="fr-CH"/>
        </w:rPr>
        <w:t xml:space="preserve">Fisher, M. L. (1997). What is the right supply chain for your product? </w:t>
      </w:r>
      <w:r>
        <w:rPr>
          <w:i/>
          <w:iCs/>
        </w:rPr>
        <w:t>Harvard Business Review, 75</w:t>
      </w:r>
      <w:r>
        <w:t>(2), 105–116.</w:t>
      </w:r>
    </w:p>
    <w:p>
      <w:pPr>
        <w:pStyle w:val="Literatur"/>
      </w:pPr>
      <w:r>
        <w:rPr>
          <w:shd w:val="clear" w:color="auto" w:fill="DDEBF7"/>
          <w:lang w:val="fr-CH"/>
        </w:rPr>
        <w:t xml:space="preserve">Fuchs, M. (2024a). </w:t>
      </w:r>
      <w:r>
        <w:rPr>
          <w:i/>
          <w:iCs/>
          <w:shd w:val="clear" w:color="auto" w:fill="DDEBF7"/>
          <w:lang w:val="fr-CH"/>
        </w:rPr>
        <w:t xml:space="preserve">Supply Chain Management, Block 3: Produktions- und Lagerlogistik</w:t>
      </w:r>
      <w:r>
        <w:rPr>
          <w:shd w:val="clear" w:color="auto" w:fill="DDEBF7"/>
          <w:lang w:val="fr-CH"/>
        </w:rPr>
        <w:t xml:space="preserve"> [Unveröffentlichte Kursfolien; Foliennummern = PDF-Seite]. HWZ Hochschule für Wirtschaft Zürich.</w:t>
      </w:r>
    </w:p>
    <w:p>
      <w:pPr>
        <w:pStyle w:val="Literatur"/>
      </w:pPr>
      <w:r>
        <w:rPr>
          <w:shd w:val="clear" w:color="auto" w:fill="DDEBF7"/>
          <w:lang w:val="fr-CH"/>
        </w:rPr>
        <w:t xml:space="preserve">Fuchs, M. (2024b). </w:t>
      </w:r>
      <w:r>
        <w:rPr>
          <w:i/>
          <w:iCs/>
          <w:shd w:val="clear" w:color="auto" w:fill="DDEBF7"/>
          <w:lang w:val="fr-CH"/>
        </w:rPr>
        <w:t xml:space="preserve">Supply Chain Management, Block 4: Distribution, Entsorgung und Kennzahlen</w:t>
      </w:r>
      <w:r>
        <w:rPr>
          <w:shd w:val="clear" w:color="auto" w:fill="DDEBF7"/>
          <w:lang w:val="fr-CH"/>
        </w:rPr>
        <w:t xml:space="preserve"> [Unveröffentlichte Kursfolien; Foliennummern = PDF-Seite]. HWZ Hochschule für Wirtschaft Zürich.</w:t>
      </w:r>
    </w:p>
    <w:p>
      <w:pPr>
        <w:pStyle w:val="Literatur"/>
      </w:pPr>
      <w:r>
        <w:rPr>
          <w:shd w:val="clear" w:color="auto" w:fill="DDEBF7"/>
          <w:lang w:val="fr-CH"/>
        </w:rPr>
        <w:t xml:space="preserve">Glassdoor. (o. J.). </w:t>
      </w:r>
      <w:r>
        <w:rPr>
          <w:i/>
          <w:iCs/>
          <w:shd w:val="clear" w:color="auto" w:fill="DDEBF7"/>
          <w:lang w:val="fr-CH"/>
        </w:rPr>
        <w:t xml:space="preserve">Order picker salaries in India</w:t>
      </w:r>
      <w:r>
        <w:rPr>
          <w:shd w:val="clear" w:color="auto" w:fill="DDEBF7"/>
          <w:lang w:val="fr-CH"/>
        </w:rPr>
        <w:t xml:space="preserve">. Abgerufen am 25. Oktober 2026, von https://www.glassdoor.co.in/Salaries/order-picker-salary-SRCH_KO0,12.htm</w:t>
      </w:r>
    </w:p>
    <w:p w14:paraId="69BB7B3A" w14:textId="77777777" w:rsidR="00D806ED" w:rsidRDefault="00000000">
      <w:pPr>
        <w:pStyle w:val="Literatur"/>
      </w:pPr>
      <w:r>
        <w:t xml:space="preserve">HWZ Hochschule für Wirtschaft Zürich. (o. J.). </w:t>
      </w:r>
      <w:r>
        <w:rPr>
          <w:i/>
          <w:iCs/>
        </w:rPr>
        <w:t xml:space="preserve">Grofu AG – Optimierung der Supply Chain</w:t>
      </w:r>
      <w:r>
        <w:t xml:space="preserve"> (Business Case, Version 3.0) [Unveröffentlichte Fallstudie].</w:t>
      </w:r>
    </w:p>
    <w:p w14:paraId="587340E0" w14:textId="77777777" w:rsidR="00D806ED" w:rsidRDefault="00000000">
      <w:pPr>
        <w:pStyle w:val="Literatur"/>
      </w:pPr>
      <w:r>
        <w:t xml:space="preserve">Hutzler, P., &amp; Fuchs, M. (2021). </w:t>
      </w:r>
      <w:r>
        <w:rPr>
          <w:i/>
          <w:iCs/>
        </w:rPr>
        <w:t>Supply Chain Management</w:t>
      </w:r>
      <w:r>
        <w:t xml:space="preserve"> [Unveröffentlichtes Kursskript]. HWZ Hochschule für Wirtschaft Zürich.</w:t>
      </w:r>
    </w:p>
    <w:p>
      <w:pPr>
        <w:pStyle w:val="Literatur"/>
      </w:pPr>
      <w:r>
        <w:rPr>
          <w:shd w:val="clear" w:color="auto" w:fill="DDEBF7"/>
          <w:lang w:val="fr-CH"/>
        </w:rPr>
        <w:t xml:space="preserve">Industrial Relations Code, 2020 (India). In Kraft seit 21. November 2025 (Notification S.O. 5320(E), Ministry of Labour and Employment). Zusammenfassung: Taxmann. </w:t>
      </w:r>
      <w:r>
        <w:rPr>
          <w:i/>
          <w:iCs/>
          <w:shd w:val="clear" w:color="auto" w:fill="DDEBF7"/>
          <w:lang w:val="fr-CH"/>
        </w:rPr>
        <w:t xml:space="preserve">The Industrial Relations Code 2020 – Key provisions</w:t>
      </w:r>
      <w:r>
        <w:rPr>
          <w:shd w:val="clear" w:color="auto" w:fill="DDEBF7"/>
          <w:lang w:val="fr-CH"/>
        </w:rPr>
        <w:t xml:space="preserve">. Abgerufen am 25. Oktober 2026, von https://www.taxmann.com/post/blog/analysis-the-industrial-relations-code</w:t>
      </w:r>
    </w:p>
    <w:p w14:paraId="588CC54A" w14:textId="77777777" w:rsidR="00D806ED" w:rsidRDefault="00000000">
      <w:pPr>
        <w:pStyle w:val="Literatur"/>
      </w:pPr>
      <w:r>
        <w:t xml:space="preserve">Invest India. (o. J.). </w:t>
      </w:r>
      <w:r>
        <w:rPr>
          <w:i/>
          <w:iCs/>
        </w:rPr>
        <w:t xml:space="preserve">FAQs: Bonded manufacturing – Section 65 of Customs Act, 1962</w:t>
      </w:r>
      <w:r>
        <w:t>. Abgerufen am 15. Oktober 2026, von https://www.investindia.gov.in/faq-pdf/1373/en</w:t>
      </w:r>
    </w:p>
    <w:p w14:paraId="2B7981A6" w14:textId="77777777" w:rsidR="00D806ED" w:rsidRDefault="00000000">
      <w:pPr>
        <w:pStyle w:val="Literatur"/>
      </w:pPr>
      <w:r>
        <w:t xml:space="preserve">Kenning, P. (2018, 16. Februar). Umschlagshäufigkeit. In </w:t>
      </w:r>
      <w:r>
        <w:rPr>
          <w:i/>
          <w:iCs/>
        </w:rPr>
        <w:t>Gabler Wirtschaftslexikon</w:t>
      </w:r>
      <w:r>
        <w:t>. Springer Gabler. https://wirtschaftslexikon.gabler.de/definition/umschlagshaeufigkeit-48647/version-271898</w:t>
      </w:r>
    </w:p>
    <w:p w14:paraId="6F6F8801" w14:textId="77777777" w:rsidR="00D806ED" w:rsidRDefault="00000000">
      <w:pPr>
        <w:pStyle w:val="Literatur"/>
      </w:pPr>
      <w:r>
        <w:t xml:space="preserve">Krieger, W. (2018, 15. Februar). Lagerumschlag. In </w:t>
      </w:r>
      <w:r>
        <w:rPr>
          <w:i/>
          <w:iCs/>
        </w:rPr>
        <w:t>Gabler Wirtschaftslexikon</w:t>
      </w:r>
      <w:r>
        <w:t>. Springer Gabler. https://wirtschaftslexikon.gabler.de/definition/lagerumschlag-41210/version-264580</w:t>
      </w:r>
    </w:p>
    <w:p w14:paraId="24C1923D" w14:textId="77777777" w:rsidR="00D806ED" w:rsidRDefault="00000000">
      <w:pPr>
        <w:pStyle w:val="Literatur"/>
      </w:pPr>
      <w:r>
        <w:rPr>
          <w:i/>
          <w:iCs/>
        </w:rPr>
        <w:t>Lager-Grofu</w:t>
      </w:r>
      <w:r>
        <w:t xml:space="preserve"> [Abbildung]. (o. J.). Unveröffentlichte Kursunterlage zur Fallstudie Grofu AG, HWZ Hochschule für Wirtschaft Zürich.</w:t>
      </w:r>
    </w:p>
    <w:p w14:paraId="3113FC03" w14:textId="77777777" w:rsidR="00D806ED" w:rsidRPr="004E094B" w:rsidRDefault="00000000">
      <w:pPr>
        <w:pStyle w:val="Literatur"/>
        <w:rPr>
          <w:lang w:val="fr-CH"/>
        </w:rPr>
      </w:pPr>
      <w:r>
        <w:t xml:space="preserve">Lee, H. L., Padmanabhan, V., &amp; Whang, S. (1997). </w:t>
      </w:r>
      <w:r>
        <w:rPr>
          <w:lang w:val="fr-CH"/>
        </w:rPr>
        <w:t xml:space="preserve">Information distortion in a supply chain: The bullwhip effect. </w:t>
      </w:r>
      <w:r>
        <w:rPr>
          <w:i/>
          <w:iCs/>
          <w:lang w:val="fr-CH"/>
        </w:rPr>
        <w:t>Management Science, 43</w:t>
      </w:r>
      <w:r>
        <w:rPr>
          <w:lang w:val="fr-CH"/>
        </w:rPr>
        <w:t>(4), 546–558. https://doi.org/10.1287/mnsc.43.4.546</w:t>
      </w:r>
    </w:p>
    <w:p w14:paraId="66B7CE5D" w14:textId="77777777" w:rsidR="00D806ED" w:rsidRDefault="00000000">
      <w:pPr>
        <w:pStyle w:val="Literatur"/>
      </w:pPr>
      <w:r>
        <w:rPr>
          <w:lang w:val="fr-CH"/>
        </w:rPr>
        <w:t xml:space="preserve">Liker, J. K. (2004). </w:t>
      </w:r>
      <w:r>
        <w:rPr>
          <w:i/>
          <w:iCs/>
          <w:lang w:val="fr-CH"/>
        </w:rPr>
        <w:t xml:space="preserve">The Toyota way: 14 management principles from the world’s greatest manufacturer</w:t>
      </w:r>
      <w:r>
        <w:rPr>
          <w:lang w:val="fr-CH"/>
        </w:rPr>
        <w:t xml:space="preserve">. </w:t>
      </w:r>
      <w:r>
        <w:t>McGraw-Hill.</w:t>
      </w:r>
    </w:p>
    <w:p w14:paraId="3474A65E" w14:textId="77777777" w:rsidR="00D806ED" w:rsidRPr="004E094B" w:rsidRDefault="00000000">
      <w:pPr>
        <w:pStyle w:val="Literatur"/>
        <w:rPr>
          <w:lang w:val="fr-CH"/>
        </w:rPr>
      </w:pPr>
      <w:r>
        <w:t xml:space="preserve">Lund, S., Manyika, J., Woetzel, J., Barriball, E., Krishnan, M., Alicke, K., Birshan, M., George, K., Smit, S., Swan, D., &amp; Hutzler, K. (2020). </w:t>
      </w:r>
      <w:r>
        <w:rPr>
          <w:i/>
          <w:iCs/>
          <w:lang w:val="fr-CH"/>
        </w:rPr>
        <w:t xml:space="preserve">Risk, resilience, and rebalancing in global value chains</w:t>
      </w:r>
      <w:r>
        <w:rPr>
          <w:lang w:val="fr-CH"/>
        </w:rPr>
        <w:t>. McKinsey Global Institute. https://www.mckinsey.com/capabilities/operations/our-insights/risk-resilience-and-rebalancing-in-global-value-chains</w:t>
      </w:r>
    </w:p>
    <w:p w14:paraId="7A1F4327" w14:textId="77777777" w:rsidR="00D806ED" w:rsidRPr="004E094B" w:rsidRDefault="00000000">
      <w:pPr>
        <w:pStyle w:val="Literatur"/>
        <w:rPr>
          <w:lang w:val="fr-CH"/>
        </w:rPr>
      </w:pPr>
      <w:r>
        <w:rPr>
          <w:lang w:val="fr-CH"/>
        </w:rPr>
        <w:lastRenderedPageBreak/>
        <w:t xml:space="preserve">Ministry of Law and Justice. (2005). </w:t>
      </w:r>
      <w:r>
        <w:rPr>
          <w:i/>
          <w:iCs/>
          <w:lang w:val="fr-CH"/>
        </w:rPr>
        <w:t xml:space="preserve">The Special Economic Zones Act, 2005</w:t>
      </w:r>
      <w:r>
        <w:rPr>
          <w:lang w:val="fr-CH"/>
        </w:rPr>
        <w:t xml:space="preserve"> (Act No. 28 of 2005). Government of India. https://www.indiacode.nic.in/bitstream/123456789/20146/1/special_economic_zone_act_%28govt._of_india_act%29.pdf</w:t>
      </w:r>
    </w:p>
    <w:p w14:paraId="1C603BA9" w14:textId="77777777" w:rsidR="00D806ED" w:rsidRPr="004E094B" w:rsidRDefault="00000000">
      <w:pPr>
        <w:pStyle w:val="Literatur"/>
        <w:rPr>
          <w:lang w:val="fr-CH"/>
        </w:rPr>
      </w:pPr>
      <w:r>
        <w:rPr>
          <w:lang w:val="fr-CH"/>
        </w:rPr>
        <w:t xml:space="preserve">Ohno, T. (1988). </w:t>
      </w:r>
      <w:r>
        <w:rPr>
          <w:i/>
          <w:iCs/>
          <w:lang w:val="fr-CH"/>
        </w:rPr>
        <w:t xml:space="preserve">Toyota production system: Beyond large-scale production</w:t>
      </w:r>
      <w:r>
        <w:rPr>
          <w:lang w:val="fr-CH"/>
        </w:rPr>
        <w:t xml:space="preserve">. Productivity Press.</w:t>
      </w:r>
    </w:p>
    <w:p w14:paraId="32DD8C0D" w14:textId="77777777" w:rsidR="00D806ED" w:rsidRPr="004E094B" w:rsidRDefault="00000000">
      <w:pPr>
        <w:pStyle w:val="Literatur"/>
        <w:rPr>
          <w:lang w:val="fr-CH"/>
        </w:rPr>
      </w:pPr>
      <w:r>
        <w:rPr>
          <w:lang w:val="fr-CH"/>
        </w:rPr>
        <w:t xml:space="preserve">Olhager, J. (2010). The role of the customer order decoupling point in production and supply chain management. </w:t>
      </w:r>
      <w:r>
        <w:rPr>
          <w:i/>
          <w:iCs/>
          <w:lang w:val="fr-CH"/>
        </w:rPr>
        <w:t xml:space="preserve">Computers in Industry, 61</w:t>
      </w:r>
      <w:r>
        <w:rPr>
          <w:lang w:val="fr-CH"/>
        </w:rPr>
        <w:t>(9), 863–868. https://doi.org/10.1016/j.compind.2010.07.011</w:t>
      </w:r>
    </w:p>
    <w:p w14:paraId="78529766" w14:textId="77777777" w:rsidR="00D806ED" w:rsidRPr="004E094B" w:rsidRDefault="00000000">
      <w:pPr>
        <w:pStyle w:val="Literatur"/>
        <w:rPr>
          <w:lang w:val="fr-CH"/>
        </w:rPr>
      </w:pPr>
      <w:r>
        <w:rPr>
          <w:lang w:val="fr-CH"/>
        </w:rPr>
        <w:t xml:space="preserve">Press Information Bureau. (2025, 3. Mai). </w:t>
      </w:r>
      <w:r>
        <w:rPr>
          <w:i/>
          <w:iCs/>
          <w:lang w:val="fr-CH"/>
        </w:rPr>
        <w:t xml:space="preserve">Government prohibits import of all goods originating in or exported from Pakistan to India</w:t>
      </w:r>
      <w:r>
        <w:rPr>
          <w:lang w:val="fr-CH"/>
        </w:rPr>
        <w:t xml:space="preserve"> [Pressemitteilung]. Ministry of Commerce &amp; Industry, Government of India. https://www.pib.gov.in/PressReleasePage.aspx?PRID=2126458</w:t>
      </w:r>
    </w:p>
    <w:p w14:paraId="13872B9A" w14:textId="77777777" w:rsidR="00D806ED" w:rsidRPr="004E094B" w:rsidRDefault="00000000">
      <w:pPr>
        <w:pStyle w:val="Literatur"/>
        <w:rPr>
          <w:lang w:val="fr-CH"/>
        </w:rPr>
      </w:pPr>
      <w:r>
        <w:rPr>
          <w:lang w:val="fr-CH"/>
        </w:rPr>
        <w:t xml:space="preserve">Shingo, S. (1986). </w:t>
      </w:r>
      <w:r>
        <w:rPr>
          <w:i/>
          <w:iCs/>
          <w:lang w:val="fr-CH"/>
        </w:rPr>
        <w:t xml:space="preserve">Zero quality control: Source inspection and the poka-yoke system</w:t>
      </w:r>
      <w:r>
        <w:rPr>
          <w:lang w:val="fr-CH"/>
        </w:rPr>
        <w:t xml:space="preserve">. Productivity Press.</w:t>
      </w:r>
    </w:p>
    <w:p w14:paraId="43A07D0D" w14:textId="77777777" w:rsidR="00D806ED" w:rsidRDefault="00000000">
      <w:pPr>
        <w:pStyle w:val="Literatur"/>
      </w:pPr>
      <w:r>
        <w:rPr>
          <w:lang w:val="fr-CH"/>
        </w:rPr>
        <w:t xml:space="preserve">UNCTAD. (2024). </w:t>
      </w:r>
      <w:r>
        <w:rPr>
          <w:i/>
          <w:iCs/>
          <w:lang w:val="fr-CH"/>
        </w:rPr>
        <w:t xml:space="preserve">Review of maritime transport 2024: Navigating maritime chokepoints</w:t>
      </w:r>
      <w:r>
        <w:rPr>
          <w:lang w:val="fr-CH"/>
        </w:rPr>
        <w:t xml:space="preserve">. </w:t>
      </w:r>
      <w:r>
        <w:t xml:space="preserve">United Nations. https://unctad.org/rmt2024</w:t>
      </w:r>
    </w:p>
    <w:p w14:paraId="7EEA27D9" w14:textId="77777777" w:rsidR="00D806ED" w:rsidRDefault="00000000">
      <w:pPr>
        <w:pStyle w:val="Literatur"/>
      </w:pPr>
      <w:r>
        <w:t xml:space="preserve">Verein Deutscher Ingenieure. (2007). </w:t>
      </w:r>
      <w:r>
        <w:rPr>
          <w:i/>
          <w:iCs/>
        </w:rPr>
        <w:t>Operative Logistikkennzahlen von Wareneingang bis Versand</w:t>
      </w:r>
      <w:r>
        <w:t xml:space="preserve"> (VDI-Richtlinie 4490). Beuth.</w:t>
        <w:br w:type="page"/>
      </w:r>
    </w:p>
    <w:p w14:paraId="78079EA6" w14:textId="77777777" w:rsidR="00D806ED" w:rsidRDefault="00000000">
      <w:pPr>
        <w:pStyle w:val="berschrift1"/>
        <w:numPr>
          <w:ilvl w:val="0"/>
          <w:numId w:val="0"/>
        </w:numPr>
      </w:pPr>
      <w:bookmarkStart w:id="93" w:name="_Toc243825058"/>
      <w:r>
        <w:lastRenderedPageBreak/>
        <w:t>Deklaration der KI-Nutzung</w:t>
      </w:r>
      <w:bookmarkEnd w:id="93"/>
    </w:p>
    <w:p w14:paraId="1BFDF1AE" w14:textId="018C0C7A" w:rsidR="005D5CF9" w:rsidRDefault="005D5CF9" w:rsidP="005D5CF9">
      <w:pPr>
        <w:pStyle w:val="FirstParagraph"/>
        <w:rPr>
          <w:smallCaps/>
          <w:color w:val="365F91"/>
          <w:sz w:val="52"/>
          <w:szCs w:val="36"/>
        </w:rPr>
      </w:pPr>
      <w:r>
        <w:t xml:space="preserve">Zu Beginn der Arbeit wurde Claude (Anthropic) eingesetzt, um einen ersten Überblick über die Aufgabenstellung zu gewinnen. Die vorliegende Arbeit, insbesondere Analyse, Konzept, Texte, Abbildungen und Reflexion, </w:t>
      </w:r>
      <w:r>
        <w:rPr>
          <w:shd w:val="clear" w:color="auto" w:fill="DDEBF7"/>
        </w:rPr>
        <w:t xml:space="preserve">wurde von den Verfassenden erarbeitet und verantwortet.</w:t>
      </w:r>
      <w:r/>
    </w:p>
    <w:p>
      <w:pPr>
        <w:pStyle w:val="FirstParagraph"/>
        <w:rPr>
          <w:smallCaps/>
          <w:color w:val="365F91"/>
          <w:sz w:val="52"/>
          <w:szCs w:val="36"/>
        </w:rPr>
      </w:pPr>
      <w:r>
        <w:rPr>
          <w:shd w:val="clear" w:color="auto" w:fill="DDEBF7"/>
        </w:rPr>
        <w:t xml:space="preserve">Für die Überarbeitung der Endfassung wurde Claude (Anthropic) zusätzlich eingesetzt: Prüfung der Arbeit gegen das Beurteilungsraster, Korrektur der Querverweise, Zusammenstellung des Annahmenverzeichnisses (Anhang H), Nachrechnung der Kennzahlen sowie Überarbeitung einzelner Textpassagen. Alle Vorschläge hat das Projektteam geprüft und übernimmt dafür die Verantwortung.</w:t>
      </w:r>
    </w:p>
    <w:p>
      <w:pPr>
        <w:pStyle w:val="FirstParagraph"/>
        <w:rPr>
          <w:smallCaps/>
          <w:color w:val="365F91"/>
          <w:sz w:val="52"/>
          <w:szCs w:val="36"/>
        </w:rPr>
      </w:pPr>
      <w:r>
        <w:rPr>
          <w:shd w:val="clear" w:color="auto" w:fill="DDEBF7"/>
        </w:rPr>
        <w:t xml:space="preserve">[Bitte ergänzen: weitere eingesetzte Werkzeuge und Zweck, z. B. für die Python-Auswertung und die Grafiken.]</w:t>
      </w:r>
    </w:p>
    <w:p w14:paraId="14C87954" w14:textId="168589A3" w:rsidR="00D806ED" w:rsidRDefault="00000000">
      <w:pPr>
        <w:pStyle w:val="berschrift1"/>
        <w:pageBreakBefore/>
        <w:numPr>
          <w:ilvl w:val="0"/>
          <w:numId w:val="0"/>
        </w:numPr>
      </w:pPr>
      <w:bookmarkStart w:id="94" w:name="_Toc243825059"/>
      <w:r>
        <w:lastRenderedPageBreak/>
        <w:t>Anhang</w:t>
      </w:r>
      <w:bookmarkEnd w:id="94"/>
    </w:p>
    <w:p w14:paraId="69E35518" w14:textId="77777777" w:rsidR="00D806ED" w:rsidRDefault="00000000">
      <w:pPr>
        <w:pStyle w:val="berschrift2"/>
        <w:numPr>
          <w:ilvl w:val="0"/>
          <w:numId w:val="0"/>
        </w:numPr>
      </w:pPr>
      <w:bookmarkStart w:id="95" w:name="_Toc243825060"/>
      <w:r>
        <w:t>Anhang A: Datenanalyse</w:t>
      </w:r>
      <w:bookmarkEnd w:id="95"/>
    </w:p>
    <w:p w14:paraId="514461CB" w14:textId="77777777" w:rsidR="00D806ED" w:rsidRDefault="00000000">
      <w:pPr>
        <w:pStyle w:val="Textkrper"/>
      </w:pPr>
      <w:r>
        <w:t xml:space="preserve">Dieser Anhang dokumentiert Datenbasis, Datenprüfung und Rechenwege der Ist-Analyse. Alle Werte sind mit analyse/abc_analyse.py aus der Originaldatei reproduzierbar; die verbindliche Zahlenbasis ist analyse/kennzahlen.csv.</w:t>
      </w:r>
    </w:p>
    <w:p w14:paraId="47688E0D" w14:textId="77777777" w:rsidR="00D806ED" w:rsidRDefault="00000000">
      <w:pPr>
        <w:pStyle w:val="berschrift3"/>
        <w:numPr>
          <w:ilvl w:val="0"/>
          <w:numId w:val="0"/>
        </w:numPr>
      </w:pPr>
      <w:r>
        <w:t>Datenbasis und Datenprüfung</w:t>
      </w:r>
    </w:p>
    <w:p w14:paraId="111E5261" w14:textId="77777777" w:rsidR="00D806ED" w:rsidRDefault="00000000">
      <w:pPr>
        <w:pStyle w:val="Textkrper"/>
      </w:pPr>
      <w:r>
        <w:t xml:space="preserve">Die Datei </w:t>
      </w:r>
      <w:r>
        <w:rPr>
          <w:i/>
          <w:iCs/>
        </w:rPr>
        <w:t>Daten-ABC-Analyse-Grofu</w:t>
      </w:r>
      <w:r>
        <w:t xml:space="preserve"> (o. J.) enthält die Blätter «RM + ABC» (Rohmaterialien) und «Vendors + ABC» (Lieferanten) sowie ein leeres drittes Blatt. Je Rohmaterial sind der Anteil am jährlichen Einkaufsvolumen, Lieferant und Lieferanten-ABC-Klasse, Bestellungen pro Jahr, EDI-Fähigkeit des Lieferanten, eingekaufte Stückzahl und Herkunft (</w:t>
      </w:r>
      <w:r>
        <w:rPr>
          <w:i/>
          <w:iCs/>
        </w:rPr>
        <w:t>Local</w:t>
      </w:r>
      <w:r>
        <w:t>/</w:t>
      </w:r>
      <w:r>
        <w:rPr>
          <w:i/>
          <w:iCs/>
        </w:rPr>
        <w:t>Overseas</w:t>
      </w:r>
      <w:r>
        <w:t xml:space="preserve">) erfasst. Halbfabrikate, Fertigwaren, Lagerorte, Geldbeträge, Bestände und Verbrauchsperioden fehlen. </w:t>
      </w:r>
      <w:r>
        <w:rPr>
          <w:shd w:val="clear" w:color="auto" w:fill="DDEBF7"/>
        </w:rPr>
        <w:t xml:space="preserve">Tabelle 11 fasst die Prüfungen zusammen</w:t>
      </w:r>
      <w:r>
        <w:t xml:space="preserve">; die Summe der Stückzahlen (14,75 Mrd.) bestätigt den Durchsatz von 14 Mrd. Teilen aus der Fallstudie (HWZ, o. J., S. 6).</w:t>
      </w:r>
    </w:p>
    <w:p w14:paraId="534B1BEB" w14:textId="77777777" w:rsidR="00D806ED" w:rsidRDefault="00000000">
      <w:pPr>
        <w:pStyle w:val="Textkrper"/>
      </w:pPr>
      <w:r>
        <w:rPr>
          <w:b/>
          <w:bCs/>
        </w:rPr>
        <w:t>Methodische Entscheide.</w:t>
      </w:r>
      <w:r>
        <w:t xml:space="preserve"> (1) </w:t>
      </w:r>
      <w:r>
        <w:rPr>
          <w:i/>
          <w:iCs/>
        </w:rPr>
        <w:t>ABC-Grenzen 70/20/10 %:</w:t>
      </w:r>
      <w:r>
        <w:t xml:space="preserve"> Das Skript nennt für A-Artikel ca. 70–80 % des Gesamtwerts, für B 15–20 % und für C 5–10 % (Hutzler &amp; Fuchs, 2021, S. 35). </w:t>
      </w:r>
      <w:r>
        <w:rPr>
          <w:shd w:val="clear" w:color="auto" w:fill="DDEBF7"/>
        </w:rPr>
        <w:t xml:space="preserve">Gewählt wurden 70/20/10 % (für A die untere, für B und C die obere Grenze des Skripts), wie sie auch die Datei verwendet</w:t>
      </w:r>
      <w:r>
        <w:t xml:space="preserve">; so sind die Klassen mit den Grofu-Daten identisch. Die Sensitivität 80/15/5 steht weiter unten. (2) </w:t>
      </w:r>
      <w:r>
        <w:rPr>
          <w:i/>
          <w:iCs/>
        </w:rPr>
        <w:t>Keine echte XYZ-Analyse:</w:t>
      </w:r>
      <w:r>
        <w:t xml:space="preserve"> Sie beurteilt die Vorhersagegenauigkeit des Bedarfs (Hutzler &amp; Fuchs, 2021, S. 35) und braucht Verbrauchsperioden; ersatzweise dient die Bestellhäufigkeit pro Jahr als Hilfsgrösse (Annahme A25). (3) </w:t>
      </w:r>
      <w:r>
        <w:rPr>
          <w:i/>
          <w:iCs/>
        </w:rPr>
        <w:t>Bestandsmodell:</w:t>
      </w:r>
      <w:r>
        <w:t xml:space="preserve"> Ohne Bestandsdaten wird der Losgrössenbestand aus Wertanteil und Bestellhäufigkeit geschätzt (Annahme A20, Abschnitt «Bestandsmodell»).</w:t>
      </w:r>
    </w:p>
    <w:p w14:paraId="037AE78F" w14:textId="24CCD5BF" w:rsidR="00D806ED" w:rsidRDefault="00A92AC7">
      <w:pPr>
        <w:pStyle w:val="Beschriftung"/>
        <w:keepNext/>
      </w:pPr>
      <w:bookmarkStart w:id="96" w:name="_Toc243824218"/>
      <w:r>
        <w:t xml:space="preserve">Tabelle </w:t>
        <w:fldChar w:fldCharType="begin"/>
        <w:instrText xml:space="preserve"> SEQ Tabelle \* ARABIC </w:instrText>
        <w:fldChar w:fldCharType="separate"/>
      </w:r>
      <w:r>
        <w:rPr>
          <w:noProof/>
        </w:rPr>
        <w:t>11</w:t>
      </w:r>
      <w:r>
        <w:fldChar w:fldCharType="end"/>
        <w:t>: Ergebnisse der Datenprüfung</w:t>
      </w:r>
      <w:bookmarkEnd w:id="96"/>
    </w:p>
    <w:tbl>
      <w:tblPr>
        <w:tblStyle w:val="Tabellenraster"/>
        <w:tblW w:w="9070" w:type="dxa"/>
        <w:tblInd w:w="113" w:type="dxa"/>
        <w:tblLayout w:type="fixed"/>
        <w:tblLook w:val="0020" w:firstRow="1" w:lastRow="0" w:firstColumn="0" w:lastColumn="0" w:noHBand="0" w:noVBand="0"/>
      </w:tblPr>
      <w:tblGrid>
        <w:gridCol w:w="3750"/>
        <w:gridCol w:w="1675"/>
        <w:gridCol w:w="3645"/>
      </w:tblGrid>
      <w:tr w:rsidR="00D806ED" w14:paraId="232D86F3" w14:textId="77777777">
        <w:trPr>
          <w:tblHeader/>
        </w:trPr>
        <w:tc>
          <w:tcPr>
            <w:tcW w:w="3750" w:type="dxa"/>
            <w:shd w:val="clear" w:color="auto" w:fill="D9D9D9"/>
          </w:tcPr>
          <w:p w14:paraId="1D11FC9E" w14:textId="77777777" w:rsidR="00D806ED" w:rsidRDefault="00000000">
            <w:pPr>
              <w:pStyle w:val="Tabelleninhalt"/>
              <w:keepNext/>
            </w:pPr>
            <w:r>
              <w:rPr>
                <w:b/>
              </w:rPr>
              <w:t>Prüfung</w:t>
            </w:r>
          </w:p>
        </w:tc>
        <w:tc>
          <w:tcPr>
            <w:tcW w:w="1675" w:type="dxa"/>
            <w:shd w:val="clear" w:color="auto" w:fill="D9D9D9"/>
          </w:tcPr>
          <w:p w14:paraId="5614FE8E" w14:textId="77777777" w:rsidR="00D806ED" w:rsidRDefault="00000000">
            <w:pPr>
              <w:pStyle w:val="Tabelleninhalt"/>
              <w:keepNext/>
            </w:pPr>
            <w:r>
              <w:rPr>
                <w:b/>
              </w:rPr>
              <w:t>Ergebnis</w:t>
            </w:r>
          </w:p>
        </w:tc>
        <w:tc>
          <w:tcPr>
            <w:tcW w:w="3645" w:type="dxa"/>
            <w:shd w:val="clear" w:color="auto" w:fill="D9D9D9"/>
          </w:tcPr>
          <w:p w14:paraId="7E768086" w14:textId="77777777" w:rsidR="00D806ED" w:rsidRDefault="00000000">
            <w:pPr>
              <w:pStyle w:val="Tabelleninhalt"/>
              <w:keepNext/>
            </w:pPr>
            <w:r>
              <w:rPr>
                <w:b/>
              </w:rPr>
              <w:t>Bewertung</w:t>
            </w:r>
          </w:p>
        </w:tc>
      </w:tr>
      <w:tr w:rsidR="00D806ED" w14:paraId="1F219EDA" w14:textId="77777777">
        <w:trPr>
          <w:cantSplit/>
        </w:trPr>
        <w:tc>
          <w:tcPr>
            <w:tcW w:w="3750" w:type="dxa"/>
          </w:tcPr>
          <w:p w14:paraId="249ECBE8" w14:textId="77777777" w:rsidR="00D806ED" w:rsidRDefault="00000000">
            <w:pPr>
              <w:pStyle w:val="Tabelleninhalt"/>
              <w:keepNext/>
            </w:pPr>
            <w:r>
              <w:t>Datensätze Rohmaterial nach Bereinigung</w:t>
            </w:r>
          </w:p>
        </w:tc>
        <w:tc>
          <w:tcPr>
            <w:tcW w:w="1675" w:type="dxa"/>
          </w:tcPr>
          <w:p w14:paraId="7B013C86" w14:textId="77777777" w:rsidR="00D806ED" w:rsidRDefault="00000000">
            <w:pPr>
              <w:pStyle w:val="Tabelleninhalt"/>
              <w:keepNext/>
            </w:pPr>
            <w:r>
              <w:t>23 643</w:t>
            </w:r>
          </w:p>
        </w:tc>
        <w:tc>
          <w:tcPr>
            <w:tcW w:w="3645" w:type="dxa"/>
          </w:tcPr>
          <w:p w14:paraId="797BD830" w14:textId="77777777" w:rsidR="00D806ED" w:rsidRDefault="00000000">
            <w:pPr>
              <w:pStyle w:val="Tabelleninhalt"/>
              <w:keepNext/>
            </w:pPr>
            <w:r>
              <w:t>Grundgesamtheit</w:t>
            </w:r>
          </w:p>
        </w:tc>
      </w:tr>
      <w:tr w:rsidR="00D806ED" w14:paraId="4563F4A8" w14:textId="77777777">
        <w:trPr>
          <w:cantSplit/>
        </w:trPr>
        <w:tc>
          <w:tcPr>
            <w:tcW w:w="3750" w:type="dxa"/>
          </w:tcPr>
          <w:p w14:paraId="67D7DCF2" w14:textId="77777777" w:rsidR="00D806ED" w:rsidRDefault="00000000">
            <w:pPr>
              <w:pStyle w:val="Tabelleninhalt"/>
              <w:keepNext/>
            </w:pPr>
            <w:r>
              <w:t>Summen- und Leerzeilen am Blattende</w:t>
            </w:r>
          </w:p>
        </w:tc>
        <w:tc>
          <w:tcPr>
            <w:tcW w:w="1675" w:type="dxa"/>
          </w:tcPr>
          <w:p w14:paraId="5F442241" w14:textId="77777777" w:rsidR="00D806ED" w:rsidRDefault="00000000">
            <w:pPr>
              <w:pStyle w:val="Tabelleninhalt"/>
              <w:keepNext/>
            </w:pPr>
            <w:r>
              <w:t>4 entfernt</w:t>
            </w:r>
          </w:p>
        </w:tc>
        <w:tc>
          <w:tcPr>
            <w:tcW w:w="3645" w:type="dxa"/>
          </w:tcPr>
          <w:p w14:paraId="53E2F87F" w14:textId="77777777" w:rsidR="00D806ED" w:rsidRDefault="00000000">
            <w:pPr>
              <w:pStyle w:val="Tabelleninhalt"/>
              <w:keepNext/>
            </w:pPr>
            <w:r>
              <w:t>u. a. Summe Stückzahl, Anzahl «Local», Maximum Bestellungen</w:t>
            </w:r>
          </w:p>
        </w:tc>
      </w:tr>
      <w:tr w:rsidR="00D806ED" w14:paraId="562B3EAD" w14:textId="77777777">
        <w:trPr>
          <w:cantSplit/>
        </w:trPr>
        <w:tc>
          <w:tcPr>
            <w:tcW w:w="3750" w:type="dxa"/>
          </w:tcPr>
          <w:p w14:paraId="26ADA6AD" w14:textId="77777777" w:rsidR="00D806ED" w:rsidRDefault="00000000">
            <w:pPr>
              <w:pStyle w:val="Tabelleninhalt"/>
              <w:keepNext/>
            </w:pPr>
            <w:r>
              <w:t>Fehlende Werte, doppelte Materialnummern</w:t>
            </w:r>
          </w:p>
        </w:tc>
        <w:tc>
          <w:tcPr>
            <w:tcW w:w="1675" w:type="dxa"/>
          </w:tcPr>
          <w:p w14:paraId="6EE005EC" w14:textId="77777777" w:rsidR="00D806ED" w:rsidRDefault="00000000">
            <w:pPr>
              <w:pStyle w:val="Tabelleninhalt"/>
              <w:keepNext/>
            </w:pPr>
            <w:r>
              <w:t>0 / 0</w:t>
            </w:r>
          </w:p>
        </w:tc>
        <w:tc>
          <w:tcPr>
            <w:tcW w:w="3645" w:type="dxa"/>
          </w:tcPr>
          <w:p w14:paraId="23502F17" w14:textId="77777777" w:rsidR="00D806ED" w:rsidRDefault="00000000">
            <w:pPr>
              <w:pStyle w:val="Tabelleninhalt"/>
              <w:keepNext/>
            </w:pPr>
            <w:r>
              <w:t>keine Bereinigung nötig</w:t>
            </w:r>
          </w:p>
        </w:tc>
      </w:tr>
      <w:tr w:rsidR="00D806ED" w14:paraId="5F9D065F" w14:textId="77777777">
        <w:trPr>
          <w:cantSplit/>
        </w:trPr>
        <w:tc>
          <w:tcPr>
            <w:tcW w:w="3750" w:type="dxa"/>
          </w:tcPr>
          <w:p w14:paraId="54104AF6" w14:textId="77777777" w:rsidR="00D806ED" w:rsidRDefault="00000000">
            <w:pPr>
              <w:pStyle w:val="Tabelleninhalt"/>
              <w:keepNext/>
            </w:pPr>
            <w:r>
              <w:t>Summe der Wertanteile</w:t>
            </w:r>
          </w:p>
        </w:tc>
        <w:tc>
          <w:tcPr>
            <w:tcW w:w="1675" w:type="dxa"/>
          </w:tcPr>
          <w:p w14:paraId="1018B096" w14:textId="77777777" w:rsidR="00D806ED" w:rsidRDefault="00000000">
            <w:pPr>
              <w:pStyle w:val="Tabelleninhalt"/>
              <w:keepNext/>
            </w:pPr>
            <w:r>
              <w:t>1,000</w:t>
            </w:r>
          </w:p>
        </w:tc>
        <w:tc>
          <w:tcPr>
            <w:tcW w:w="3645" w:type="dxa"/>
          </w:tcPr>
          <w:p w14:paraId="1E3B2F94" w14:textId="77777777" w:rsidR="00D806ED" w:rsidRDefault="00000000">
            <w:pPr>
              <w:pStyle w:val="Tabelleninhalt"/>
              <w:keepNext/>
            </w:pPr>
            <w:r>
              <w:t>vollständig</w:t>
            </w:r>
          </w:p>
        </w:tc>
      </w:tr>
      <w:tr w:rsidR="00D806ED" w14:paraId="10883EC4" w14:textId="77777777">
        <w:trPr>
          <w:cantSplit/>
        </w:trPr>
        <w:tc>
          <w:tcPr>
            <w:tcW w:w="3750" w:type="dxa"/>
          </w:tcPr>
          <w:p w14:paraId="260A60E6" w14:textId="77777777" w:rsidR="00D806ED" w:rsidRDefault="00000000">
            <w:pPr>
              <w:pStyle w:val="Tabelleninhalt"/>
              <w:keepNext/>
            </w:pPr>
            <w:r>
              <w:t>Abweichung eigene ABC-Klassen zur Datei</w:t>
            </w:r>
          </w:p>
        </w:tc>
        <w:tc>
          <w:tcPr>
            <w:tcW w:w="1675" w:type="dxa"/>
          </w:tcPr>
          <w:p w14:paraId="77343117" w14:textId="77777777" w:rsidR="00D806ED" w:rsidRDefault="00000000">
            <w:pPr>
              <w:pStyle w:val="Tabelleninhalt"/>
              <w:keepNext/>
            </w:pPr>
            <w:r>
              <w:t>0</w:t>
            </w:r>
          </w:p>
        </w:tc>
        <w:tc>
          <w:tcPr>
            <w:tcW w:w="3645" w:type="dxa"/>
          </w:tcPr>
          <w:p w14:paraId="284C41E2" w14:textId="77777777" w:rsidR="00D806ED" w:rsidRDefault="00000000">
            <w:pPr>
              <w:pStyle w:val="Tabelleninhalt"/>
              <w:keepNext/>
            </w:pPr>
            <w:r>
              <w:t>Klassen reproduziert</w:t>
            </w:r>
          </w:p>
        </w:tc>
      </w:tr>
      <w:tr w:rsidR="00D806ED" w14:paraId="7E75993A" w14:textId="77777777">
        <w:trPr>
          <w:cantSplit/>
        </w:trPr>
        <w:tc>
          <w:tcPr>
            <w:tcW w:w="3750" w:type="dxa"/>
          </w:tcPr>
          <w:p w14:paraId="55DC9981" w14:textId="77777777" w:rsidR="00D806ED" w:rsidRDefault="00000000">
            <w:pPr>
              <w:pStyle w:val="Tabelleninhalt"/>
              <w:keepNext/>
            </w:pPr>
            <w:r>
              <w:t>Stückzahl p. a.: Median / Maximum</w:t>
            </w:r>
          </w:p>
        </w:tc>
        <w:tc>
          <w:tcPr>
            <w:tcW w:w="1675" w:type="dxa"/>
          </w:tcPr>
          <w:p w14:paraId="0AF9BB77" w14:textId="77777777" w:rsidR="00D806ED" w:rsidRDefault="00000000">
            <w:pPr>
              <w:pStyle w:val="Tabelleninhalt"/>
              <w:keepNext/>
            </w:pPr>
            <w:r>
              <w:t>1 100 / 1,06 Mrd.</w:t>
            </w:r>
          </w:p>
        </w:tc>
        <w:tc>
          <w:tcPr>
            <w:tcW w:w="3645" w:type="dxa"/>
          </w:tcPr>
          <w:p w14:paraId="2999704A" w14:textId="77777777" w:rsidR="00D806ED" w:rsidRDefault="00000000">
            <w:pPr>
              <w:pStyle w:val="Tabelleninhalt"/>
              <w:keepNext/>
            </w:pPr>
            <w:r>
              <w:t>stark rechtsschief; 22 Werte &gt; 100 Mio. als Kleinstteile plausibel, nicht entfernt</w:t>
            </w:r>
          </w:p>
        </w:tc>
      </w:tr>
      <w:tr w:rsidR="00D806ED" w14:paraId="435FB327" w14:textId="77777777">
        <w:trPr>
          <w:cantSplit/>
        </w:trPr>
        <w:tc>
          <w:tcPr>
            <w:tcW w:w="3750" w:type="dxa"/>
          </w:tcPr>
          <w:p w14:paraId="008437D1" w14:textId="77777777" w:rsidR="00D806ED" w:rsidRDefault="00000000">
            <w:pPr>
              <w:pStyle w:val="Tabelleninhalt"/>
              <w:keepNext/>
            </w:pPr>
            <w:r>
              <w:t>Bestellungen p. a.: Median / Maximum</w:t>
            </w:r>
          </w:p>
        </w:tc>
        <w:tc>
          <w:tcPr>
            <w:tcW w:w="1675" w:type="dxa"/>
          </w:tcPr>
          <w:p w14:paraId="6B5DF635" w14:textId="77777777" w:rsidR="00D806ED" w:rsidRDefault="00000000">
            <w:pPr>
              <w:pStyle w:val="Tabelleninhalt"/>
              <w:keepNext/>
            </w:pPr>
            <w:r>
              <w:t>2 / 141</w:t>
            </w:r>
          </w:p>
        </w:tc>
        <w:tc>
          <w:tcPr>
            <w:tcW w:w="3645" w:type="dxa"/>
          </w:tcPr>
          <w:p w14:paraId="0EBB52AF" w14:textId="77777777" w:rsidR="00D806ED" w:rsidRDefault="00000000">
            <w:pPr>
              <w:pStyle w:val="Tabelleninhalt"/>
              <w:keepNext/>
            </w:pPr>
            <w:r>
              <w:t>Maximum bei einem C-Teil plausibel, nicht entfernt</w:t>
            </w:r>
          </w:p>
        </w:tc>
      </w:tr>
      <w:tr w:rsidR="00D806ED" w14:paraId="6B933C1F" w14:textId="77777777">
        <w:trPr>
          <w:cantSplit/>
        </w:trPr>
        <w:tc>
          <w:tcPr>
            <w:tcW w:w="3750" w:type="dxa"/>
          </w:tcPr>
          <w:p w14:paraId="4968C61F" w14:textId="77777777" w:rsidR="00D806ED" w:rsidRDefault="00000000">
            <w:pPr>
              <w:pStyle w:val="Tabelleninhalt"/>
              <w:keepNext/>
            </w:pPr>
            <w:r>
              <w:t>Lieferanten im RM-Blatt / im Lieferantenblatt</w:t>
            </w:r>
          </w:p>
        </w:tc>
        <w:tc>
          <w:tcPr>
            <w:tcW w:w="1675" w:type="dxa"/>
          </w:tcPr>
          <w:p w14:paraId="53855CC4" w14:textId="77777777" w:rsidR="00D806ED" w:rsidRDefault="00000000">
            <w:pPr>
              <w:pStyle w:val="Tabelleninhalt"/>
              <w:keepNext/>
            </w:pPr>
            <w:r>
              <w:t>601 / 620</w:t>
            </w:r>
          </w:p>
        </w:tc>
        <w:tc>
          <w:tcPr>
            <w:tcW w:w="3645" w:type="dxa"/>
          </w:tcPr>
          <w:p w14:paraId="3E44AC50" w14:textId="77777777" w:rsidR="00D806ED" w:rsidRDefault="00000000">
            <w:pPr>
              <w:pStyle w:val="Tabelleninhalt"/>
              <w:keepNext/>
            </w:pPr>
            <w:r>
              <w:t>19 Lieferanten nur im Lieferantenblatt</w:t>
            </w:r>
          </w:p>
        </w:tc>
      </w:tr>
      <w:tr w:rsidR="00D806ED" w14:paraId="2FE3020C" w14:textId="77777777">
        <w:trPr>
          <w:cantSplit/>
        </w:trPr>
        <w:tc>
          <w:tcPr>
            <w:tcW w:w="3750" w:type="dxa"/>
          </w:tcPr>
          <w:p w14:paraId="0A7660E9" w14:textId="77777777" w:rsidR="00D806ED" w:rsidRDefault="00000000">
            <w:pPr>
              <w:pStyle w:val="Tabelleninhalt"/>
              <w:keepNext/>
            </w:pPr>
            <w:r>
              <w:t>Lieferanten mit &gt; 5 % Volumenabweichung zwischen den Blättern</w:t>
            </w:r>
          </w:p>
        </w:tc>
        <w:tc>
          <w:tcPr>
            <w:tcW w:w="1675" w:type="dxa"/>
          </w:tcPr>
          <w:p w14:paraId="7A7070A1" w14:textId="77777777" w:rsidR="00D806ED" w:rsidRDefault="00000000">
            <w:pPr>
              <w:pStyle w:val="Tabelleninhalt"/>
              <w:keepNext/>
            </w:pPr>
            <w:r>
              <w:t>591 von 601</w:t>
            </w:r>
          </w:p>
        </w:tc>
        <w:tc>
          <w:tcPr>
            <w:tcW w:w="3645" w:type="dxa"/>
          </w:tcPr>
          <w:p w14:paraId="469DD436" w14:textId="77777777" w:rsidR="00D806ED" w:rsidRDefault="00000000">
            <w:pPr>
              <w:pStyle w:val="Tabelleninhalt"/>
              <w:keepNext/>
            </w:pPr>
            <w:r>
              <w:t>unterschiedliche Wertbasis (Annahme A24)</w:t>
            </w:r>
          </w:p>
        </w:tc>
      </w:tr>
      <w:tr w:rsidR="00D806ED" w14:paraId="440E1C35" w14:textId="77777777">
        <w:trPr>
          <w:cantSplit/>
        </w:trPr>
        <w:tc>
          <w:tcPr>
            <w:tcW w:w="3750" w:type="dxa"/>
          </w:tcPr>
          <w:p w14:paraId="32D24573" w14:textId="77777777" w:rsidR="00D806ED" w:rsidRDefault="00000000">
            <w:pPr>
              <w:pStyle w:val="Tabelleninhalt"/>
              <w:keepNext/>
            </w:pPr>
            <w:r>
              <w:t>Einheit der Wertgrösse, Bestände, Verbrauchsperioden</w:t>
            </w:r>
          </w:p>
        </w:tc>
        <w:tc>
          <w:tcPr>
            <w:tcW w:w="1675" w:type="dxa"/>
          </w:tcPr>
          <w:p w14:paraId="47BF245E" w14:textId="77777777" w:rsidR="00D806ED" w:rsidRDefault="00000000">
            <w:pPr>
              <w:pStyle w:val="Tabelleninhalt"/>
              <w:keepNext/>
            </w:pPr>
            <w:r>
              <w:t>nicht vorhanden</w:t>
            </w:r>
          </w:p>
        </w:tc>
        <w:tc>
          <w:tcPr>
            <w:tcW w:w="3645" w:type="dxa"/>
          </w:tcPr>
          <w:p w14:paraId="0AE310F4" w14:textId="77777777" w:rsidR="00D806ED" w:rsidRDefault="00000000">
            <w:pPr>
              <w:pStyle w:val="Tabelleninhalt"/>
              <w:keepNext/>
            </w:pPr>
            <w:r>
              <w:t>Auswertung in Wertanteilen; keine XYZ-Analyse; Bestandsmodell</w:t>
            </w:r>
          </w:p>
        </w:tc>
      </w:tr>
    </w:tbl>
    <w:p w14:paraId="6C5D069A" w14:textId="77777777" w:rsidR="00D806ED" w:rsidRDefault="00000000">
      <w:pPr>
        <w:pStyle w:val="Quellenangabe"/>
      </w:pPr>
      <w:r>
        <w:t xml:space="preserve">Quelle: Eigene Berechnung, Daten: </w:t>
      </w:r>
      <w:r>
        <w:rPr>
          <w:i/>
          <w:iCs/>
        </w:rPr>
        <w:t>Daten-ABC-Analyse-Grofu</w:t>
      </w:r>
      <w:r>
        <w:t xml:space="preserve"> (o. J.).</w:t>
      </w:r>
    </w:p>
    <w:p w14:paraId="47D32A9F" w14:textId="77777777" w:rsidR="00D806ED" w:rsidRDefault="00000000">
      <w:pPr>
        <w:pStyle w:val="berschrift3"/>
        <w:numPr>
          <w:ilvl w:val="0"/>
          <w:numId w:val="0"/>
        </w:numPr>
      </w:pPr>
      <w:r>
        <w:lastRenderedPageBreak/>
        <w:t>Lorenzkurve, Klassenprofil und Sensitivität der ABC-Grenzen</w:t>
      </w:r>
    </w:p>
    <w:p w14:paraId="0B16E62A" w14:textId="77777777" w:rsidR="00D806ED" w:rsidRDefault="00000000">
      <w:pPr>
        <w:pStyle w:val="Textkrper"/>
      </w:pPr>
      <w:r>
        <w:t>Die Lorenzkurve (Abbildung 5) zeigt die Konzentration des Einkaufswerts; die Kurve der Bestellungen verläuft dagegen fast auf der Diagonale, der Bestellaufwand verteilt sich also nahezu gleichmässig über alle Materialien. Abbildung 6 zeigt, wie stark Wert und Aufwand je Klasse auseinanderfallen. Mit den Grenzen 80/15/5 statt 70/20/10 wären 1 561 Materialien (6,6 %) A-, 3 312 (14,0 %) B- und 18 770 (79,4 %) C-Materialien; die Kernaussagen bleiben gleich.</w:t>
      </w:r>
    </w:p>
    <w:p w14:paraId="088888EA" w14:textId="77777777" w:rsidR="00D806ED" w:rsidRDefault="00000000">
      <w:pPr>
        <w:pStyle w:val="Abbildung"/>
      </w:pPr>
      <w:bookmarkStart w:id="97" w:name="fig%3Aist-abc"/>
      <w:r>
        <w:rPr>
          <w:noProof/>
        </w:rPr>
        <w:drawing>
          <wp:inline distT="0" distB="0" distL="0" distR="0" wp14:anchorId="16F35233" wp14:editId="0FA52C59">
            <wp:extent cx="4890135" cy="3027045"/>
            <wp:effectExtent l="0" t="0" r="0" b="0"/>
            <wp:docPr id="6" name="Image5" descr="Lorenzkurve der Rohmaterialien: kumulierter Wert- und Bestellant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Lorenzkurve der Rohmaterialien: kumulierter Wert- und Bestellanteil"/>
                    <pic:cNvPicPr>
                      <a:picLocks noChangeAspect="1" noChangeArrowheads="1"/>
                    </pic:cNvPicPr>
                  </pic:nvPicPr>
                  <pic:blipFill>
                    <a:blip r:embed="rId14"/>
                    <a:stretch>
                      <a:fillRect/>
                    </a:stretch>
                  </pic:blipFill>
                  <pic:spPr bwMode="auto">
                    <a:xfrm>
                      <a:off x="0" y="0"/>
                      <a:ext cx="4890135" cy="3027045"/>
                    </a:xfrm>
                    <a:prstGeom prst="rect">
                      <a:avLst/>
                    </a:prstGeom>
                    <a:noFill/>
                  </pic:spPr>
                </pic:pic>
              </a:graphicData>
            </a:graphic>
          </wp:inline>
        </w:drawing>
      </w:r>
    </w:p>
    <w:p w14:paraId="78F94090" w14:textId="021B70A7" w:rsidR="00D806ED" w:rsidRDefault="00000000">
      <w:pPr>
        <w:pStyle w:val="Beschriftung"/>
        <w:keepNext/>
        <w:jc w:val="center"/>
      </w:pPr>
      <w:bookmarkStart w:id="98" w:name="_Toc243824174"/>
      <w:r>
        <w:t xml:space="preserve">Abbildung </w:t>
      </w:r>
      <w:fldSimple w:instr=" SEQ Abbildung \* ARABIC ">
        <w:r>
          <w:rPr>
            <w:noProof/>
          </w:rPr>
          <w:t>5</w:t>
        </w:r>
      </w:fldSimple>
      <w:r>
        <w:t>: Lorenzkurve der Rohmaterialien: kumulierter Wert- und Bestellanteil</w:t>
      </w:r>
      <w:bookmarkEnd w:id="97"/>
      <w:bookmarkEnd w:id="98"/>
    </w:p>
    <w:p w14:paraId="0D2EC010" w14:textId="77777777" w:rsidR="00D806ED" w:rsidRDefault="00000000">
      <w:pPr>
        <w:pStyle w:val="Quellenangabe"/>
      </w:pPr>
      <w:r>
        <w:t xml:space="preserve">Quelle: Eigene Darstellung, Daten: </w:t>
      </w:r>
      <w:r>
        <w:rPr>
          <w:i/>
          <w:iCs/>
        </w:rPr>
        <w:t>Daten-ABC-Analyse-Grofu</w:t>
      </w:r>
      <w:r>
        <w:t xml:space="preserve"> (o. J.).</w:t>
      </w:r>
    </w:p>
    <w:p w14:paraId="558AE114" w14:textId="77777777" w:rsidR="00D806ED" w:rsidRDefault="00000000">
      <w:pPr>
        <w:pStyle w:val="Abbildung"/>
      </w:pPr>
      <w:bookmarkStart w:id="99" w:name="fig%3Aanh-klassenprofil"/>
      <w:r>
        <w:rPr>
          <w:noProof/>
        </w:rPr>
        <w:drawing>
          <wp:inline distT="0" distB="0" distL="0" distR="0" wp14:anchorId="4EA30030" wp14:editId="5E4B1192">
            <wp:extent cx="5177790" cy="2383790"/>
            <wp:effectExtent l="0" t="0" r="0" b="0"/>
            <wp:docPr id="7" name="Image6" descr="ABC-Klassenprofil: Anteile an Materialien, Wert, Bestellungen und Stückza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ABC-Klassenprofil: Anteile an Materialien, Wert, Bestellungen und Stückzahl"/>
                    <pic:cNvPicPr>
                      <a:picLocks noChangeAspect="1" noChangeArrowheads="1"/>
                    </pic:cNvPicPr>
                  </pic:nvPicPr>
                  <pic:blipFill>
                    <a:blip r:embed="rId15"/>
                    <a:stretch>
                      <a:fillRect/>
                    </a:stretch>
                  </pic:blipFill>
                  <pic:spPr bwMode="auto">
                    <a:xfrm>
                      <a:off x="0" y="0"/>
                      <a:ext cx="5177790" cy="2383790"/>
                    </a:xfrm>
                    <a:prstGeom prst="rect">
                      <a:avLst/>
                    </a:prstGeom>
                    <a:noFill/>
                  </pic:spPr>
                </pic:pic>
              </a:graphicData>
            </a:graphic>
          </wp:inline>
        </w:drawing>
      </w:r>
    </w:p>
    <w:p w14:paraId="4BE9B01B" w14:textId="4455E603" w:rsidR="00D806ED" w:rsidRDefault="00000000">
      <w:pPr>
        <w:pStyle w:val="Beschriftung"/>
        <w:keepNext/>
        <w:jc w:val="center"/>
      </w:pPr>
      <w:bookmarkStart w:id="100" w:name="_Toc243824175"/>
      <w:r>
        <w:t xml:space="preserve">Abbildung </w:t>
      </w:r>
      <w:fldSimple w:instr=" SEQ Abbildung \* ARABIC ">
        <w:r>
          <w:rPr>
            <w:noProof/>
          </w:rPr>
          <w:t>6</w:t>
        </w:r>
      </w:fldSimple>
      <w:r>
        <w:t>: ABC-Klassenprofil: Anteile an Materialien, Wert, Bestellungen und Stückzahl</w:t>
      </w:r>
      <w:bookmarkEnd w:id="99"/>
      <w:bookmarkEnd w:id="100"/>
    </w:p>
    <w:p w14:paraId="5F15CE9A" w14:textId="77777777" w:rsidR="00D806ED" w:rsidRDefault="00000000">
      <w:pPr>
        <w:pStyle w:val="Quellenangabe"/>
      </w:pPr>
      <w:r>
        <w:t xml:space="preserve">Quelle: Eigene Darstellung, Daten: </w:t>
      </w:r>
      <w:r>
        <w:rPr>
          <w:i/>
          <w:iCs/>
        </w:rPr>
        <w:t>Daten-ABC-Analyse-Grofu</w:t>
      </w:r>
      <w:r>
        <w:t xml:space="preserve"> (o. J.).</w:t>
      </w:r>
    </w:p>
    <w:p w14:paraId="62A3DF22" w14:textId="77777777" w:rsidR="00D806ED" w:rsidRDefault="00000000">
      <w:pPr>
        <w:pStyle w:val="berschrift3"/>
        <w:numPr>
          <w:ilvl w:val="0"/>
          <w:numId w:val="0"/>
        </w:numPr>
      </w:pPr>
      <w:r>
        <w:lastRenderedPageBreak/>
        <w:t>Herkunft und Lieferanten</w:t>
      </w:r>
    </w:p>
    <w:p w14:paraId="43B3F87D" w14:textId="3FDE27B4" w:rsidR="00D806ED" w:rsidRDefault="00000000">
      <w:pPr>
        <w:pStyle w:val="Beschriftung"/>
        <w:keepNext/>
      </w:pPr>
      <w:bookmarkStart w:id="101" w:name="_Toc243824219"/>
      <w:r>
        <w:t xml:space="preserve">Tabelle </w:t>
      </w:r>
      <w:fldSimple w:instr=" SEQ Tabelle \* ARABIC ">
        <w:r>
          <w:rPr>
            <w:noProof/>
          </w:rPr>
          <w:t>12</w:t>
        </w:r>
      </w:fldSimple>
      <w:r>
        <w:t>: Rohmaterialien nach Herkunft (Anteile am Total)</w:t>
      </w:r>
      <w:bookmarkEnd w:id="101"/>
    </w:p>
    <w:tbl>
      <w:tblPr>
        <w:tblStyle w:val="Tabellenraster"/>
        <w:tblW w:w="9070" w:type="dxa"/>
        <w:tblInd w:w="113" w:type="dxa"/>
        <w:tblLayout w:type="fixed"/>
        <w:tblLook w:val="0020" w:firstRow="1" w:lastRow="0" w:firstColumn="0" w:lastColumn="0" w:noHBand="0" w:noVBand="0"/>
      </w:tblPr>
      <w:tblGrid>
        <w:gridCol w:w="1833"/>
        <w:gridCol w:w="1441"/>
        <w:gridCol w:w="1550"/>
        <w:gridCol w:w="1550"/>
        <w:gridCol w:w="1220"/>
        <w:gridCol w:w="1476"/>
      </w:tblGrid>
      <w:tr w:rsidR="00D806ED" w14:paraId="488F220B" w14:textId="77777777">
        <w:trPr>
          <w:tblHeader/>
        </w:trPr>
        <w:tc>
          <w:tcPr>
            <w:tcW w:w="1833" w:type="dxa"/>
            <w:shd w:val="clear" w:color="auto" w:fill="D9D9D9"/>
          </w:tcPr>
          <w:p w14:paraId="6A50A4C8" w14:textId="77777777" w:rsidR="00D806ED" w:rsidRDefault="00000000">
            <w:pPr>
              <w:pStyle w:val="Tabelleninhalt"/>
              <w:keepNext/>
            </w:pPr>
            <w:r>
              <w:rPr>
                <w:b/>
              </w:rPr>
              <w:t>Herkunft</w:t>
            </w:r>
          </w:p>
        </w:tc>
        <w:tc>
          <w:tcPr>
            <w:tcW w:w="1441" w:type="dxa"/>
            <w:shd w:val="clear" w:color="auto" w:fill="D9D9D9"/>
          </w:tcPr>
          <w:p w14:paraId="32CE7089" w14:textId="77777777" w:rsidR="00D806ED" w:rsidRDefault="00000000">
            <w:pPr>
              <w:pStyle w:val="Tabelleninhalt"/>
              <w:keepNext/>
              <w:jc w:val="right"/>
            </w:pPr>
            <w:r>
              <w:rPr>
                <w:b/>
              </w:rPr>
              <w:t>Materialien</w:t>
            </w:r>
          </w:p>
        </w:tc>
        <w:tc>
          <w:tcPr>
            <w:tcW w:w="1550" w:type="dxa"/>
            <w:shd w:val="clear" w:color="auto" w:fill="D9D9D9"/>
          </w:tcPr>
          <w:p w14:paraId="34C0167B" w14:textId="77777777" w:rsidR="00D806ED" w:rsidRDefault="00000000">
            <w:pPr>
              <w:pStyle w:val="Tabelleninhalt"/>
              <w:keepNext/>
              <w:jc w:val="right"/>
            </w:pPr>
            <w:r>
              <w:rPr>
                <w:b/>
              </w:rPr>
              <w:t>Einkaufswert</w:t>
            </w:r>
          </w:p>
        </w:tc>
        <w:tc>
          <w:tcPr>
            <w:tcW w:w="1550" w:type="dxa"/>
            <w:shd w:val="clear" w:color="auto" w:fill="D9D9D9"/>
          </w:tcPr>
          <w:p w14:paraId="482B36F0" w14:textId="77777777" w:rsidR="00D806ED" w:rsidRDefault="00000000">
            <w:pPr>
              <w:pStyle w:val="Tabelleninhalt"/>
              <w:keepNext/>
              <w:jc w:val="right"/>
            </w:pPr>
            <w:r>
              <w:rPr>
                <w:b/>
              </w:rPr>
              <w:t>Bestellungen</w:t>
            </w:r>
          </w:p>
        </w:tc>
        <w:tc>
          <w:tcPr>
            <w:tcW w:w="1220" w:type="dxa"/>
            <w:shd w:val="clear" w:color="auto" w:fill="D9D9D9"/>
          </w:tcPr>
          <w:p w14:paraId="3CE76F40" w14:textId="77777777" w:rsidR="00D806ED" w:rsidRDefault="00000000">
            <w:pPr>
              <w:pStyle w:val="Tabelleninhalt"/>
              <w:keepNext/>
              <w:jc w:val="right"/>
            </w:pPr>
            <w:r>
              <w:rPr>
                <w:b/>
              </w:rPr>
              <w:t>Stückzahl</w:t>
            </w:r>
          </w:p>
        </w:tc>
        <w:tc>
          <w:tcPr>
            <w:tcW w:w="1476" w:type="dxa"/>
            <w:shd w:val="clear" w:color="auto" w:fill="D9D9D9"/>
          </w:tcPr>
          <w:p w14:paraId="15A3D0D4" w14:textId="77777777" w:rsidR="00D806ED" w:rsidRDefault="00000000">
            <w:pPr>
              <w:pStyle w:val="Tabelleninhalt"/>
              <w:keepNext/>
              <w:jc w:val="right"/>
            </w:pPr>
            <w:r>
              <w:rPr>
                <w:b/>
              </w:rPr>
              <w:t>Lieferanten</w:t>
            </w:r>
          </w:p>
        </w:tc>
      </w:tr>
      <w:tr w:rsidR="00D806ED" w14:paraId="5A2C1885" w14:textId="77777777">
        <w:trPr>
          <w:cantSplit/>
        </w:trPr>
        <w:tc>
          <w:tcPr>
            <w:tcW w:w="1833" w:type="dxa"/>
          </w:tcPr>
          <w:p w14:paraId="3619CF59" w14:textId="77777777" w:rsidR="00D806ED" w:rsidRDefault="00000000">
            <w:pPr>
              <w:pStyle w:val="Tabelleninhalt"/>
              <w:keepNext/>
            </w:pPr>
            <w:r>
              <w:t>Local (Indien)</w:t>
            </w:r>
          </w:p>
        </w:tc>
        <w:tc>
          <w:tcPr>
            <w:tcW w:w="1441" w:type="dxa"/>
          </w:tcPr>
          <w:p w14:paraId="17344A86" w14:textId="77777777" w:rsidR="00D806ED" w:rsidRDefault="00000000">
            <w:pPr>
              <w:pStyle w:val="Tabelleninhalt"/>
              <w:keepNext/>
              <w:jc w:val="right"/>
            </w:pPr>
            <w:r>
              <w:t>77,6 %</w:t>
            </w:r>
          </w:p>
        </w:tc>
        <w:tc>
          <w:tcPr>
            <w:tcW w:w="1550" w:type="dxa"/>
          </w:tcPr>
          <w:p w14:paraId="4C1BAB34" w14:textId="77777777" w:rsidR="00D806ED" w:rsidRDefault="00000000">
            <w:pPr>
              <w:pStyle w:val="Tabelleninhalt"/>
              <w:keepNext/>
              <w:jc w:val="right"/>
            </w:pPr>
            <w:r>
              <w:t>97,3 %</w:t>
            </w:r>
          </w:p>
        </w:tc>
        <w:tc>
          <w:tcPr>
            <w:tcW w:w="1550" w:type="dxa"/>
          </w:tcPr>
          <w:p w14:paraId="5C83D064" w14:textId="77777777" w:rsidR="00D806ED" w:rsidRDefault="00000000">
            <w:pPr>
              <w:pStyle w:val="Tabelleninhalt"/>
              <w:keepNext/>
              <w:jc w:val="right"/>
            </w:pPr>
            <w:r>
              <w:t>76,8 %</w:t>
            </w:r>
          </w:p>
        </w:tc>
        <w:tc>
          <w:tcPr>
            <w:tcW w:w="1220" w:type="dxa"/>
          </w:tcPr>
          <w:p w14:paraId="47DE78C0" w14:textId="77777777" w:rsidR="00D806ED" w:rsidRDefault="00000000">
            <w:pPr>
              <w:pStyle w:val="Tabelleninhalt"/>
              <w:keepNext/>
              <w:jc w:val="right"/>
            </w:pPr>
            <w:r>
              <w:t>86,5 %</w:t>
            </w:r>
          </w:p>
        </w:tc>
        <w:tc>
          <w:tcPr>
            <w:tcW w:w="1476" w:type="dxa"/>
          </w:tcPr>
          <w:p w14:paraId="3CCB3138" w14:textId="77777777" w:rsidR="00D806ED" w:rsidRDefault="00000000">
            <w:pPr>
              <w:pStyle w:val="Tabelleninhalt"/>
              <w:keepNext/>
              <w:jc w:val="right"/>
            </w:pPr>
            <w:r>
              <w:t>342 (56,9 %)</w:t>
            </w:r>
          </w:p>
        </w:tc>
      </w:tr>
      <w:tr w:rsidR="00D806ED" w14:paraId="2666D593" w14:textId="77777777">
        <w:trPr>
          <w:cantSplit/>
        </w:trPr>
        <w:tc>
          <w:tcPr>
            <w:tcW w:w="1833" w:type="dxa"/>
          </w:tcPr>
          <w:p w14:paraId="68B584B9" w14:textId="77777777" w:rsidR="00D806ED" w:rsidRDefault="00000000">
            <w:pPr>
              <w:pStyle w:val="Tabelleninhalt"/>
              <w:keepNext/>
            </w:pPr>
            <w:r>
              <w:t>Overseas (via Karatschi)</w:t>
            </w:r>
          </w:p>
        </w:tc>
        <w:tc>
          <w:tcPr>
            <w:tcW w:w="1441" w:type="dxa"/>
          </w:tcPr>
          <w:p w14:paraId="16B1A851" w14:textId="77777777" w:rsidR="00D806ED" w:rsidRDefault="00000000">
            <w:pPr>
              <w:pStyle w:val="Tabelleninhalt"/>
              <w:keepNext/>
              <w:jc w:val="right"/>
            </w:pPr>
            <w:r>
              <w:t>22,4 %</w:t>
            </w:r>
          </w:p>
        </w:tc>
        <w:tc>
          <w:tcPr>
            <w:tcW w:w="1550" w:type="dxa"/>
          </w:tcPr>
          <w:p w14:paraId="3892EF9C" w14:textId="77777777" w:rsidR="00D806ED" w:rsidRDefault="00000000">
            <w:pPr>
              <w:pStyle w:val="Tabelleninhalt"/>
              <w:keepNext/>
              <w:jc w:val="right"/>
            </w:pPr>
            <w:r>
              <w:t>2,7 %</w:t>
            </w:r>
          </w:p>
        </w:tc>
        <w:tc>
          <w:tcPr>
            <w:tcW w:w="1550" w:type="dxa"/>
          </w:tcPr>
          <w:p w14:paraId="77FF18BF" w14:textId="77777777" w:rsidR="00D806ED" w:rsidRDefault="00000000">
            <w:pPr>
              <w:pStyle w:val="Tabelleninhalt"/>
              <w:keepNext/>
              <w:jc w:val="right"/>
            </w:pPr>
            <w:r>
              <w:t>23,2 %</w:t>
            </w:r>
          </w:p>
        </w:tc>
        <w:tc>
          <w:tcPr>
            <w:tcW w:w="1220" w:type="dxa"/>
          </w:tcPr>
          <w:p w14:paraId="106558DE" w14:textId="77777777" w:rsidR="00D806ED" w:rsidRDefault="00000000">
            <w:pPr>
              <w:pStyle w:val="Tabelleninhalt"/>
              <w:keepNext/>
              <w:jc w:val="right"/>
            </w:pPr>
            <w:r>
              <w:t>13,5 %</w:t>
            </w:r>
          </w:p>
        </w:tc>
        <w:tc>
          <w:tcPr>
            <w:tcW w:w="1476" w:type="dxa"/>
          </w:tcPr>
          <w:p w14:paraId="1B0EEB55" w14:textId="77777777" w:rsidR="00D806ED" w:rsidRDefault="00000000">
            <w:pPr>
              <w:pStyle w:val="Tabelleninhalt"/>
              <w:keepNext/>
              <w:jc w:val="right"/>
            </w:pPr>
            <w:r>
              <w:t>259 (43,1 %)</w:t>
            </w:r>
          </w:p>
        </w:tc>
      </w:tr>
    </w:tbl>
    <w:p w14:paraId="521C3CFF" w14:textId="77777777" w:rsidR="00D806ED" w:rsidRDefault="00000000">
      <w:pPr>
        <w:pStyle w:val="Quellenangabe"/>
      </w:pPr>
      <w:r>
        <w:t xml:space="preserve">Quelle: Eigene Berechnung, Daten: </w:t>
      </w:r>
      <w:r>
        <w:rPr>
          <w:i/>
          <w:iCs/>
        </w:rPr>
        <w:t>Daten-ABC-Analyse-Grofu</w:t>
      </w:r>
      <w:r>
        <w:t xml:space="preserve"> (o. J.); Zuordnung gemäss Annahme A23.</w:t>
      </w:r>
    </w:p>
    <w:p w14:paraId="205CDF40" w14:textId="77777777" w:rsidR="00D806ED" w:rsidRDefault="00000000">
      <w:pPr>
        <w:pStyle w:val="Textkrper"/>
      </w:pPr>
      <w:r>
        <w:t>Die Lieferanten sind ihrer Hauptherkunft zugeordnet. Ein Lieferant liefert sowohl Local- als auch Overseas-Materialien; zählt man ihn bei beiden, sind es 342 bzw. 260 Lieferanten.</w:t>
      </w:r>
    </w:p>
    <w:p w14:paraId="25ED6136" w14:textId="77777777" w:rsidR="00D806ED" w:rsidRDefault="00000000">
      <w:pPr>
        <w:pStyle w:val="Abbildung"/>
      </w:pPr>
      <w:bookmarkStart w:id="102" w:name="fig%3Aanh-lieferanten"/>
      <w:r>
        <w:rPr>
          <w:noProof/>
        </w:rPr>
        <w:drawing>
          <wp:inline distT="0" distB="0" distL="0" distR="0" wp14:anchorId="00EDE99B" wp14:editId="42279170">
            <wp:extent cx="5177790" cy="2794635"/>
            <wp:effectExtent l="0" t="0" r="0" b="0"/>
            <wp:docPr id="8" name="Image7" descr="Lieferanten-ABC: Lieferantenblatt der Daten und Neuberechnung aus dem RM-Bla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Lieferanten-ABC: Lieferantenblatt der Daten und Neuberechnung aus dem RM-Blatt"/>
                    <pic:cNvPicPr>
                      <a:picLocks noChangeAspect="1" noChangeArrowheads="1"/>
                    </pic:cNvPicPr>
                  </pic:nvPicPr>
                  <pic:blipFill>
                    <a:blip r:embed="rId16"/>
                    <a:stretch>
                      <a:fillRect/>
                    </a:stretch>
                  </pic:blipFill>
                  <pic:spPr bwMode="auto">
                    <a:xfrm>
                      <a:off x="0" y="0"/>
                      <a:ext cx="5177790" cy="2794635"/>
                    </a:xfrm>
                    <a:prstGeom prst="rect">
                      <a:avLst/>
                    </a:prstGeom>
                    <a:noFill/>
                  </pic:spPr>
                </pic:pic>
              </a:graphicData>
            </a:graphic>
          </wp:inline>
        </w:drawing>
      </w:r>
    </w:p>
    <w:p w14:paraId="1EB7089F" w14:textId="6CAB74ED" w:rsidR="00D806ED" w:rsidRDefault="00000000">
      <w:pPr>
        <w:pStyle w:val="Beschriftung"/>
        <w:keepNext/>
        <w:jc w:val="center"/>
      </w:pPr>
      <w:bookmarkStart w:id="103" w:name="_Toc243824176"/>
      <w:r>
        <w:t xml:space="preserve">Abbildung </w:t>
      </w:r>
      <w:fldSimple w:instr=" SEQ Abbildung \* ARABIC ">
        <w:r>
          <w:rPr>
            <w:noProof/>
          </w:rPr>
          <w:t>7</w:t>
        </w:r>
      </w:fldSimple>
      <w:r>
        <w:t>: Lieferanten-ABC: Lieferantenblatt der Daten und Neuberechnung aus dem RM-Blatt</w:t>
      </w:r>
      <w:bookmarkEnd w:id="102"/>
      <w:bookmarkEnd w:id="103"/>
    </w:p>
    <w:p w14:paraId="6ED2717C" w14:textId="77777777" w:rsidR="00D806ED" w:rsidRDefault="00000000">
      <w:pPr>
        <w:pStyle w:val="Quellenangabe"/>
      </w:pPr>
      <w:r>
        <w:t xml:space="preserve">Quelle: Eigene Darstellung, Daten: </w:t>
      </w:r>
      <w:r>
        <w:rPr>
          <w:i/>
          <w:iCs/>
        </w:rPr>
        <w:t>Daten-ABC-Analyse-Grofu</w:t>
      </w:r>
      <w:r>
        <w:t xml:space="preserve"> (o. J.).</w:t>
      </w:r>
    </w:p>
    <w:p w14:paraId="1A5884F4" w14:textId="04852725" w:rsidR="00D806ED" w:rsidRDefault="00000000">
      <w:pPr>
        <w:pStyle w:val="Beschriftung"/>
        <w:keepNext/>
      </w:pPr>
      <w:bookmarkStart w:id="104" w:name="_Toc243824220"/>
      <w:r>
        <w:t xml:space="preserve">Tabelle </w:t>
      </w:r>
      <w:fldSimple w:instr=" SEQ Tabelle \* ARABIC ">
        <w:r>
          <w:rPr>
            <w:noProof/>
          </w:rPr>
          <w:t>13</w:t>
        </w:r>
      </w:fldSimple>
      <w:r>
        <w:t>: Lieferanten-ABC in zwei Lesarten</w:t>
      </w:r>
      <w:bookmarkEnd w:id="104"/>
    </w:p>
    <w:tbl>
      <w:tblPr>
        <w:tblStyle w:val="Tabellenraster"/>
        <w:tblW w:w="9069" w:type="dxa"/>
        <w:tblInd w:w="113" w:type="dxa"/>
        <w:tblLayout w:type="fixed"/>
        <w:tblLook w:val="0020" w:firstRow="1" w:lastRow="0" w:firstColumn="0" w:lastColumn="0" w:noHBand="0" w:noVBand="0"/>
      </w:tblPr>
      <w:tblGrid>
        <w:gridCol w:w="4208"/>
        <w:gridCol w:w="1578"/>
        <w:gridCol w:w="1215"/>
        <w:gridCol w:w="1288"/>
        <w:gridCol w:w="780"/>
      </w:tblGrid>
      <w:tr w:rsidR="00D806ED" w14:paraId="10DD641B" w14:textId="77777777">
        <w:trPr>
          <w:tblHeader/>
        </w:trPr>
        <w:tc>
          <w:tcPr>
            <w:tcW w:w="4208" w:type="dxa"/>
            <w:shd w:val="clear" w:color="auto" w:fill="D9D9D9"/>
          </w:tcPr>
          <w:p w14:paraId="50F1557D" w14:textId="77777777" w:rsidR="00D806ED" w:rsidRDefault="00000000">
            <w:pPr>
              <w:pStyle w:val="Tabelleninhalt"/>
              <w:keepNext/>
            </w:pPr>
            <w:r>
              <w:rPr>
                <w:b/>
              </w:rPr>
              <w:t>Lesart</w:t>
            </w:r>
          </w:p>
        </w:tc>
        <w:tc>
          <w:tcPr>
            <w:tcW w:w="1578" w:type="dxa"/>
            <w:shd w:val="clear" w:color="auto" w:fill="D9D9D9"/>
          </w:tcPr>
          <w:p w14:paraId="556975E0" w14:textId="77777777" w:rsidR="00D806ED" w:rsidRDefault="00000000">
            <w:pPr>
              <w:pStyle w:val="Tabelleninhalt"/>
              <w:keepNext/>
              <w:jc w:val="right"/>
            </w:pPr>
            <w:r>
              <w:rPr>
                <w:b/>
              </w:rPr>
              <w:t>A</w:t>
            </w:r>
          </w:p>
        </w:tc>
        <w:tc>
          <w:tcPr>
            <w:tcW w:w="1215" w:type="dxa"/>
            <w:shd w:val="clear" w:color="auto" w:fill="D9D9D9"/>
          </w:tcPr>
          <w:p w14:paraId="49DBE791" w14:textId="77777777" w:rsidR="00D806ED" w:rsidRDefault="00000000">
            <w:pPr>
              <w:pStyle w:val="Tabelleninhalt"/>
              <w:keepNext/>
              <w:jc w:val="right"/>
            </w:pPr>
            <w:r>
              <w:rPr>
                <w:b/>
              </w:rPr>
              <w:t>B</w:t>
            </w:r>
          </w:p>
        </w:tc>
        <w:tc>
          <w:tcPr>
            <w:tcW w:w="1288" w:type="dxa"/>
            <w:shd w:val="clear" w:color="auto" w:fill="D9D9D9"/>
          </w:tcPr>
          <w:p w14:paraId="144F93AC" w14:textId="77777777" w:rsidR="00D806ED" w:rsidRDefault="00000000">
            <w:pPr>
              <w:pStyle w:val="Tabelleninhalt"/>
              <w:keepNext/>
              <w:jc w:val="right"/>
            </w:pPr>
            <w:r>
              <w:rPr>
                <w:b/>
              </w:rPr>
              <w:t>C</w:t>
            </w:r>
          </w:p>
        </w:tc>
        <w:tc>
          <w:tcPr>
            <w:tcW w:w="780" w:type="dxa"/>
            <w:shd w:val="clear" w:color="auto" w:fill="D9D9D9"/>
          </w:tcPr>
          <w:p w14:paraId="4BE0F9D6" w14:textId="77777777" w:rsidR="00D806ED" w:rsidRDefault="00000000">
            <w:pPr>
              <w:pStyle w:val="Tabelleninhalt"/>
              <w:keepNext/>
              <w:jc w:val="right"/>
            </w:pPr>
            <w:r>
              <w:rPr>
                <w:b/>
              </w:rPr>
              <w:t>Total</w:t>
            </w:r>
          </w:p>
        </w:tc>
      </w:tr>
      <w:tr w:rsidR="00D806ED" w14:paraId="3222CE0F" w14:textId="77777777">
        <w:trPr>
          <w:cantSplit/>
        </w:trPr>
        <w:tc>
          <w:tcPr>
            <w:tcW w:w="4208" w:type="dxa"/>
          </w:tcPr>
          <w:p w14:paraId="18561FBA" w14:textId="77777777" w:rsidR="00D806ED" w:rsidRDefault="00000000">
            <w:pPr>
              <w:pStyle w:val="Tabelleninhalt"/>
              <w:keepNext/>
            </w:pPr>
            <w:r>
              <w:t>Lieferantenblatt «Vendors + ABC» (massgeblich)</w:t>
            </w:r>
          </w:p>
        </w:tc>
        <w:tc>
          <w:tcPr>
            <w:tcW w:w="1578" w:type="dxa"/>
          </w:tcPr>
          <w:p w14:paraId="3B0BD3B9" w14:textId="77777777" w:rsidR="00D806ED" w:rsidRDefault="00000000">
            <w:pPr>
              <w:pStyle w:val="Tabelleninhalt"/>
              <w:keepNext/>
              <w:jc w:val="right"/>
            </w:pPr>
            <w:r>
              <w:t>44 (69,7 % Wert)</w:t>
            </w:r>
          </w:p>
        </w:tc>
        <w:tc>
          <w:tcPr>
            <w:tcW w:w="1215" w:type="dxa"/>
          </w:tcPr>
          <w:p w14:paraId="4FC6400A" w14:textId="77777777" w:rsidR="00D806ED" w:rsidRDefault="00000000">
            <w:pPr>
              <w:pStyle w:val="Tabelleninhalt"/>
              <w:keepNext/>
              <w:jc w:val="right"/>
            </w:pPr>
            <w:r>
              <w:t>81 (20,3 %)</w:t>
            </w:r>
          </w:p>
        </w:tc>
        <w:tc>
          <w:tcPr>
            <w:tcW w:w="1288" w:type="dxa"/>
          </w:tcPr>
          <w:p w14:paraId="0393A5B0" w14:textId="77777777" w:rsidR="00D806ED" w:rsidRDefault="00000000">
            <w:pPr>
              <w:pStyle w:val="Tabelleninhalt"/>
              <w:keepNext/>
              <w:jc w:val="right"/>
            </w:pPr>
            <w:r>
              <w:t>495 (10,1 %)</w:t>
            </w:r>
          </w:p>
        </w:tc>
        <w:tc>
          <w:tcPr>
            <w:tcW w:w="780" w:type="dxa"/>
          </w:tcPr>
          <w:p w14:paraId="5248138C" w14:textId="77777777" w:rsidR="00D806ED" w:rsidRDefault="00000000">
            <w:pPr>
              <w:pStyle w:val="Tabelleninhalt"/>
              <w:keepNext/>
              <w:jc w:val="right"/>
            </w:pPr>
            <w:r>
              <w:t>620</w:t>
            </w:r>
          </w:p>
        </w:tc>
      </w:tr>
      <w:tr w:rsidR="00D806ED" w14:paraId="432C530C" w14:textId="77777777">
        <w:trPr>
          <w:cantSplit/>
        </w:trPr>
        <w:tc>
          <w:tcPr>
            <w:tcW w:w="4208" w:type="dxa"/>
          </w:tcPr>
          <w:p w14:paraId="7C47D403" w14:textId="77777777" w:rsidR="00D806ED" w:rsidRDefault="00000000">
            <w:pPr>
              <w:pStyle w:val="Tabelleninhalt"/>
              <w:keepNext/>
            </w:pPr>
            <w:r>
              <w:t>Neuberechnung aus RM-Wertanteilen (Plausibilisierung)</w:t>
            </w:r>
          </w:p>
        </w:tc>
        <w:tc>
          <w:tcPr>
            <w:tcW w:w="1578" w:type="dxa"/>
          </w:tcPr>
          <w:p w14:paraId="6A9D6AA1" w14:textId="77777777" w:rsidR="00D806ED" w:rsidRDefault="00000000">
            <w:pPr>
              <w:pStyle w:val="Tabelleninhalt"/>
              <w:keepNext/>
              <w:jc w:val="right"/>
            </w:pPr>
            <w:r>
              <w:t>11 (68,2 % Wert)</w:t>
            </w:r>
          </w:p>
        </w:tc>
        <w:tc>
          <w:tcPr>
            <w:tcW w:w="1215" w:type="dxa"/>
          </w:tcPr>
          <w:p w14:paraId="34107FED" w14:textId="77777777" w:rsidR="00D806ED" w:rsidRDefault="00000000">
            <w:pPr>
              <w:pStyle w:val="Tabelleninhalt"/>
              <w:keepNext/>
              <w:jc w:val="right"/>
            </w:pPr>
            <w:r>
              <w:t>19 (21,6 %)</w:t>
            </w:r>
          </w:p>
        </w:tc>
        <w:tc>
          <w:tcPr>
            <w:tcW w:w="1288" w:type="dxa"/>
          </w:tcPr>
          <w:p w14:paraId="78086DFA" w14:textId="77777777" w:rsidR="00D806ED" w:rsidRDefault="00000000">
            <w:pPr>
              <w:pStyle w:val="Tabelleninhalt"/>
              <w:keepNext/>
              <w:jc w:val="right"/>
            </w:pPr>
            <w:r>
              <w:t>571 (10,2 %)</w:t>
            </w:r>
          </w:p>
        </w:tc>
        <w:tc>
          <w:tcPr>
            <w:tcW w:w="780" w:type="dxa"/>
          </w:tcPr>
          <w:p w14:paraId="76700993" w14:textId="77777777" w:rsidR="00D806ED" w:rsidRDefault="00000000">
            <w:pPr>
              <w:pStyle w:val="Tabelleninhalt"/>
              <w:keepNext/>
              <w:jc w:val="right"/>
            </w:pPr>
            <w:r>
              <w:t>601</w:t>
            </w:r>
          </w:p>
        </w:tc>
      </w:tr>
    </w:tbl>
    <w:p w14:paraId="167ADCF0" w14:textId="77777777" w:rsidR="00D806ED" w:rsidRDefault="00000000">
      <w:pPr>
        <w:pStyle w:val="Quellenangabe"/>
      </w:pPr>
      <w:r>
        <w:t xml:space="preserve">Quelle: Eigene Berechnung, Daten: </w:t>
      </w:r>
      <w:r>
        <w:rPr>
          <w:i/>
          <w:iCs/>
        </w:rPr>
        <w:t>Daten-ABC-Analyse-Grofu</w:t>
      </w:r>
      <w:r>
        <w:t xml:space="preserve"> (o. J.); Annahme A24.</w:t>
      </w:r>
    </w:p>
    <w:p w14:paraId="027A940B" w14:textId="77777777" w:rsidR="00D806ED" w:rsidRDefault="00000000">
      <w:pPr>
        <w:pStyle w:val="berschrift3"/>
        <w:numPr>
          <w:ilvl w:val="0"/>
          <w:numId w:val="0"/>
        </w:numPr>
      </w:pPr>
      <w:r>
        <w:t>ABC × Bestellhäufigkeit mit Normstrategien</w:t>
      </w:r>
    </w:p>
    <w:p w14:paraId="338E2DF5" w14:textId="77777777" w:rsidR="00D806ED" w:rsidRDefault="00000000">
      <w:pPr>
        <w:pStyle w:val="Textkrper"/>
      </w:pPr>
      <w:r>
        <w:t xml:space="preserve">Da Verbrauchsperioden fehlen, ersetzt die Bestellhäufigkeit pro Jahr die XYZ-Dimension (Annahme A25). Abbildung 8 zeigt Wertanteil und Anzahl Materialien je Feld sowie eine Normstrategie. Verwendet werden nur Begriffe aus dem Skript: ABC-XYZ als Selektionsinstrument für JIT und Bestandssenkung (Hutzler &amp; Fuchs, 2021, S. 35), Single Sourcing und Konsignationslager (S. 36), JIT-Vereinbarung für A/B-Teile mit regelmässigem Verbrauch (S. 37–38), C-Teile-Management (S. 38), Pooling (S. 40) und Kanban (S. 48). Die Zuordnung zu den Feldern sowie «Abruffrequenz erhöhen», «auftragsbezogen» und «Sortiment bereinigen» sind eigene Ableitungen. Auffällig: A-Materialien, die nur ein- bis dreimal pro Jahr bestellt werden, vereinen 48 % des gesamten Einkaufsvolumens – das </w:t>
        <w:lastRenderedPageBreak/>
        <w:t>grösste Feld für kürzere Abrufzyklen. Nur 413 Materialien werden zwölfmal oder öfter bestellt; Kanban setzt also eine Umstellung der Bestelllogik voraus und lässt sich nicht einfach aus den Ist-Daten «ablesen».</w:t>
      </w:r>
    </w:p>
    <w:p w14:paraId="7085E02D" w14:textId="77777777" w:rsidR="00D806ED" w:rsidRDefault="00000000">
      <w:pPr>
        <w:pStyle w:val="Abbildung"/>
      </w:pPr>
      <w:bookmarkStart w:id="105" w:name="fig%3Aanh-matrix"/>
      <w:r>
        <w:rPr>
          <w:noProof/>
        </w:rPr>
        <w:drawing>
          <wp:inline distT="0" distB="0" distL="0" distR="0" wp14:anchorId="03033D06" wp14:editId="2E48CB20">
            <wp:extent cx="5177790" cy="3451860"/>
            <wp:effectExtent l="0" t="0" r="0" b="0"/>
            <wp:docPr id="9" name="Image8" descr="ABC × Bestellhäufigkeit mit Normstrateg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ABC × Bestellhäufigkeit mit Normstrategien"/>
                    <pic:cNvPicPr>
                      <a:picLocks noChangeAspect="1" noChangeArrowheads="1"/>
                    </pic:cNvPicPr>
                  </pic:nvPicPr>
                  <pic:blipFill>
                    <a:blip r:embed="rId17"/>
                    <a:stretch>
                      <a:fillRect/>
                    </a:stretch>
                  </pic:blipFill>
                  <pic:spPr bwMode="auto">
                    <a:xfrm>
                      <a:off x="0" y="0"/>
                      <a:ext cx="5177790" cy="3451860"/>
                    </a:xfrm>
                    <a:prstGeom prst="rect">
                      <a:avLst/>
                    </a:prstGeom>
                    <a:noFill/>
                  </pic:spPr>
                </pic:pic>
              </a:graphicData>
            </a:graphic>
          </wp:inline>
        </w:drawing>
      </w:r>
    </w:p>
    <w:p w14:paraId="5AF61CD3" w14:textId="27942C07" w:rsidR="00D806ED" w:rsidRDefault="00000000">
      <w:pPr>
        <w:pStyle w:val="Beschriftung"/>
        <w:keepNext/>
        <w:jc w:val="center"/>
      </w:pPr>
      <w:bookmarkStart w:id="106" w:name="_Toc243824177"/>
      <w:r>
        <w:t xml:space="preserve">Abbildung </w:t>
      </w:r>
      <w:fldSimple w:instr=" SEQ Abbildung \* ARABIC ">
        <w:r>
          <w:rPr>
            <w:noProof/>
          </w:rPr>
          <w:t>8</w:t>
        </w:r>
      </w:fldSimple>
      <w:r>
        <w:t>: ABC × Bestellhäufigkeit mit Normstrategien</w:t>
      </w:r>
      <w:bookmarkEnd w:id="105"/>
      <w:bookmarkEnd w:id="106"/>
    </w:p>
    <w:p w14:paraId="2EBCBBDF" w14:textId="77777777" w:rsidR="00D806ED" w:rsidRDefault="00000000">
      <w:pPr>
        <w:pStyle w:val="Quellenangabe"/>
      </w:pPr>
      <w:r>
        <w:t xml:space="preserve">Quelle: Eigene Darstellung; Strategiebegriffe nach Hutzler &amp; Fuchs (2021, S. 35–40, 48), Zuordnung eigene Ableitung; Daten: </w:t>
      </w:r>
      <w:r>
        <w:rPr>
          <w:i/>
          <w:iCs/>
        </w:rPr>
        <w:t>Daten-ABC-Analyse-Grofu</w:t>
      </w:r>
      <w:r>
        <w:t xml:space="preserve"> (o. J.).</w:t>
      </w:r>
    </w:p>
    <w:p w14:paraId="19801F19" w14:textId="77777777" w:rsidR="00D806ED" w:rsidRDefault="00000000">
      <w:pPr>
        <w:pStyle w:val="berschrift3"/>
        <w:numPr>
          <w:ilvl w:val="0"/>
          <w:numId w:val="0"/>
        </w:numPr>
      </w:pPr>
      <w:r>
        <w:t>Bestandsmodell</w:t>
      </w:r>
    </w:p>
    <w:p w14:paraId="6335C7B0" w14:textId="77777777" w:rsidR="00D806ED" w:rsidRDefault="00000000">
      <w:pPr>
        <w:pStyle w:val="Textkrper"/>
      </w:pPr>
      <w:r>
        <w:t>Für jedes Material gilt (Annahme A20): Losgrössenbestand = Jahreswertanteil / (2 × Anlieferungen p. a.), Reichweite = Bestand / Jahreswert × 280 AT, Lagerumschlag = Jahreswert / Bestand (Krieger, 2018); die Reichweite ist der Kehrwert des Umschlags, umgerechnet in Arbeitstage (Kenning, 2018). Im Soll-Szenario wird die Zahl der Anlieferungen bei A-Teilen auf mindestens 24, bei B-Teilen auf mindestens 12 pro Jahr angehoben; Materialien, die bereits häufiger bestellt werden, bleiben unverändert, C-Teile ebenfalls.</w:t>
      </w:r>
    </w:p>
    <w:p w14:paraId="213AA154" w14:textId="078475A3" w:rsidR="00D806ED" w:rsidRDefault="00000000">
      <w:pPr>
        <w:pStyle w:val="Beschriftung"/>
        <w:keepNext/>
      </w:pPr>
      <w:bookmarkStart w:id="107" w:name="_Toc243824221"/>
      <w:r>
        <w:t xml:space="preserve">Tabelle </w:t>
      </w:r>
      <w:fldSimple w:instr=" SEQ Tabelle \* ARABIC ">
        <w:r>
          <w:rPr>
            <w:noProof/>
          </w:rPr>
          <w:t>14</w:t>
        </w:r>
      </w:fldSimple>
      <w:r>
        <w:t>: Bestandsmodell nach ABC-Klasse (Szenario A ≥ 24, B ≥ 12 Abrufe p. a.)</w:t>
      </w:r>
      <w:bookmarkEnd w:id="107"/>
    </w:p>
    <w:tbl>
      <w:tblPr>
        <w:tblStyle w:val="Tabellenraster"/>
        <w:tblW w:w="9069" w:type="dxa"/>
        <w:tblInd w:w="113" w:type="dxa"/>
        <w:tblLayout w:type="fixed"/>
        <w:tblLook w:val="0020" w:firstRow="1" w:lastRow="0" w:firstColumn="0" w:lastColumn="0" w:noHBand="0" w:noVBand="0"/>
      </w:tblPr>
      <w:tblGrid>
        <w:gridCol w:w="889"/>
        <w:gridCol w:w="2211"/>
        <w:gridCol w:w="1734"/>
        <w:gridCol w:w="1801"/>
        <w:gridCol w:w="1433"/>
        <w:gridCol w:w="1001"/>
      </w:tblGrid>
      <w:tr w:rsidR="00D806ED" w14:paraId="1B8AD66F" w14:textId="77777777">
        <w:trPr>
          <w:tblHeader/>
        </w:trPr>
        <w:tc>
          <w:tcPr>
            <w:tcW w:w="889" w:type="dxa"/>
            <w:shd w:val="clear" w:color="auto" w:fill="D9D9D9"/>
          </w:tcPr>
          <w:p w14:paraId="614BC6B1" w14:textId="77777777" w:rsidR="00D806ED" w:rsidRDefault="00000000">
            <w:pPr>
              <w:pStyle w:val="Tabelleninhalt"/>
              <w:keepNext/>
            </w:pPr>
            <w:r>
              <w:rPr>
                <w:b/>
              </w:rPr>
              <w:t>Klasse</w:t>
            </w:r>
          </w:p>
        </w:tc>
        <w:tc>
          <w:tcPr>
            <w:tcW w:w="2211" w:type="dxa"/>
            <w:shd w:val="clear" w:color="auto" w:fill="D9D9D9"/>
          </w:tcPr>
          <w:p w14:paraId="33125077" w14:textId="77777777" w:rsidR="00D806ED" w:rsidRDefault="00000000">
            <w:pPr>
              <w:pStyle w:val="Tabelleninhalt"/>
              <w:keepNext/>
              <w:jc w:val="right"/>
            </w:pPr>
            <w:r>
              <w:rPr>
                <w:b/>
              </w:rPr>
              <w:t>Bestand Ist (% Jahresvolumen)</w:t>
            </w:r>
          </w:p>
        </w:tc>
        <w:tc>
          <w:tcPr>
            <w:tcW w:w="1734" w:type="dxa"/>
            <w:shd w:val="clear" w:color="auto" w:fill="D9D9D9"/>
          </w:tcPr>
          <w:p w14:paraId="60A5A8BD" w14:textId="77777777" w:rsidR="00D806ED" w:rsidRDefault="00000000">
            <w:pPr>
              <w:pStyle w:val="Tabelleninhalt"/>
              <w:keepNext/>
              <w:jc w:val="right"/>
            </w:pPr>
            <w:r>
              <w:rPr>
                <w:b/>
              </w:rPr>
              <w:t>Anteil am Ist-Bestand</w:t>
            </w:r>
          </w:p>
        </w:tc>
        <w:tc>
          <w:tcPr>
            <w:tcW w:w="1801" w:type="dxa"/>
            <w:shd w:val="clear" w:color="auto" w:fill="D9D9D9"/>
          </w:tcPr>
          <w:p w14:paraId="4E474DC0" w14:textId="77777777" w:rsidR="00D806ED" w:rsidRDefault="00000000">
            <w:pPr>
              <w:pStyle w:val="Tabelleninhalt"/>
              <w:keepNext/>
              <w:jc w:val="right"/>
            </w:pPr>
            <w:r>
              <w:rPr>
                <w:b/>
              </w:rPr>
              <w:t>Reichweite Ist → Soll (AT)</w:t>
            </w:r>
          </w:p>
        </w:tc>
        <w:tc>
          <w:tcPr>
            <w:tcW w:w="1433" w:type="dxa"/>
            <w:shd w:val="clear" w:color="auto" w:fill="D9D9D9"/>
          </w:tcPr>
          <w:p w14:paraId="207E9897" w14:textId="77777777" w:rsidR="00D806ED" w:rsidRDefault="00000000">
            <w:pPr>
              <w:pStyle w:val="Tabelleninhalt"/>
              <w:keepNext/>
              <w:jc w:val="right"/>
            </w:pPr>
            <w:r>
              <w:rPr>
                <w:b/>
              </w:rPr>
              <w:t>Umschlag Ist → Soll</w:t>
            </w:r>
          </w:p>
        </w:tc>
        <w:tc>
          <w:tcPr>
            <w:tcW w:w="1001" w:type="dxa"/>
            <w:shd w:val="clear" w:color="auto" w:fill="D9D9D9"/>
          </w:tcPr>
          <w:p w14:paraId="33B0AA87" w14:textId="77777777" w:rsidR="00D806ED" w:rsidRDefault="00000000">
            <w:pPr>
              <w:pStyle w:val="Tabelleninhalt"/>
              <w:keepNext/>
              <w:jc w:val="right"/>
            </w:pPr>
            <w:r>
              <w:rPr>
                <w:b/>
              </w:rPr>
              <w:t>Senkung</w:t>
            </w:r>
          </w:p>
        </w:tc>
      </w:tr>
      <w:tr w:rsidR="00D806ED" w14:paraId="438BE84C" w14:textId="77777777">
        <w:trPr>
          <w:cantSplit/>
        </w:trPr>
        <w:tc>
          <w:tcPr>
            <w:tcW w:w="889" w:type="dxa"/>
          </w:tcPr>
          <w:p w14:paraId="38512E8D" w14:textId="77777777" w:rsidR="00D806ED" w:rsidRDefault="00000000">
            <w:pPr>
              <w:pStyle w:val="Tabelleninhalt"/>
              <w:keepNext/>
            </w:pPr>
            <w:r>
              <w:t>A</w:t>
            </w:r>
          </w:p>
        </w:tc>
        <w:tc>
          <w:tcPr>
            <w:tcW w:w="2211" w:type="dxa"/>
          </w:tcPr>
          <w:p w14:paraId="1D73A2FA" w14:textId="77777777" w:rsidR="00D806ED" w:rsidRDefault="00000000">
            <w:pPr>
              <w:pStyle w:val="Tabelleninhalt"/>
              <w:keepNext/>
              <w:jc w:val="right"/>
            </w:pPr>
            <w:r>
              <w:t>19,0 %</w:t>
            </w:r>
          </w:p>
        </w:tc>
        <w:tc>
          <w:tcPr>
            <w:tcW w:w="1734" w:type="dxa"/>
          </w:tcPr>
          <w:p w14:paraId="78401CCB" w14:textId="77777777" w:rsidR="00D806ED" w:rsidRDefault="00000000">
            <w:pPr>
              <w:pStyle w:val="Tabelleninhalt"/>
              <w:keepNext/>
              <w:jc w:val="right"/>
            </w:pPr>
            <w:r>
              <w:t>67 %</w:t>
            </w:r>
          </w:p>
        </w:tc>
        <w:tc>
          <w:tcPr>
            <w:tcW w:w="1801" w:type="dxa"/>
          </w:tcPr>
          <w:p w14:paraId="4E9D9EFE" w14:textId="77777777" w:rsidR="00D806ED" w:rsidRDefault="00000000">
            <w:pPr>
              <w:pStyle w:val="Tabelleninhalt"/>
              <w:keepNext/>
              <w:jc w:val="right"/>
            </w:pPr>
            <w:r>
              <w:t>76 → 6</w:t>
            </w:r>
          </w:p>
        </w:tc>
        <w:tc>
          <w:tcPr>
            <w:tcW w:w="1433" w:type="dxa"/>
          </w:tcPr>
          <w:p w14:paraId="0FE94ADF" w14:textId="77777777" w:rsidR="00D806ED" w:rsidRDefault="00000000">
            <w:pPr>
              <w:pStyle w:val="Tabelleninhalt"/>
              <w:keepNext/>
              <w:jc w:val="right"/>
            </w:pPr>
            <w:r>
              <w:t>3,7 → 48,0</w:t>
            </w:r>
          </w:p>
        </w:tc>
        <w:tc>
          <w:tcPr>
            <w:tcW w:w="1001" w:type="dxa"/>
          </w:tcPr>
          <w:p w14:paraId="03EA0344" w14:textId="77777777" w:rsidR="00D806ED" w:rsidRDefault="00000000">
            <w:pPr>
              <w:pStyle w:val="Tabelleninhalt"/>
              <w:keepNext/>
              <w:jc w:val="right"/>
            </w:pPr>
            <w:r>
              <w:t>92 %</w:t>
            </w:r>
          </w:p>
        </w:tc>
      </w:tr>
      <w:tr w:rsidR="00D806ED" w14:paraId="16C72B73" w14:textId="77777777">
        <w:trPr>
          <w:cantSplit/>
        </w:trPr>
        <w:tc>
          <w:tcPr>
            <w:tcW w:w="889" w:type="dxa"/>
          </w:tcPr>
          <w:p w14:paraId="695B85F8" w14:textId="77777777" w:rsidR="00D806ED" w:rsidRDefault="00000000">
            <w:pPr>
              <w:pStyle w:val="Tabelleninhalt"/>
              <w:keepNext/>
            </w:pPr>
            <w:r>
              <w:t>B</w:t>
            </w:r>
          </w:p>
        </w:tc>
        <w:tc>
          <w:tcPr>
            <w:tcW w:w="2211" w:type="dxa"/>
          </w:tcPr>
          <w:p w14:paraId="772F7D8A" w14:textId="77777777" w:rsidR="00D806ED" w:rsidRDefault="00000000">
            <w:pPr>
              <w:pStyle w:val="Tabelleninhalt"/>
              <w:keepNext/>
              <w:jc w:val="right"/>
            </w:pPr>
            <w:r>
              <w:t>6,8 %</w:t>
            </w:r>
          </w:p>
        </w:tc>
        <w:tc>
          <w:tcPr>
            <w:tcW w:w="1734" w:type="dxa"/>
          </w:tcPr>
          <w:p w14:paraId="73F02066" w14:textId="77777777" w:rsidR="00D806ED" w:rsidRDefault="00000000">
            <w:pPr>
              <w:pStyle w:val="Tabelleninhalt"/>
              <w:keepNext/>
              <w:jc w:val="right"/>
            </w:pPr>
            <w:r>
              <w:t>24 %</w:t>
            </w:r>
          </w:p>
        </w:tc>
        <w:tc>
          <w:tcPr>
            <w:tcW w:w="1801" w:type="dxa"/>
          </w:tcPr>
          <w:p w14:paraId="5E17E044" w14:textId="77777777" w:rsidR="00D806ED" w:rsidRDefault="00000000">
            <w:pPr>
              <w:pStyle w:val="Tabelleninhalt"/>
              <w:keepNext/>
              <w:jc w:val="right"/>
            </w:pPr>
            <w:r>
              <w:t>95 → 12</w:t>
            </w:r>
          </w:p>
        </w:tc>
        <w:tc>
          <w:tcPr>
            <w:tcW w:w="1433" w:type="dxa"/>
          </w:tcPr>
          <w:p w14:paraId="55036A3E" w14:textId="77777777" w:rsidR="00D806ED" w:rsidRDefault="00000000">
            <w:pPr>
              <w:pStyle w:val="Tabelleninhalt"/>
              <w:keepNext/>
              <w:jc w:val="right"/>
            </w:pPr>
            <w:r>
              <w:t>3,0 → 24,0</w:t>
            </w:r>
          </w:p>
        </w:tc>
        <w:tc>
          <w:tcPr>
            <w:tcW w:w="1001" w:type="dxa"/>
          </w:tcPr>
          <w:p w14:paraId="7F0FA8AF" w14:textId="77777777" w:rsidR="00D806ED" w:rsidRDefault="00000000">
            <w:pPr>
              <w:pStyle w:val="Tabelleninhalt"/>
              <w:keepNext/>
              <w:jc w:val="right"/>
            </w:pPr>
            <w:r>
              <w:t>88 %</w:t>
            </w:r>
          </w:p>
        </w:tc>
      </w:tr>
      <w:tr w:rsidR="00D806ED" w14:paraId="163C80BF" w14:textId="77777777">
        <w:trPr>
          <w:cantSplit/>
        </w:trPr>
        <w:tc>
          <w:tcPr>
            <w:tcW w:w="889" w:type="dxa"/>
          </w:tcPr>
          <w:p w14:paraId="71DAA793" w14:textId="77777777" w:rsidR="00D806ED" w:rsidRDefault="00000000">
            <w:pPr>
              <w:pStyle w:val="Tabelleninhalt"/>
              <w:keepNext/>
            </w:pPr>
            <w:r>
              <w:t>C</w:t>
            </w:r>
          </w:p>
        </w:tc>
        <w:tc>
          <w:tcPr>
            <w:tcW w:w="2211" w:type="dxa"/>
          </w:tcPr>
          <w:p w14:paraId="6C5BB992" w14:textId="77777777" w:rsidR="00D806ED" w:rsidRDefault="00000000">
            <w:pPr>
              <w:pStyle w:val="Tabelleninhalt"/>
              <w:keepNext/>
              <w:jc w:val="right"/>
            </w:pPr>
            <w:r>
              <w:t>2,5 %</w:t>
            </w:r>
          </w:p>
        </w:tc>
        <w:tc>
          <w:tcPr>
            <w:tcW w:w="1734" w:type="dxa"/>
          </w:tcPr>
          <w:p w14:paraId="15EB09F5" w14:textId="77777777" w:rsidR="00D806ED" w:rsidRDefault="00000000">
            <w:pPr>
              <w:pStyle w:val="Tabelleninhalt"/>
              <w:keepNext/>
              <w:jc w:val="right"/>
            </w:pPr>
            <w:r>
              <w:t>9 %</w:t>
            </w:r>
          </w:p>
        </w:tc>
        <w:tc>
          <w:tcPr>
            <w:tcW w:w="1801" w:type="dxa"/>
          </w:tcPr>
          <w:p w14:paraId="74E9AF7A" w14:textId="77777777" w:rsidR="00D806ED" w:rsidRDefault="00000000">
            <w:pPr>
              <w:pStyle w:val="Tabelleninhalt"/>
              <w:keepNext/>
              <w:jc w:val="right"/>
            </w:pPr>
            <w:r>
              <w:t>71 → 71</w:t>
            </w:r>
          </w:p>
        </w:tc>
        <w:tc>
          <w:tcPr>
            <w:tcW w:w="1433" w:type="dxa"/>
          </w:tcPr>
          <w:p w14:paraId="43FDD35B" w14:textId="77777777" w:rsidR="00D806ED" w:rsidRDefault="00000000">
            <w:pPr>
              <w:pStyle w:val="Tabelleninhalt"/>
              <w:keepNext/>
              <w:jc w:val="right"/>
            </w:pPr>
            <w:r>
              <w:t>3,9 → 3,9</w:t>
            </w:r>
          </w:p>
        </w:tc>
        <w:tc>
          <w:tcPr>
            <w:tcW w:w="1001" w:type="dxa"/>
          </w:tcPr>
          <w:p w14:paraId="7BA22398" w14:textId="77777777" w:rsidR="00D806ED" w:rsidRDefault="00000000">
            <w:pPr>
              <w:pStyle w:val="Tabelleninhalt"/>
              <w:keepNext/>
              <w:jc w:val="right"/>
            </w:pPr>
            <w:r>
              <w:t>0 %</w:t>
            </w:r>
          </w:p>
        </w:tc>
      </w:tr>
      <w:tr w:rsidR="00D806ED" w14:paraId="66F95130" w14:textId="77777777">
        <w:trPr>
          <w:cantSplit/>
        </w:trPr>
        <w:tc>
          <w:tcPr>
            <w:tcW w:w="889" w:type="dxa"/>
          </w:tcPr>
          <w:p w14:paraId="2A23E30C" w14:textId="77777777" w:rsidR="00D806ED" w:rsidRDefault="00000000">
            <w:pPr>
              <w:pStyle w:val="Tabelleninhalt"/>
              <w:keepNext/>
            </w:pPr>
            <w:r>
              <w:t>Total</w:t>
            </w:r>
          </w:p>
        </w:tc>
        <w:tc>
          <w:tcPr>
            <w:tcW w:w="2211" w:type="dxa"/>
          </w:tcPr>
          <w:p w14:paraId="3DCA1E06" w14:textId="77777777" w:rsidR="00D806ED" w:rsidRDefault="00000000">
            <w:pPr>
              <w:pStyle w:val="Tabelleninhalt"/>
              <w:keepNext/>
              <w:jc w:val="right"/>
            </w:pPr>
            <w:r>
              <w:t>28,3 %</w:t>
            </w:r>
          </w:p>
        </w:tc>
        <w:tc>
          <w:tcPr>
            <w:tcW w:w="1734" w:type="dxa"/>
          </w:tcPr>
          <w:p w14:paraId="0DEE9DC8" w14:textId="77777777" w:rsidR="00D806ED" w:rsidRDefault="00000000">
            <w:pPr>
              <w:pStyle w:val="Tabelleninhalt"/>
              <w:keepNext/>
              <w:jc w:val="right"/>
            </w:pPr>
            <w:r>
              <w:t>100 %</w:t>
            </w:r>
          </w:p>
        </w:tc>
        <w:tc>
          <w:tcPr>
            <w:tcW w:w="1801" w:type="dxa"/>
          </w:tcPr>
          <w:p w14:paraId="1627ADB8" w14:textId="77777777" w:rsidR="00D806ED" w:rsidRDefault="00000000">
            <w:pPr>
              <w:pStyle w:val="Tabelleninhalt"/>
              <w:keepNext/>
              <w:jc w:val="right"/>
            </w:pPr>
            <w:r>
              <w:t>79 → 14</w:t>
            </w:r>
          </w:p>
        </w:tc>
        <w:tc>
          <w:tcPr>
            <w:tcW w:w="1433" w:type="dxa"/>
          </w:tcPr>
          <w:p w14:paraId="0B4017D5" w14:textId="77777777" w:rsidR="00D806ED" w:rsidRDefault="00000000">
            <w:pPr>
              <w:pStyle w:val="Tabelleninhalt"/>
              <w:keepNext/>
              <w:jc w:val="right"/>
            </w:pPr>
            <w:r>
              <w:t>3,5 → 20,7</w:t>
            </w:r>
          </w:p>
        </w:tc>
        <w:tc>
          <w:tcPr>
            <w:tcW w:w="1001" w:type="dxa"/>
          </w:tcPr>
          <w:p w14:paraId="34DEEB65" w14:textId="77777777" w:rsidR="00D806ED" w:rsidRDefault="00000000">
            <w:pPr>
              <w:pStyle w:val="Tabelleninhalt"/>
              <w:keepNext/>
              <w:jc w:val="right"/>
            </w:pPr>
            <w:r>
              <w:t>83 %</w:t>
            </w:r>
          </w:p>
        </w:tc>
      </w:tr>
    </w:tbl>
    <w:p w14:paraId="05AC93EE" w14:textId="77777777" w:rsidR="00D806ED" w:rsidRDefault="00000000">
      <w:pPr>
        <w:pStyle w:val="Quellenangabe"/>
      </w:pPr>
      <w:r>
        <w:t xml:space="preserve">Quelle: Eigene Berechnung, Daten: </w:t>
      </w:r>
      <w:r>
        <w:rPr>
          <w:i/>
          <w:iCs/>
        </w:rPr>
        <w:t>Daten-ABC-Analyse-Grofu</w:t>
      </w:r>
      <w:r>
        <w:t xml:space="preserve"> (o. J.); Annahme A20.</w:t>
      </w:r>
    </w:p>
    <w:p w14:paraId="48B3BDBE" w14:textId="77777777" w:rsidR="00D806ED" w:rsidRDefault="00000000">
      <w:pPr>
        <w:pStyle w:val="Abbildung"/>
      </w:pPr>
      <w:bookmarkStart w:id="108" w:name="fig%3Aanh-bestand"/>
      <w:r>
        <w:rPr>
          <w:noProof/>
        </w:rPr>
        <w:lastRenderedPageBreak/>
        <w:drawing>
          <wp:inline distT="0" distB="0" distL="0" distR="0" wp14:anchorId="39A54A18" wp14:editId="15183F6E">
            <wp:extent cx="4890135" cy="1940560"/>
            <wp:effectExtent l="0" t="0" r="0" b="0"/>
            <wp:docPr id="10" name="Image9" descr="Losgrössenbestand Ist und Soll nach ABC-Kl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Losgrössenbestand Ist und Soll nach ABC-Klasse"/>
                    <pic:cNvPicPr>
                      <a:picLocks noChangeAspect="1" noChangeArrowheads="1"/>
                    </pic:cNvPicPr>
                  </pic:nvPicPr>
                  <pic:blipFill>
                    <a:blip r:embed="rId18"/>
                    <a:stretch>
                      <a:fillRect/>
                    </a:stretch>
                  </pic:blipFill>
                  <pic:spPr bwMode="auto">
                    <a:xfrm>
                      <a:off x="0" y="0"/>
                      <a:ext cx="4890135" cy="1940560"/>
                    </a:xfrm>
                    <a:prstGeom prst="rect">
                      <a:avLst/>
                    </a:prstGeom>
                    <a:noFill/>
                  </pic:spPr>
                </pic:pic>
              </a:graphicData>
            </a:graphic>
          </wp:inline>
        </w:drawing>
      </w:r>
    </w:p>
    <w:p w14:paraId="32830947" w14:textId="33697C19" w:rsidR="00D806ED" w:rsidRDefault="00000000">
      <w:pPr>
        <w:pStyle w:val="Beschriftung"/>
        <w:keepNext/>
        <w:jc w:val="center"/>
      </w:pPr>
      <w:bookmarkStart w:id="109" w:name="_Toc243824178"/>
      <w:r>
        <w:t xml:space="preserve">Abbildung </w:t>
      </w:r>
      <w:fldSimple w:instr=" SEQ Abbildung \* ARABIC ">
        <w:r>
          <w:rPr>
            <w:noProof/>
          </w:rPr>
          <w:t>9</w:t>
        </w:r>
      </w:fldSimple>
      <w:r>
        <w:t>: Losgrössenbestand Ist und Soll nach ABC-Klasse</w:t>
      </w:r>
      <w:bookmarkEnd w:id="108"/>
      <w:bookmarkEnd w:id="109"/>
    </w:p>
    <w:p w14:paraId="6807A7CE" w14:textId="77777777" w:rsidR="00D806ED" w:rsidRDefault="00000000">
      <w:pPr>
        <w:pStyle w:val="Quellenangabe"/>
      </w:pPr>
      <w:r>
        <w:t xml:space="preserve">Quelle: Eigene Darstellung, Daten: </w:t>
      </w:r>
      <w:r>
        <w:rPr>
          <w:i/>
          <w:iCs/>
        </w:rPr>
        <w:t>Daten-ABC-Analyse-Grofu</w:t>
      </w:r>
      <w:r>
        <w:t xml:space="preserve"> (o. J.); Annahme A20.</w:t>
      </w:r>
    </w:p>
    <w:p w14:paraId="08BD80D3" w14:textId="77777777" w:rsidR="00D806ED" w:rsidRDefault="00000000">
      <w:pPr>
        <w:pStyle w:val="Textkrper"/>
      </w:pPr>
      <w:r>
        <w:t xml:space="preserve">Varianten: Mit 12 bzw. 6 Abrufen sinkt der Losgrössenbestand um 75 %, mit 52 bzw. 12 um 86 %; zusätzlich vier Abrufe pro Jahr für C-Teile ergäben 88 %. Die Übertragung auf den Gesamtbestand </w:t>
      </w:r>
      <w:r>
        <w:rPr>
          <w:shd w:val="clear" w:color="auto" w:fill="DDEBF7"/>
        </w:rPr>
        <w:t xml:space="preserve">zeigt Tabelle 15</w:t>
      </w:r>
      <w:r>
        <w:t xml:space="preserve">; sie hängt vom Anteil des Losgrössenbestands am Gesamtbestand ab, </w:t>
      </w:r>
      <w:r>
        <w:rPr/>
        <w:t xml:space="preserve">der in den Daten fehlt (Annahme A21).</w:t>
      </w:r>
      <w:r>
        <w:rPr>
          <w:shd w:val="clear" w:color="auto" w:fill="DDEBF7"/>
        </w:rPr>
        <w:t xml:space="preserve"> Der Umschlag von 3,5 gilt nur für den Losgrössenbestand; bei einem Anteil von 40–50 % am Gesamtbestand beträgt der Umschlag des Gesamtbestands 3,53 × 0,4 bis 0,5 = 1,4–1,8 pro Jahr.</w:t>
      </w:r>
    </w:p>
    <w:p w14:paraId="6903E336" w14:textId="743D86E6" w:rsidR="00D806ED" w:rsidRDefault="00000000">
      <w:pPr>
        <w:pStyle w:val="Beschriftung"/>
        <w:keepNext/>
      </w:pPr>
      <w:bookmarkStart w:id="110" w:name="_Toc243824222"/>
      <w:r>
        <w:t xml:space="preserve">Tabelle </w:t>
      </w:r>
      <w:fldSimple w:instr=" SEQ Tabelle \* ARABIC ">
        <w:r>
          <w:rPr>
            <w:noProof/>
          </w:rPr>
          <w:t>15</w:t>
        </w:r>
      </w:fldSimple>
      <w:r>
        <w:t>: Sensitivität der Bestandssenkung (C-Teile mit 0 % gerechnet)</w:t>
      </w:r>
      <w:bookmarkEnd w:id="110"/>
    </w:p>
    <w:tbl>
      <w:tblPr>
        <w:tblStyle w:val="Tabellenraster"/>
        <w:tblW w:w="9070" w:type="dxa"/>
        <w:tblInd w:w="113" w:type="dxa"/>
        <w:tblLayout w:type="fixed"/>
        <w:tblLook w:val="0020" w:firstRow="1" w:lastRow="0" w:firstColumn="0" w:lastColumn="0" w:noHBand="0" w:noVBand="0"/>
      </w:tblPr>
      <w:tblGrid>
        <w:gridCol w:w="5978"/>
        <w:gridCol w:w="772"/>
        <w:gridCol w:w="773"/>
        <w:gridCol w:w="774"/>
        <w:gridCol w:w="773"/>
      </w:tblGrid>
      <w:tr w:rsidR="00D806ED" w14:paraId="1D8D80B0" w14:textId="77777777">
        <w:trPr>
          <w:tblHeader/>
        </w:trPr>
        <w:tc>
          <w:tcPr>
            <w:tcW w:w="5978" w:type="dxa"/>
            <w:shd w:val="clear" w:color="auto" w:fill="D9D9D9"/>
          </w:tcPr>
          <w:p w14:paraId="5530702C" w14:textId="77777777" w:rsidR="00D806ED" w:rsidRDefault="00000000">
            <w:pPr>
              <w:pStyle w:val="Tabelleninhalt"/>
              <w:keepNext/>
            </w:pPr>
            <w:r>
              <w:rPr>
                <w:b/>
              </w:rPr>
              <w:t>Anteil Losgrössenbestand am Gesamtbestand (Annahme A21)</w:t>
            </w:r>
          </w:p>
        </w:tc>
        <w:tc>
          <w:tcPr>
            <w:tcW w:w="772" w:type="dxa"/>
            <w:shd w:val="clear" w:color="auto" w:fill="D9D9D9"/>
          </w:tcPr>
          <w:p w14:paraId="3E4C34DB" w14:textId="77777777" w:rsidR="00D806ED" w:rsidRDefault="00000000">
            <w:pPr>
              <w:pStyle w:val="Tabelleninhalt"/>
              <w:keepNext/>
              <w:jc w:val="right"/>
            </w:pPr>
            <w:r>
              <w:rPr>
                <w:b/>
              </w:rPr>
              <w:t>30 %</w:t>
            </w:r>
          </w:p>
        </w:tc>
        <w:tc>
          <w:tcPr>
            <w:tcW w:w="773" w:type="dxa"/>
            <w:shd w:val="clear" w:color="auto" w:fill="D9D9D9"/>
          </w:tcPr>
          <w:p w14:paraId="0C948C7B" w14:textId="77777777" w:rsidR="00D806ED" w:rsidRDefault="00000000">
            <w:pPr>
              <w:pStyle w:val="Tabelleninhalt"/>
              <w:keepNext/>
              <w:jc w:val="right"/>
            </w:pPr>
            <w:r>
              <w:rPr>
                <w:b/>
              </w:rPr>
              <w:t>40 %</w:t>
            </w:r>
          </w:p>
        </w:tc>
        <w:tc>
          <w:tcPr>
            <w:tcW w:w="774" w:type="dxa"/>
            <w:shd w:val="clear" w:color="auto" w:fill="D9D9D9"/>
          </w:tcPr>
          <w:p w14:paraId="39DDF2C5" w14:textId="77777777" w:rsidR="00D806ED" w:rsidRDefault="00000000">
            <w:pPr>
              <w:pStyle w:val="Tabelleninhalt"/>
              <w:keepNext/>
              <w:jc w:val="right"/>
            </w:pPr>
            <w:r>
              <w:rPr>
                <w:b/>
              </w:rPr>
              <w:t>50 %</w:t>
            </w:r>
          </w:p>
        </w:tc>
        <w:tc>
          <w:tcPr>
            <w:tcW w:w="773" w:type="dxa"/>
            <w:shd w:val="clear" w:color="auto" w:fill="D9D9D9"/>
          </w:tcPr>
          <w:p w14:paraId="12B7503A" w14:textId="77777777" w:rsidR="00D806ED" w:rsidRDefault="00000000">
            <w:pPr>
              <w:pStyle w:val="Tabelleninhalt"/>
              <w:keepNext/>
              <w:jc w:val="right"/>
            </w:pPr>
            <w:r>
              <w:rPr>
                <w:b/>
              </w:rPr>
              <w:t>60 %</w:t>
            </w:r>
          </w:p>
        </w:tc>
      </w:tr>
      <w:tr w:rsidR="00D806ED" w14:paraId="59BF96B8" w14:textId="77777777">
        <w:trPr>
          <w:cantSplit/>
        </w:trPr>
        <w:tc>
          <w:tcPr>
            <w:tcW w:w="5978" w:type="dxa"/>
          </w:tcPr>
          <w:p w14:paraId="588E9B94" w14:textId="77777777" w:rsidR="00D806ED" w:rsidRDefault="00000000">
            <w:pPr>
              <w:pStyle w:val="Tabelleninhalt"/>
              <w:keepNext/>
            </w:pPr>
            <w:r>
              <w:t>Senkung Gesamtbestand, konservativ (A 12 / B 6 Abrufe)</w:t>
            </w:r>
          </w:p>
        </w:tc>
        <w:tc>
          <w:tcPr>
            <w:tcW w:w="772" w:type="dxa"/>
          </w:tcPr>
          <w:p w14:paraId="71F36D15" w14:textId="77777777" w:rsidR="00D806ED" w:rsidRDefault="00000000">
            <w:pPr>
              <w:pStyle w:val="Tabelleninhalt"/>
              <w:keepNext/>
              <w:jc w:val="right"/>
            </w:pPr>
            <w:r>
              <w:t>22 %</w:t>
            </w:r>
          </w:p>
        </w:tc>
        <w:tc>
          <w:tcPr>
            <w:tcW w:w="773" w:type="dxa"/>
          </w:tcPr>
          <w:p w14:paraId="22ACA32F" w14:textId="77777777" w:rsidR="00D806ED" w:rsidRDefault="00000000">
            <w:pPr>
              <w:pStyle w:val="Tabelleninhalt"/>
              <w:keepNext/>
              <w:jc w:val="right"/>
            </w:pPr>
            <w:r>
              <w:t>30 %</w:t>
            </w:r>
          </w:p>
        </w:tc>
        <w:tc>
          <w:tcPr>
            <w:tcW w:w="774" w:type="dxa"/>
          </w:tcPr>
          <w:p w14:paraId="53FD12EC" w14:textId="77777777" w:rsidR="00D806ED" w:rsidRDefault="00000000">
            <w:pPr>
              <w:pStyle w:val="Tabelleninhalt"/>
              <w:keepNext/>
              <w:jc w:val="right"/>
            </w:pPr>
            <w:r>
              <w:t>37 %</w:t>
            </w:r>
          </w:p>
        </w:tc>
        <w:tc>
          <w:tcPr>
            <w:tcW w:w="773" w:type="dxa"/>
          </w:tcPr>
          <w:p w14:paraId="2ECBC133" w14:textId="77777777" w:rsidR="00D806ED" w:rsidRDefault="00000000">
            <w:pPr>
              <w:pStyle w:val="Tabelleninhalt"/>
              <w:keepNext/>
              <w:jc w:val="right"/>
            </w:pPr>
            <w:r>
              <w:t>45 %</w:t>
            </w:r>
          </w:p>
        </w:tc>
      </w:tr>
      <w:tr w:rsidR="00D806ED" w14:paraId="6E97EAB8" w14:textId="77777777">
        <w:trPr>
          <w:cantSplit/>
        </w:trPr>
        <w:tc>
          <w:tcPr>
            <w:tcW w:w="5978" w:type="dxa"/>
          </w:tcPr>
          <w:p w14:paraId="2605FED7" w14:textId="77777777" w:rsidR="00D806ED" w:rsidRDefault="00000000">
            <w:pPr>
              <w:pStyle w:val="Tabelleninhalt"/>
              <w:keepNext/>
            </w:pPr>
            <w:r>
              <w:t>Senkung Gesamtbestand, Szenario (A 24 / B 12 Abrufe)</w:t>
            </w:r>
          </w:p>
        </w:tc>
        <w:tc>
          <w:tcPr>
            <w:tcW w:w="772" w:type="dxa"/>
          </w:tcPr>
          <w:p w14:paraId="4F0E4A75" w14:textId="77777777" w:rsidR="00D806ED" w:rsidRDefault="00000000">
            <w:pPr>
              <w:pStyle w:val="Tabelleninhalt"/>
              <w:keepNext/>
              <w:jc w:val="right"/>
            </w:pPr>
            <w:r>
              <w:t>25 %</w:t>
            </w:r>
          </w:p>
        </w:tc>
        <w:tc>
          <w:tcPr>
            <w:tcW w:w="773" w:type="dxa"/>
          </w:tcPr>
          <w:p w14:paraId="724B47DD" w14:textId="77777777" w:rsidR="00D806ED" w:rsidRDefault="00000000">
            <w:pPr>
              <w:pStyle w:val="Tabelleninhalt"/>
              <w:keepNext/>
              <w:jc w:val="right"/>
            </w:pPr>
            <w:r>
              <w:t>33 %</w:t>
            </w:r>
          </w:p>
        </w:tc>
        <w:tc>
          <w:tcPr>
            <w:tcW w:w="774" w:type="dxa"/>
          </w:tcPr>
          <w:p w14:paraId="4D10CF90" w14:textId="77777777" w:rsidR="00D806ED" w:rsidRDefault="00000000">
            <w:pPr>
              <w:pStyle w:val="Tabelleninhalt"/>
              <w:keepNext/>
              <w:jc w:val="right"/>
            </w:pPr>
            <w:r>
              <w:t>41 %</w:t>
            </w:r>
          </w:p>
        </w:tc>
        <w:tc>
          <w:tcPr>
            <w:tcW w:w="773" w:type="dxa"/>
          </w:tcPr>
          <w:p w14:paraId="18F79EE8" w14:textId="77777777" w:rsidR="00D806ED" w:rsidRDefault="00000000">
            <w:pPr>
              <w:pStyle w:val="Tabelleninhalt"/>
              <w:keepNext/>
              <w:jc w:val="right"/>
            </w:pPr>
            <w:r>
              <w:t>50 %</w:t>
            </w:r>
          </w:p>
        </w:tc>
      </w:tr>
    </w:tbl>
    <w:p w14:paraId="551476C6" w14:textId="77777777" w:rsidR="00D806ED" w:rsidRDefault="00000000">
      <w:pPr>
        <w:pStyle w:val="Quellenangabe"/>
      </w:pPr>
      <w:r>
        <w:t xml:space="preserve">Quelle: Eigene Berechnung, Daten: </w:t>
      </w:r>
      <w:r>
        <w:rPr>
          <w:i/>
          <w:iCs/>
        </w:rPr>
        <w:t>Daten-ABC-Analyse-Grofu</w:t>
      </w:r>
      <w:r>
        <w:t xml:space="preserve"> (o. J.); Annahmen A20 und A21.</w:t>
      </w:r>
    </w:p>
    <w:p w14:paraId="0D1D735B" w14:textId="77777777" w:rsidR="00D806ED" w:rsidRDefault="00000000">
      <w:pPr>
        <w:pStyle w:val="berschrift3"/>
        <w:numPr>
          <w:ilvl w:val="0"/>
          <w:numId w:val="0"/>
        </w:numPr>
      </w:pPr>
      <w:r>
        <w:t>Fallstudien-Rechnungen</w:t>
      </w:r>
    </w:p>
    <w:p w14:paraId="3DDF3357" w14:textId="77777777" w:rsidR="00D806ED" w:rsidRDefault="00000000">
      <w:pPr>
        <w:pStyle w:val="Textkrper"/>
      </w:pPr>
      <w:r>
        <w:rPr>
          <w:b/>
          <w:bCs/>
        </w:rPr>
        <w:t>Kommissionierung</w:t>
      </w:r>
      <w:r>
        <w:t xml:space="preserve"> (HWZ, o. J., S. 6): 14 Mrd. Teile / 1 000 Teile je Pick = 14 Mio. Picks pro Jahr = 50 000 Picks pro AT. Bei 500 Picks je Person und Tag sind das 28 000 Manntage bzw. 100 Personen bei 280 AT. Die 600 Personen im Ist leisten 14 Mio. / (600 × 280) = 83 Picks je Person und Tag, also ein Sechstel des Referenzwerts; das Reduktionspotenzial beträgt 500 Personen (−83 %). Mit der Stückzahl der Daten (14,75 Mrd.) </w:t>
      </w:r>
      <w:r>
        <w:rPr/>
        <w:t xml:space="preserve">wären es 105 Personen.</w:t>
      </w:r>
      <w:r>
        <w:rPr>
          <w:shd w:val="clear" w:color="auto" w:fill="DDEBF7"/>
        </w:rPr>
        <w:t xml:space="preserve"> Soll (Annahmen A4, A27): Lokale C-Teile tragen 86,3 % der Stückzahl, also 12,1 Mio. Picks; in der Anlage verbleiben 1,9 Mio. Picks, das sind 1,9 Mio. ÷ (500 × 280) = 14 Personen. Beim C-Teile-Partner fallen 12,1 Mio. ÷ 5 bis 12,1 Mio. ÷ 1 = 2,4–12,1 Mio. Nachfüllvorgänge an, das sind 17–86 Personen.</w:t>
      </w:r>
    </w:p>
    <w:p w14:paraId="36C15CCF" w14:textId="77777777" w:rsidR="00D806ED" w:rsidRDefault="00000000">
      <w:pPr>
        <w:pStyle w:val="Textkrper"/>
      </w:pPr>
      <w:r>
        <w:rPr>
          <w:b/>
          <w:bCs/>
        </w:rPr>
        <w:t>Lager 2</w:t>
      </w:r>
      <w:r>
        <w:t xml:space="preserve"> </w:t>
      </w:r>
      <w:r>
        <w:rPr>
          <w:shd w:val="clear" w:color="auto" w:fill="DDEBF7"/>
        </w:rPr>
        <w:t xml:space="preserve">(HWZ, o. J., S. 3; Annahmen A1, A3)</w:t>
      </w:r>
      <w:r>
        <w:t xml:space="preserve">: 2–4 Wochen × 280/52 AT = 10,8–21,5 AT Reichweite. Senkung auf 3 AT = 1 − 3/10,8 bzw. 1 − 3/21,5 = 72–86 %; Lagerumschlag 280/21,5 = 13 bzw. 280/10,8 = 26 pro Jahr gegenüber 280/3 = 93 im Soll. Vom Vorlauf von 3 AT entfallen 2 AT (67 %) auf die Umlagerung (Annahme A2).</w:t>
      </w:r>
    </w:p>
    <w:p w14:paraId="331240A0" w14:textId="77777777" w:rsidR="00D806ED" w:rsidRDefault="00000000">
      <w:pPr>
        <w:pStyle w:val="Textkrper"/>
      </w:pPr>
      <w:r>
        <w:rPr>
          <w:b/>
          <w:bCs/>
        </w:rPr>
        <w:t>Lager 4</w:t>
      </w:r>
      <w:r>
        <w:t xml:space="preserve"> (HWZ, o. J., S. 4; Annahme A22): 400 Sendungen × 280 bzw. 365 Tage = 112 000–146 000 Sendungen pro Jahr bei 14 533 Overseas-Bestellungen = 7,7–10 Sendungen je Bestellung.</w:t>
      </w:r>
    </w:p>
    <w:p w14:paraId="5E460248" w14:textId="77777777" w:rsidR="00D806ED" w:rsidRDefault="00000000">
      <w:pPr>
        <w:pStyle w:val="Textkrper"/>
      </w:pPr>
      <w:r>
        <w:rPr>
          <w:b/>
          <w:bCs/>
        </w:rPr>
        <w:t>Service und Distribution</w:t>
      </w:r>
      <w:r>
        <w:t xml:space="preserve"> (HWZ, o. J., S. 5–7): Liefertreue 55 % → 45 % verspätete Aufträge; Lieferzeit +30–50 % → nötige Verkürzung 1 − 1/1,3 = 23 % bzw. 1 − 1/1,5 = 33 %; Frachtkosten = 84 % des Nettogewinns → jede Frachtkostensenkung um 10 % erhöht den Nettogewinn des OEM-Segments um 8,4 %.</w:t>
      </w:r>
    </w:p>
    <w:p w14:paraId="3ED25AEC" w14:textId="77777777" w:rsidR="00D806ED" w:rsidRDefault="00000000">
      <w:pPr>
        <w:pStyle w:val="berschrift3"/>
        <w:numPr>
          <w:ilvl w:val="0"/>
          <w:numId w:val="0"/>
        </w:numPr>
      </w:pPr>
      <w:r>
        <w:lastRenderedPageBreak/>
        <w:t>Reproduzierbarkeit</w:t>
      </w:r>
    </w:p>
    <w:p w14:paraId="26F6F69D" w14:textId="77777777" w:rsidR="00D806ED" w:rsidRDefault="00000000">
      <w:pPr>
        <w:pStyle w:val="Textkrper"/>
      </w:pPr>
      <w:r>
        <w:t xml:space="preserve">Die Auswertung läuft mit Python 3 (pandas, xlrd, matplotlib): python analyse/abc_analyse.py erzeugt alle Tabellen in analyse/, die Diagramme in abbildungen/ und analyse/kennzahlen.csv; python abbildungen/ist_materialfluss.py zeichnet den Ist-Materialfluss. Eine Dateiübersicht steht in analyse/README.md.</w:t>
      </w:r>
    </w:p>
    <w:p w14:paraId="6B5FA792" w14:textId="77777777" w:rsidR="00D806ED" w:rsidRDefault="00000000">
      <w:pPr>
        <w:pStyle w:val="berschrift2"/>
        <w:numPr>
          <w:ilvl w:val="0"/>
          <w:numId w:val="0"/>
        </w:numPr>
      </w:pPr>
      <w:bookmarkStart w:id="111" w:name="_Toc243825061"/>
      <w:r>
        <w:t>Anhang B: Herleitung der Nutzwertanalyse Block 1</w:t>
      </w:r>
      <w:bookmarkEnd w:id="111"/>
    </w:p>
    <w:p w14:paraId="4FAC7144" w14:textId="77777777" w:rsidR="00D806ED" w:rsidRDefault="00000000">
      <w:pPr>
        <w:pStyle w:val="Textkrper"/>
      </w:pPr>
      <w:r>
        <w:t>Für alle Varianten gilt P3 (Pull, Lager 2 aufgelöst). Bewertet wird nur die Importroute mit dem Zollkonzept.</w:t>
      </w:r>
    </w:p>
    <w:p w14:paraId="258226D4" w14:textId="7FDE49F6" w:rsidR="00D806ED" w:rsidRDefault="00000000">
      <w:pPr>
        <w:pStyle w:val="Beschriftung"/>
        <w:keepNext/>
      </w:pPr>
      <w:bookmarkStart w:id="112" w:name="_Toc243824223"/>
      <w:r>
        <w:t xml:space="preserve">Tabelle </w:t>
      </w:r>
      <w:fldSimple w:instr=" SEQ Tabelle \* ARABIC ">
        <w:r>
          <w:rPr>
            <w:noProof/>
          </w:rPr>
          <w:t>16</w:t>
        </w:r>
      </w:fldSimple>
      <w:r>
        <w:t>: Nutzwertanalyse Importroute: Bewertung (1–5) und Begründung je Kriterium</w:t>
      </w:r>
      <w:bookmarkEnd w:id="112"/>
    </w:p>
    <w:tbl>
      <w:tblPr>
        <w:tblStyle w:val="Tabellenraster"/>
        <w:tblW w:w="9068" w:type="dxa"/>
        <w:tblInd w:w="70" w:type="dxa"/>
        <w:tblLayout w:type="fixed"/>
        <w:tblCellMar>
          <w:left w:w="65" w:type="dxa"/>
          <w:right w:w="65" w:type="dxa"/>
        </w:tblCellMar>
        <w:tblLook w:val="0020" w:firstRow="1" w:lastRow="0" w:firstColumn="0" w:lastColumn="0" w:noHBand="0" w:noVBand="0"/>
      </w:tblPr>
      <w:tblGrid>
        <w:gridCol w:w="1643"/>
        <w:gridCol w:w="1787"/>
        <w:gridCol w:w="1603"/>
        <w:gridCol w:w="2063"/>
        <w:gridCol w:w="1972"/>
      </w:tblGrid>
      <w:tr w:rsidR="00D806ED" w14:paraId="1C686455" w14:textId="77777777">
        <w:trPr>
          <w:tblHeader/>
        </w:trPr>
        <w:tc>
          <w:tcPr>
            <w:tcW w:w="1643" w:type="dxa"/>
            <w:shd w:val="clear" w:color="auto" w:fill="D9D9D9"/>
          </w:tcPr>
          <w:p w14:paraId="0D1866CA" w14:textId="77777777" w:rsidR="00D806ED" w:rsidRDefault="00000000">
            <w:pPr>
              <w:pStyle w:val="Tabelleninhaltklein"/>
            </w:pPr>
            <w:r>
              <w:rPr>
                <w:b/>
              </w:rPr>
              <w:t>Kriterium</w:t>
            </w:r>
          </w:p>
        </w:tc>
        <w:tc>
          <w:tcPr>
            <w:tcW w:w="1787" w:type="dxa"/>
            <w:shd w:val="clear" w:color="auto" w:fill="D9D9D9"/>
          </w:tcPr>
          <w:p w14:paraId="7C2C09B4" w14:textId="77777777" w:rsidR="00D806ED" w:rsidRDefault="00000000">
            <w:pPr>
              <w:pStyle w:val="Tabelleninhaltklein"/>
            </w:pPr>
            <w:r>
              <w:rPr>
                <w:b/>
              </w:rPr>
              <w:t>V1 Karatschi</w:t>
            </w:r>
          </w:p>
        </w:tc>
        <w:tc>
          <w:tcPr>
            <w:tcW w:w="1603" w:type="dxa"/>
            <w:shd w:val="clear" w:color="auto" w:fill="D9D9D9"/>
          </w:tcPr>
          <w:p w14:paraId="407D32AE" w14:textId="77777777" w:rsidR="00D806ED" w:rsidRDefault="00000000">
            <w:pPr>
              <w:pStyle w:val="Tabelleninhaltklein"/>
            </w:pPr>
            <w:r>
              <w:rPr>
                <w:b/>
              </w:rPr>
              <w:t>V2 Hafen-Hub Indien</w:t>
            </w:r>
          </w:p>
        </w:tc>
        <w:tc>
          <w:tcPr>
            <w:tcW w:w="2063" w:type="dxa"/>
            <w:shd w:val="clear" w:color="auto" w:fill="D9D9D9"/>
          </w:tcPr>
          <w:p w14:paraId="1E0E1375" w14:textId="77777777" w:rsidR="00D806ED" w:rsidRDefault="00000000">
            <w:pPr>
              <w:pStyle w:val="Tabelleninhaltklein"/>
            </w:pPr>
            <w:r>
              <w:rPr>
                <w:b/>
              </w:rPr>
              <w:t>V3 Zollverschluss im Werk</w:t>
            </w:r>
          </w:p>
        </w:tc>
        <w:tc>
          <w:tcPr>
            <w:tcW w:w="1972" w:type="dxa"/>
            <w:shd w:val="clear" w:color="auto" w:fill="D9D9D9"/>
          </w:tcPr>
          <w:p w14:paraId="1D0D259B" w14:textId="77777777" w:rsidR="00D806ED" w:rsidRDefault="00000000">
            <w:pPr>
              <w:pStyle w:val="Tabelleninhaltklein"/>
            </w:pPr>
            <w:r>
              <w:rPr>
                <w:b/>
              </w:rPr>
              <w:t>V4 Produktion Pakistan</w:t>
            </w:r>
          </w:p>
        </w:tc>
      </w:tr>
      <w:tr w:rsidR="00D806ED" w14:paraId="40C63540" w14:textId="77777777">
        <w:trPr>
          <w:cantSplit/>
        </w:trPr>
        <w:tc>
          <w:tcPr>
            <w:tcW w:w="1643" w:type="dxa"/>
          </w:tcPr>
          <w:p w14:paraId="6BDDCD1E" w14:textId="77777777" w:rsidR="00D806ED" w:rsidRDefault="00000000">
            <w:pPr>
              <w:pStyle w:val="Tabelleninhaltklein"/>
            </w:pPr>
            <w:r>
              <w:t>Lieferzeit (25 %)</w:t>
            </w:r>
          </w:p>
        </w:tc>
        <w:tc>
          <w:tcPr>
            <w:tcW w:w="1787" w:type="dxa"/>
          </w:tcPr>
          <w:p w14:paraId="3712F99A" w14:textId="77777777" w:rsidR="00D806ED" w:rsidRDefault="00000000">
            <w:pPr>
              <w:pStyle w:val="Tabelleninhaltklein"/>
            </w:pPr>
            <w:r>
              <w:t>3: nächster Seehafen (HWZ, o. J., S. 2), aber «extrem komplexe» Grenzabwicklung</w:t>
            </w:r>
          </w:p>
        </w:tc>
        <w:tc>
          <w:tcPr>
            <w:tcW w:w="1603" w:type="dxa"/>
          </w:tcPr>
          <w:p w14:paraId="6DFE4C9A" w14:textId="77777777" w:rsidR="00D806ED" w:rsidRDefault="00000000">
            <w:pPr>
              <w:pStyle w:val="Tabelleninhaltklein"/>
            </w:pPr>
            <w:r>
              <w:t xml:space="preserve">3: keine Grenze, aber längerer Landvorlauf (A30) und zusätzliche Hubstufe</w:t>
            </w:r>
          </w:p>
        </w:tc>
        <w:tc>
          <w:tcPr>
            <w:tcW w:w="2063" w:type="dxa"/>
          </w:tcPr>
          <w:p w14:paraId="4FCDB0F9" w14:textId="77777777" w:rsidR="00D806ED" w:rsidRDefault="00000000">
            <w:pPr>
              <w:pStyle w:val="Tabelleninhaltklein"/>
            </w:pPr>
            <w:r>
              <w:t>4: längerer Landvorlauf (A30), aber keine Zwischenlagerung</w:t>
            </w:r>
          </w:p>
        </w:tc>
        <w:tc>
          <w:tcPr>
            <w:tcW w:w="1972" w:type="dxa"/>
          </w:tcPr>
          <w:p w14:paraId="210B1235" w14:textId="77777777" w:rsidR="00D806ED" w:rsidRDefault="00000000">
            <w:pPr>
              <w:pStyle w:val="Tabelleninhaltklein"/>
            </w:pPr>
            <w:r>
              <w:t>1: zusätzlich jede SFG-Lieferung über die Grenze</w:t>
            </w:r>
          </w:p>
        </w:tc>
      </w:tr>
      <w:tr w:rsidR="00D806ED" w14:paraId="2681BD1E" w14:textId="77777777">
        <w:trPr>
          <w:cantSplit/>
        </w:trPr>
        <w:tc>
          <w:tcPr>
            <w:tcW w:w="1643" w:type="dxa"/>
          </w:tcPr>
          <w:p w14:paraId="0EF5A25B" w14:textId="77777777" w:rsidR="00D806ED" w:rsidRDefault="00000000">
            <w:pPr>
              <w:pStyle w:val="Tabelleninhaltklein"/>
            </w:pPr>
            <w:r>
              <w:t>Kosten (20 %)</w:t>
            </w:r>
          </w:p>
        </w:tc>
        <w:tc>
          <w:tcPr>
            <w:tcW w:w="1787" w:type="dxa"/>
          </w:tcPr>
          <w:p w14:paraId="00624931" w14:textId="77777777" w:rsidR="00D806ED" w:rsidRDefault="00000000">
            <w:pPr>
              <w:pStyle w:val="Tabelleninhaltklein"/>
            </w:pPr>
            <w:r>
              <w:t>3: kurze Distanz, aber Umschlag in Lager 4, Zoll beim Versand nach Indien</w:t>
            </w:r>
          </w:p>
        </w:tc>
        <w:tc>
          <w:tcPr>
            <w:tcW w:w="1603" w:type="dxa"/>
          </w:tcPr>
          <w:p w14:paraId="559E7EE4" w14:textId="77777777" w:rsidR="00D806ED" w:rsidRDefault="00000000">
            <w:pPr>
              <w:pStyle w:val="Tabelleninhaltklein"/>
            </w:pPr>
            <w:r>
              <w:t xml:space="preserve">3: Hubmiete, längerer Vorlauf</w:t>
            </w:r>
          </w:p>
        </w:tc>
        <w:tc>
          <w:tcPr>
            <w:tcW w:w="2063" w:type="dxa"/>
          </w:tcPr>
          <w:p w14:paraId="3C76E378" w14:textId="77777777" w:rsidR="00D806ED" w:rsidRDefault="00000000">
            <w:pPr>
              <w:pStyle w:val="Tabelleninhaltklein"/>
            </w:pPr>
            <w:r>
              <w:t>4: eine Stufe weniger, Zollerlass bei Export</w:t>
            </w:r>
          </w:p>
        </w:tc>
        <w:tc>
          <w:tcPr>
            <w:tcW w:w="1972" w:type="dxa"/>
          </w:tcPr>
          <w:p w14:paraId="38015760" w14:textId="77777777" w:rsidR="00D806ED" w:rsidRDefault="00000000">
            <w:pPr>
              <w:pStyle w:val="Tabelleninhaltklein"/>
            </w:pPr>
            <w:r>
              <w:t>3: Löhne evtl. tief, aber Grenz- und Lagerkosten</w:t>
            </w:r>
          </w:p>
        </w:tc>
      </w:tr>
      <w:tr w:rsidR="00D806ED" w14:paraId="26125249" w14:textId="77777777">
        <w:trPr>
          <w:cantSplit/>
        </w:trPr>
        <w:tc>
          <w:tcPr>
            <w:tcW w:w="1643" w:type="dxa"/>
          </w:tcPr>
          <w:p w14:paraId="5A40E710" w14:textId="77777777" w:rsidR="00D806ED" w:rsidRDefault="00000000">
            <w:pPr>
              <w:pStyle w:val="Tabelleninhaltklein"/>
            </w:pPr>
            <w:r>
              <w:t>Bestand/Kapital (20 %)</w:t>
            </w:r>
          </w:p>
        </w:tc>
        <w:tc>
          <w:tcPr>
            <w:tcW w:w="1787" w:type="dxa"/>
          </w:tcPr>
          <w:p w14:paraId="06ED2F60" w14:textId="77777777" w:rsidR="00D806ED" w:rsidRDefault="00000000">
            <w:pPr>
              <w:pStyle w:val="Tabelleninhaltklein"/>
            </w:pPr>
            <w:r>
              <w:t>2: Sammelbestand für den Grenzübertritt, zweite Stufe</w:t>
            </w:r>
          </w:p>
        </w:tc>
        <w:tc>
          <w:tcPr>
            <w:tcW w:w="1603" w:type="dxa"/>
          </w:tcPr>
          <w:p w14:paraId="543F3231" w14:textId="77777777" w:rsidR="00D806ED" w:rsidRDefault="00000000">
            <w:pPr>
              <w:pStyle w:val="Tabelleninhaltklein"/>
            </w:pPr>
            <w:r>
              <w:t>3: Hubbestand, Zoll erst bei Abruf</w:t>
            </w:r>
          </w:p>
        </w:tc>
        <w:tc>
          <w:tcPr>
            <w:tcW w:w="2063" w:type="dxa"/>
          </w:tcPr>
          <w:p w14:paraId="1775641C" w14:textId="77777777" w:rsidR="00D806ED" w:rsidRDefault="00000000">
            <w:pPr>
              <w:pStyle w:val="Tabelleninhaltklein"/>
            </w:pPr>
            <w:r>
              <w:t>5: eine Stufe, Zollaufschub bis zur Entnahme</w:t>
            </w:r>
          </w:p>
        </w:tc>
        <w:tc>
          <w:tcPr>
            <w:tcW w:w="1972" w:type="dxa"/>
          </w:tcPr>
          <w:p w14:paraId="0D8E45A4" w14:textId="77777777" w:rsidR="00D806ED" w:rsidRDefault="00000000">
            <w:pPr>
              <w:pStyle w:val="Tabelleninhaltklein"/>
            </w:pPr>
            <w:r>
              <w:t>1: drei Stufen</w:t>
            </w:r>
          </w:p>
        </w:tc>
      </w:tr>
      <w:tr w:rsidR="00D806ED" w14:paraId="2D3135CC" w14:textId="77777777">
        <w:trPr>
          <w:cantSplit/>
        </w:trPr>
        <w:tc>
          <w:tcPr>
            <w:tcW w:w="1643" w:type="dxa"/>
          </w:tcPr>
          <w:p w14:paraId="27EB8CB8" w14:textId="77777777" w:rsidR="00D806ED" w:rsidRDefault="00000000">
            <w:pPr>
              <w:pStyle w:val="Tabelleninhaltklein"/>
            </w:pPr>
            <w:r>
              <w:t>Flexibilität (10 %)</w:t>
            </w:r>
          </w:p>
        </w:tc>
        <w:tc>
          <w:tcPr>
            <w:tcW w:w="1787" w:type="dxa"/>
          </w:tcPr>
          <w:p w14:paraId="12822C4A" w14:textId="77777777" w:rsidR="00D806ED" w:rsidRDefault="00000000">
            <w:pPr>
              <w:pStyle w:val="Tabelleninhaltklein"/>
            </w:pPr>
            <w:r>
              <w:t>2: Sammeln für den Grenzübertritt erzwingt Batches</w:t>
            </w:r>
          </w:p>
        </w:tc>
        <w:tc>
          <w:tcPr>
            <w:tcW w:w="1603" w:type="dxa"/>
          </w:tcPr>
          <w:p w14:paraId="26E9C443" w14:textId="77777777" w:rsidR="00D806ED" w:rsidRDefault="00000000">
            <w:pPr>
              <w:pStyle w:val="Tabelleninhaltklein"/>
            </w:pPr>
            <w:r>
              <w:t>3: Abruf aus dem Hub</w:t>
            </w:r>
          </w:p>
        </w:tc>
        <w:tc>
          <w:tcPr>
            <w:tcW w:w="2063" w:type="dxa"/>
          </w:tcPr>
          <w:p w14:paraId="711B0CB6" w14:textId="77777777" w:rsidR="00D806ED" w:rsidRDefault="00000000">
            <w:pPr>
              <w:pStyle w:val="Tabelleninhaltklein"/>
            </w:pPr>
            <w:r>
              <w:t>3: Containerrhythmus, Konsolidierung am Ursprung</w:t>
            </w:r>
          </w:p>
        </w:tc>
        <w:tc>
          <w:tcPr>
            <w:tcW w:w="1972" w:type="dxa"/>
          </w:tcPr>
          <w:p w14:paraId="35C3A22C" w14:textId="77777777" w:rsidR="00D806ED" w:rsidRDefault="00000000">
            <w:pPr>
              <w:pStyle w:val="Tabelleninhaltklein"/>
            </w:pPr>
            <w:r>
              <w:t>1: zwei Länder, zwei Planungen</w:t>
            </w:r>
          </w:p>
        </w:tc>
      </w:tr>
      <w:tr w:rsidR="00D806ED" w14:paraId="52093271" w14:textId="77777777">
        <w:trPr>
          <w:cantSplit/>
        </w:trPr>
        <w:tc>
          <w:tcPr>
            <w:tcW w:w="1643" w:type="dxa"/>
          </w:tcPr>
          <w:p w14:paraId="53E99558" w14:textId="77777777" w:rsidR="00D806ED" w:rsidRDefault="00000000">
            <w:pPr>
              <w:pStyle w:val="Tabelleninhaltklein"/>
            </w:pPr>
            <w:r>
              <w:t>SC-Risiken (15 %)</w:t>
            </w:r>
          </w:p>
        </w:tc>
        <w:tc>
          <w:tcPr>
            <w:tcW w:w="1787" w:type="dxa"/>
          </w:tcPr>
          <w:p w14:paraId="431340B0" w14:textId="77777777" w:rsidR="00D806ED" w:rsidRDefault="00000000">
            <w:pPr>
              <w:pStyle w:val="Tabelleninhaltklein"/>
            </w:pPr>
            <w:r>
              <w:t>2: eine politische Grenze als SPOF</w:t>
            </w:r>
          </w:p>
        </w:tc>
        <w:tc>
          <w:tcPr>
            <w:tcW w:w="1603" w:type="dxa"/>
          </w:tcPr>
          <w:p w14:paraId="54A5731B" w14:textId="77777777" w:rsidR="00D806ED" w:rsidRDefault="00000000">
            <w:pPr>
              <w:pStyle w:val="Tabelleninhaltklein"/>
            </w:pPr>
            <w:r>
              <w:t>4: mehrere Häfen als Ausweichroute</w:t>
            </w:r>
          </w:p>
        </w:tc>
        <w:tc>
          <w:tcPr>
            <w:tcW w:w="2063" w:type="dxa"/>
          </w:tcPr>
          <w:p w14:paraId="6A3DC479" w14:textId="77777777" w:rsidR="00D806ED" w:rsidRDefault="00000000">
            <w:pPr>
              <w:pStyle w:val="Tabelleninhaltklein"/>
            </w:pPr>
            <w:r>
              <w:t>4: wie V2, Bestand an einem Ort konzentriert</w:t>
            </w:r>
          </w:p>
        </w:tc>
        <w:tc>
          <w:tcPr>
            <w:tcW w:w="1972" w:type="dxa"/>
          </w:tcPr>
          <w:p w14:paraId="5EA744D9" w14:textId="77777777" w:rsidR="00D806ED" w:rsidRDefault="00000000">
            <w:pPr>
              <w:pStyle w:val="Tabelleninhaltklein"/>
            </w:pPr>
            <w:r>
              <w:t>1: Know-how-Abfluss, Grenze</w:t>
            </w:r>
          </w:p>
        </w:tc>
      </w:tr>
      <w:tr w:rsidR="00D806ED" w14:paraId="2B9EBC68" w14:textId="77777777">
        <w:trPr>
          <w:cantSplit/>
        </w:trPr>
        <w:tc>
          <w:tcPr>
            <w:tcW w:w="1643" w:type="dxa"/>
          </w:tcPr>
          <w:p w14:paraId="45E0EB52" w14:textId="77777777" w:rsidR="00D806ED" w:rsidRDefault="00000000">
            <w:pPr>
              <w:pStyle w:val="Tabelleninhaltklein"/>
            </w:pPr>
            <w:r>
              <w:t>Umsetzbarkeit (10 %)</w:t>
            </w:r>
          </w:p>
        </w:tc>
        <w:tc>
          <w:tcPr>
            <w:tcW w:w="1787" w:type="dxa"/>
          </w:tcPr>
          <w:p w14:paraId="60B0938F" w14:textId="77777777" w:rsidR="00D806ED" w:rsidRDefault="00000000">
            <w:pPr>
              <w:pStyle w:val="Tabelleninhaltklein"/>
            </w:pPr>
            <w:r>
              <w:t>5: besteht</w:t>
            </w:r>
          </w:p>
        </w:tc>
        <w:tc>
          <w:tcPr>
            <w:tcW w:w="1603" w:type="dxa"/>
          </w:tcPr>
          <w:p w14:paraId="7119CEEE" w14:textId="77777777" w:rsidR="00D806ED" w:rsidRDefault="00000000">
            <w:pPr>
              <w:pStyle w:val="Tabelleninhaltklein"/>
            </w:pPr>
            <w:r>
              <w:t>4: über 3PL kurzfristig einkaufbar</w:t>
            </w:r>
          </w:p>
        </w:tc>
        <w:tc>
          <w:tcPr>
            <w:tcW w:w="2063" w:type="dxa"/>
          </w:tcPr>
          <w:p w14:paraId="06247594" w14:textId="77777777" w:rsidR="00D806ED" w:rsidRDefault="00000000">
            <w:pPr>
              <w:pStyle w:val="Tabelleninhaltklein"/>
            </w:pPr>
            <w:r>
              <w:t>2: Lizenz nach Sec. 58/65, Warehouse Keeper, Zoll-IT</w:t>
            </w:r>
          </w:p>
        </w:tc>
        <w:tc>
          <w:tcPr>
            <w:tcW w:w="1972" w:type="dxa"/>
          </w:tcPr>
          <w:p w14:paraId="3FBF5EA5" w14:textId="77777777" w:rsidR="00D806ED" w:rsidRDefault="00000000">
            <w:pPr>
              <w:pStyle w:val="Tabelleninhaltklein"/>
            </w:pPr>
            <w:r>
              <w:t>1: widerspricht dem Holding-Entscheid</w:t>
            </w:r>
          </w:p>
        </w:tc>
      </w:tr>
      <w:tr w:rsidR="00D806ED" w14:paraId="1E03F22F" w14:textId="77777777">
        <w:trPr>
          <w:cantSplit/>
        </w:trPr>
        <w:tc>
          <w:tcPr>
            <w:tcW w:w="1643" w:type="dxa"/>
          </w:tcPr>
          <w:p w14:paraId="03AE9ACE" w14:textId="77777777" w:rsidR="00D806ED" w:rsidRDefault="00000000">
            <w:pPr>
              <w:pStyle w:val="Tabelleninhaltklein"/>
              <w:keepNext/>
            </w:pPr>
            <w:r>
              <w:rPr>
                <w:b/>
                <w:bCs/>
              </w:rPr>
              <w:t>Nutzwert</w:t>
            </w:r>
          </w:p>
        </w:tc>
        <w:tc>
          <w:tcPr>
            <w:tcW w:w="1787" w:type="dxa"/>
          </w:tcPr>
          <w:p w14:paraId="5C758D14" w14:textId="77777777" w:rsidR="00D806ED" w:rsidRDefault="00000000">
            <w:pPr>
              <w:pStyle w:val="Tabelleninhaltklein"/>
              <w:keepNext/>
            </w:pPr>
            <w:r>
              <w:rPr>
                <w:b/>
                <w:bCs/>
              </w:rPr>
              <w:t>2,75</w:t>
            </w:r>
          </w:p>
        </w:tc>
        <w:tc>
          <w:tcPr>
            <w:tcW w:w="1603" w:type="dxa"/>
          </w:tcPr>
          <w:p w14:paraId="24B2139B" w14:textId="77777777" w:rsidR="00D806ED" w:rsidRDefault="00000000">
            <w:pPr>
              <w:pStyle w:val="Tabelleninhaltklein"/>
              <w:keepNext/>
            </w:pPr>
            <w:r>
              <w:rPr>
                <w:b/>
                <w:bCs/>
              </w:rPr>
              <w:t>3,25</w:t>
            </w:r>
          </w:p>
        </w:tc>
        <w:tc>
          <w:tcPr>
            <w:tcW w:w="2063" w:type="dxa"/>
          </w:tcPr>
          <w:p w14:paraId="5EA6E4E4" w14:textId="77777777" w:rsidR="00D806ED" w:rsidRDefault="00000000">
            <w:pPr>
              <w:pStyle w:val="Tabelleninhaltklein"/>
              <w:keepNext/>
            </w:pPr>
            <w:r>
              <w:rPr>
                <w:b/>
                <w:bCs/>
              </w:rPr>
              <w:t>3,90</w:t>
            </w:r>
          </w:p>
        </w:tc>
        <w:tc>
          <w:tcPr>
            <w:tcW w:w="1972" w:type="dxa"/>
          </w:tcPr>
          <w:p w14:paraId="43A7F8E3" w14:textId="77777777" w:rsidR="00D806ED" w:rsidRDefault="00000000">
            <w:pPr>
              <w:pStyle w:val="Tabelleninhaltklein"/>
              <w:keepNext/>
            </w:pPr>
            <w:r>
              <w:rPr>
                <w:b/>
                <w:bCs/>
              </w:rPr>
              <w:t>1,40</w:t>
            </w:r>
          </w:p>
        </w:tc>
      </w:tr>
    </w:tbl>
    <w:p w14:paraId="186EC720" w14:textId="77777777" w:rsidR="00D806ED" w:rsidRDefault="00000000">
      <w:pPr>
        <w:pStyle w:val="Quellenangabe"/>
      </w:pPr>
      <w:r>
        <w:t>Quelle: Eigene Darstellung.</w:t>
      </w:r>
    </w:p>
    <w:p w14:paraId="6CD9C621" w14:textId="178018A6" w:rsidR="00D806ED" w:rsidRDefault="00000000">
      <w:pPr>
        <w:pStyle w:val="Beschriftung"/>
        <w:keepNext/>
      </w:pPr>
      <w:bookmarkStart w:id="113" w:name="_Toc243824224"/>
      <w:r>
        <w:t xml:space="preserve">Tabelle </w:t>
      </w:r>
      <w:fldSimple w:instr=" SEQ Tabelle \* ARABIC ">
        <w:r>
          <w:rPr>
            <w:noProof/>
          </w:rPr>
          <w:t>17</w:t>
        </w:r>
      </w:fldSimple>
      <w:r>
        <w:t>: Sensitivität der Nutzwertanalyse Importroute</w:t>
      </w:r>
      <w:bookmarkEnd w:id="113"/>
    </w:p>
    <w:tbl>
      <w:tblPr>
        <w:tblStyle w:val="Tabellenraster"/>
        <w:tblW w:w="9069" w:type="dxa"/>
        <w:tblInd w:w="113" w:type="dxa"/>
        <w:tblLayout w:type="fixed"/>
        <w:tblLook w:val="0020" w:firstRow="1" w:lastRow="0" w:firstColumn="0" w:lastColumn="0" w:noHBand="0" w:noVBand="0"/>
      </w:tblPr>
      <w:tblGrid>
        <w:gridCol w:w="5416"/>
        <w:gridCol w:w="983"/>
        <w:gridCol w:w="844"/>
        <w:gridCol w:w="843"/>
        <w:gridCol w:w="983"/>
      </w:tblGrid>
      <w:tr w:rsidR="00D806ED" w14:paraId="07704440" w14:textId="77777777">
        <w:trPr>
          <w:tblHeader/>
        </w:trPr>
        <w:tc>
          <w:tcPr>
            <w:tcW w:w="5416" w:type="dxa"/>
            <w:shd w:val="clear" w:color="auto" w:fill="D9D9D9"/>
          </w:tcPr>
          <w:p w14:paraId="7992BFF8" w14:textId="77777777" w:rsidR="00D806ED" w:rsidRDefault="00000000">
            <w:pPr>
              <w:pStyle w:val="Tabelleninhalt"/>
              <w:keepNext/>
            </w:pPr>
            <w:r>
              <w:rPr>
                <w:b/>
              </w:rPr>
              <w:t>Gewichtung</w:t>
            </w:r>
          </w:p>
        </w:tc>
        <w:tc>
          <w:tcPr>
            <w:tcW w:w="983" w:type="dxa"/>
            <w:shd w:val="clear" w:color="auto" w:fill="D9D9D9"/>
          </w:tcPr>
          <w:p w14:paraId="0DDB8129" w14:textId="77777777" w:rsidR="00D806ED" w:rsidRDefault="00000000">
            <w:pPr>
              <w:pStyle w:val="Tabelleninhalt"/>
              <w:keepNext/>
              <w:jc w:val="right"/>
            </w:pPr>
            <w:r>
              <w:rPr>
                <w:b/>
              </w:rPr>
              <w:t>V1</w:t>
            </w:r>
          </w:p>
        </w:tc>
        <w:tc>
          <w:tcPr>
            <w:tcW w:w="844" w:type="dxa"/>
            <w:shd w:val="clear" w:color="auto" w:fill="D9D9D9"/>
          </w:tcPr>
          <w:p w14:paraId="38F6C34F" w14:textId="77777777" w:rsidR="00D806ED" w:rsidRDefault="00000000">
            <w:pPr>
              <w:pStyle w:val="Tabelleninhalt"/>
              <w:keepNext/>
              <w:jc w:val="right"/>
            </w:pPr>
            <w:r>
              <w:rPr>
                <w:b/>
              </w:rPr>
              <w:t>V2</w:t>
            </w:r>
          </w:p>
        </w:tc>
        <w:tc>
          <w:tcPr>
            <w:tcW w:w="843" w:type="dxa"/>
            <w:shd w:val="clear" w:color="auto" w:fill="D9D9D9"/>
          </w:tcPr>
          <w:p w14:paraId="6DAF7720" w14:textId="77777777" w:rsidR="00D806ED" w:rsidRDefault="00000000">
            <w:pPr>
              <w:pStyle w:val="Tabelleninhalt"/>
              <w:keepNext/>
              <w:jc w:val="right"/>
            </w:pPr>
            <w:r>
              <w:rPr>
                <w:b/>
              </w:rPr>
              <w:t>V3</w:t>
            </w:r>
          </w:p>
        </w:tc>
        <w:tc>
          <w:tcPr>
            <w:tcW w:w="983" w:type="dxa"/>
            <w:shd w:val="clear" w:color="auto" w:fill="D9D9D9"/>
          </w:tcPr>
          <w:p w14:paraId="7F7A0720" w14:textId="77777777" w:rsidR="00D806ED" w:rsidRDefault="00000000">
            <w:pPr>
              <w:pStyle w:val="Tabelleninhalt"/>
              <w:keepNext/>
              <w:jc w:val="right"/>
            </w:pPr>
            <w:r>
              <w:rPr>
                <w:b/>
              </w:rPr>
              <w:t>V4</w:t>
            </w:r>
          </w:p>
        </w:tc>
      </w:tr>
      <w:tr w:rsidR="00D806ED" w14:paraId="4B663FB2" w14:textId="77777777">
        <w:trPr>
          <w:cantSplit/>
        </w:trPr>
        <w:tc>
          <w:tcPr>
            <w:tcW w:w="5416" w:type="dxa"/>
          </w:tcPr>
          <w:p w14:paraId="78F6F4D5" w14:textId="77777777" w:rsidR="00D806ED" w:rsidRDefault="00000000">
            <w:pPr>
              <w:pStyle w:val="Tabelleninhalt"/>
              <w:keepNext/>
            </w:pPr>
            <w:r>
              <w:t>Basis (25/20/20/10/15/10)</w:t>
            </w:r>
          </w:p>
        </w:tc>
        <w:tc>
          <w:tcPr>
            <w:tcW w:w="983" w:type="dxa"/>
          </w:tcPr>
          <w:p w14:paraId="351B8850" w14:textId="77777777" w:rsidR="00D806ED" w:rsidRDefault="00000000">
            <w:pPr>
              <w:pStyle w:val="Tabelleninhalt"/>
              <w:keepNext/>
              <w:jc w:val="right"/>
            </w:pPr>
            <w:r>
              <w:t>2,75</w:t>
            </w:r>
          </w:p>
        </w:tc>
        <w:tc>
          <w:tcPr>
            <w:tcW w:w="844" w:type="dxa"/>
          </w:tcPr>
          <w:p w14:paraId="7C49457E" w14:textId="77777777" w:rsidR="00D806ED" w:rsidRDefault="00000000">
            <w:pPr>
              <w:pStyle w:val="Tabelleninhalt"/>
              <w:keepNext/>
              <w:jc w:val="right"/>
            </w:pPr>
            <w:r>
              <w:t>3,25</w:t>
            </w:r>
          </w:p>
        </w:tc>
        <w:tc>
          <w:tcPr>
            <w:tcW w:w="843" w:type="dxa"/>
          </w:tcPr>
          <w:p w14:paraId="21FBEA36" w14:textId="77777777" w:rsidR="00D806ED" w:rsidRDefault="00000000">
            <w:pPr>
              <w:pStyle w:val="Tabelleninhalt"/>
              <w:keepNext/>
              <w:jc w:val="right"/>
            </w:pPr>
            <w:r>
              <w:t>3,90</w:t>
            </w:r>
          </w:p>
        </w:tc>
        <w:tc>
          <w:tcPr>
            <w:tcW w:w="983" w:type="dxa"/>
          </w:tcPr>
          <w:p w14:paraId="5854E1C6" w14:textId="77777777" w:rsidR="00D806ED" w:rsidRDefault="00000000">
            <w:pPr>
              <w:pStyle w:val="Tabelleninhalt"/>
              <w:keepNext/>
              <w:jc w:val="right"/>
            </w:pPr>
            <w:r>
              <w:t>1,40</w:t>
            </w:r>
          </w:p>
        </w:tc>
      </w:tr>
      <w:tr w:rsidR="00D806ED" w14:paraId="151B96F8" w14:textId="77777777">
        <w:trPr>
          <w:cantSplit/>
        </w:trPr>
        <w:tc>
          <w:tcPr>
            <w:tcW w:w="5416" w:type="dxa"/>
          </w:tcPr>
          <w:p w14:paraId="2CA6768B" w14:textId="77777777" w:rsidR="00D806ED" w:rsidRDefault="00000000">
            <w:pPr>
              <w:pStyle w:val="Tabelleninhalt"/>
              <w:keepNext/>
            </w:pPr>
            <w:r>
              <w:t>Alle Kriterien gleich (je 1/6)</w:t>
            </w:r>
          </w:p>
        </w:tc>
        <w:tc>
          <w:tcPr>
            <w:tcW w:w="983" w:type="dxa"/>
          </w:tcPr>
          <w:p w14:paraId="091E7509" w14:textId="77777777" w:rsidR="00D806ED" w:rsidRDefault="00000000">
            <w:pPr>
              <w:pStyle w:val="Tabelleninhalt"/>
              <w:keepNext/>
              <w:jc w:val="right"/>
            </w:pPr>
            <w:r>
              <w:t>2,83</w:t>
            </w:r>
          </w:p>
        </w:tc>
        <w:tc>
          <w:tcPr>
            <w:tcW w:w="844" w:type="dxa"/>
          </w:tcPr>
          <w:p w14:paraId="707C9922" w14:textId="77777777" w:rsidR="00D806ED" w:rsidRDefault="00000000">
            <w:pPr>
              <w:pStyle w:val="Tabelleninhalt"/>
              <w:keepNext/>
              <w:jc w:val="right"/>
            </w:pPr>
            <w:r>
              <w:t>3,33</w:t>
            </w:r>
          </w:p>
        </w:tc>
        <w:tc>
          <w:tcPr>
            <w:tcW w:w="843" w:type="dxa"/>
          </w:tcPr>
          <w:p w14:paraId="770B9666" w14:textId="77777777" w:rsidR="00D806ED" w:rsidRDefault="00000000">
            <w:pPr>
              <w:pStyle w:val="Tabelleninhalt"/>
              <w:keepNext/>
              <w:jc w:val="right"/>
            </w:pPr>
            <w:r>
              <w:t>3,67</w:t>
            </w:r>
          </w:p>
        </w:tc>
        <w:tc>
          <w:tcPr>
            <w:tcW w:w="983" w:type="dxa"/>
          </w:tcPr>
          <w:p w14:paraId="1295BA5F" w14:textId="77777777" w:rsidR="00D806ED" w:rsidRDefault="00000000">
            <w:pPr>
              <w:pStyle w:val="Tabelleninhalt"/>
              <w:keepNext/>
              <w:jc w:val="right"/>
            </w:pPr>
            <w:r>
              <w:t>1,33</w:t>
            </w:r>
          </w:p>
        </w:tc>
      </w:tr>
      <w:tr w:rsidR="00D806ED" w14:paraId="58437533" w14:textId="77777777">
        <w:trPr>
          <w:cantSplit/>
        </w:trPr>
        <w:tc>
          <w:tcPr>
            <w:tcW w:w="5416" w:type="dxa"/>
          </w:tcPr>
          <w:p w14:paraId="5E7B745F" w14:textId="77777777" w:rsidR="00D806ED" w:rsidRDefault="00000000">
            <w:pPr>
              <w:pStyle w:val="Tabelleninhalt"/>
              <w:keepNext/>
            </w:pPr>
            <w:r>
              <w:t>Umsetzbarkeit 20 %, Bestand 10 %</w:t>
            </w:r>
          </w:p>
        </w:tc>
        <w:tc>
          <w:tcPr>
            <w:tcW w:w="983" w:type="dxa"/>
          </w:tcPr>
          <w:p w14:paraId="412C36E7" w14:textId="77777777" w:rsidR="00D806ED" w:rsidRDefault="00000000">
            <w:pPr>
              <w:pStyle w:val="Tabelleninhalt"/>
              <w:keepNext/>
              <w:jc w:val="right"/>
            </w:pPr>
            <w:r>
              <w:t>3,05</w:t>
            </w:r>
          </w:p>
        </w:tc>
        <w:tc>
          <w:tcPr>
            <w:tcW w:w="844" w:type="dxa"/>
          </w:tcPr>
          <w:p w14:paraId="58432651" w14:textId="77777777" w:rsidR="00D806ED" w:rsidRDefault="00000000">
            <w:pPr>
              <w:pStyle w:val="Tabelleninhalt"/>
              <w:keepNext/>
              <w:jc w:val="right"/>
            </w:pPr>
            <w:r>
              <w:t>3,35</w:t>
            </w:r>
          </w:p>
        </w:tc>
        <w:tc>
          <w:tcPr>
            <w:tcW w:w="843" w:type="dxa"/>
          </w:tcPr>
          <w:p w14:paraId="2321C892" w14:textId="77777777" w:rsidR="00D806ED" w:rsidRDefault="00000000">
            <w:pPr>
              <w:pStyle w:val="Tabelleninhalt"/>
              <w:keepNext/>
              <w:jc w:val="right"/>
            </w:pPr>
            <w:r>
              <w:t>3,60</w:t>
            </w:r>
          </w:p>
        </w:tc>
        <w:tc>
          <w:tcPr>
            <w:tcW w:w="983" w:type="dxa"/>
          </w:tcPr>
          <w:p w14:paraId="62184607" w14:textId="77777777" w:rsidR="00D806ED" w:rsidRDefault="00000000">
            <w:pPr>
              <w:pStyle w:val="Tabelleninhalt"/>
              <w:keepNext/>
              <w:jc w:val="right"/>
            </w:pPr>
            <w:r>
              <w:t>1,40</w:t>
            </w:r>
          </w:p>
        </w:tc>
      </w:tr>
      <w:tr w:rsidR="00D806ED" w14:paraId="03638958" w14:textId="77777777">
        <w:trPr>
          <w:cantSplit/>
        </w:trPr>
        <w:tc>
          <w:tcPr>
            <w:tcW w:w="5416" w:type="dxa"/>
          </w:tcPr>
          <w:p w14:paraId="2EF40CA1" w14:textId="77777777" w:rsidR="00D806ED" w:rsidRDefault="00000000">
            <w:pPr>
              <w:pStyle w:val="Tabelleninhalt"/>
              <w:keepNext/>
            </w:pPr>
            <w:r>
              <w:t>V3 Lieferzeit 3 statt 4 (Annahme A30)</w:t>
            </w:r>
          </w:p>
        </w:tc>
        <w:tc>
          <w:tcPr>
            <w:tcW w:w="983" w:type="dxa"/>
          </w:tcPr>
          <w:p w14:paraId="639553EE" w14:textId="77777777" w:rsidR="00D806ED" w:rsidRDefault="00000000">
            <w:pPr>
              <w:pStyle w:val="Tabelleninhalt"/>
              <w:keepNext/>
              <w:jc w:val="right"/>
            </w:pPr>
            <w:r>
              <w:t>2,75</w:t>
            </w:r>
          </w:p>
        </w:tc>
        <w:tc>
          <w:tcPr>
            <w:tcW w:w="844" w:type="dxa"/>
          </w:tcPr>
          <w:p w14:paraId="72C1AA53" w14:textId="77777777" w:rsidR="00D806ED" w:rsidRDefault="00000000">
            <w:pPr>
              <w:pStyle w:val="Tabelleninhalt"/>
              <w:keepNext/>
              <w:jc w:val="right"/>
            </w:pPr>
            <w:r>
              <w:t>3,25</w:t>
            </w:r>
          </w:p>
        </w:tc>
        <w:tc>
          <w:tcPr>
            <w:tcW w:w="843" w:type="dxa"/>
          </w:tcPr>
          <w:p w14:paraId="0AB01C54" w14:textId="77777777" w:rsidR="00D806ED" w:rsidRDefault="00000000">
            <w:pPr>
              <w:pStyle w:val="Tabelleninhalt"/>
              <w:keepNext/>
              <w:jc w:val="right"/>
            </w:pPr>
            <w:r>
              <w:t>3,65</w:t>
            </w:r>
          </w:p>
        </w:tc>
        <w:tc>
          <w:tcPr>
            <w:tcW w:w="983" w:type="dxa"/>
          </w:tcPr>
          <w:p w14:paraId="213B84D4" w14:textId="77777777" w:rsidR="00D806ED" w:rsidRDefault="00000000">
            <w:pPr>
              <w:pStyle w:val="Tabelleninhalt"/>
              <w:keepNext/>
              <w:jc w:val="right"/>
            </w:pPr>
            <w:r>
              <w:t>1,40</w:t>
            </w:r>
          </w:p>
        </w:tc>
      </w:tr>
      <w:tr w:rsidR="00D806ED" w14:paraId="2859FC18" w14:textId="77777777">
        <w:trPr>
          <w:cantSplit/>
        </w:trPr>
        <w:tc>
          <w:tcPr>
            <w:tcW w:w="5416" w:type="dxa"/>
          </w:tcPr>
          <w:p w14:paraId="1C989DA8" w14:textId="77777777" w:rsidR="00D806ED" w:rsidRDefault="00000000">
            <w:pPr>
              <w:pStyle w:val="Tabelleninhalt"/>
              <w:keepNext/>
            </w:pPr>
            <w:r>
              <w:t>Szenario Transitsperre (DGFT, 2025)</w:t>
            </w:r>
          </w:p>
        </w:tc>
        <w:tc>
          <w:tcPr>
            <w:tcW w:w="983" w:type="dxa"/>
          </w:tcPr>
          <w:p w14:paraId="25E501B6" w14:textId="77777777" w:rsidR="00D806ED" w:rsidRDefault="00000000">
            <w:pPr>
              <w:pStyle w:val="Tabelleninhalt"/>
              <w:keepNext/>
              <w:jc w:val="right"/>
            </w:pPr>
            <w:r>
              <w:t>K.-o.</w:t>
            </w:r>
          </w:p>
        </w:tc>
        <w:tc>
          <w:tcPr>
            <w:tcW w:w="844" w:type="dxa"/>
          </w:tcPr>
          <w:p w14:paraId="5D7F6820" w14:textId="77777777" w:rsidR="00D806ED" w:rsidRDefault="00000000">
            <w:pPr>
              <w:pStyle w:val="Tabelleninhalt"/>
              <w:keepNext/>
              <w:jc w:val="right"/>
            </w:pPr>
            <w:r>
              <w:t>3,25</w:t>
            </w:r>
          </w:p>
        </w:tc>
        <w:tc>
          <w:tcPr>
            <w:tcW w:w="843" w:type="dxa"/>
          </w:tcPr>
          <w:p w14:paraId="7BCA78A0" w14:textId="77777777" w:rsidR="00D806ED" w:rsidRDefault="00000000">
            <w:pPr>
              <w:pStyle w:val="Tabelleninhalt"/>
              <w:keepNext/>
              <w:jc w:val="right"/>
            </w:pPr>
            <w:r>
              <w:t>3,90</w:t>
            </w:r>
          </w:p>
        </w:tc>
        <w:tc>
          <w:tcPr>
            <w:tcW w:w="983" w:type="dxa"/>
          </w:tcPr>
          <w:p w14:paraId="21828CA3" w14:textId="77777777" w:rsidR="00D806ED" w:rsidRDefault="00000000">
            <w:pPr>
              <w:pStyle w:val="Tabelleninhalt"/>
              <w:keepNext/>
              <w:jc w:val="right"/>
            </w:pPr>
            <w:r>
              <w:t>K.-o.</w:t>
            </w:r>
          </w:p>
        </w:tc>
      </w:tr>
    </w:tbl>
    <w:p w14:paraId="1F28E502" w14:textId="77777777" w:rsidR="00D806ED" w:rsidRDefault="00000000">
      <w:pPr>
        <w:pStyle w:val="Quellenangabe"/>
      </w:pPr>
      <w:r>
        <w:t>Quelle: Eigene Berechnung.</w:t>
      </w:r>
    </w:p>
    <w:p w14:paraId="7EE651B8" w14:textId="77777777" w:rsidR="00D806ED" w:rsidRDefault="00000000">
      <w:pPr>
        <w:pStyle w:val="berschrift2"/>
        <w:numPr>
          <w:ilvl w:val="0"/>
          <w:numId w:val="0"/>
        </w:numPr>
      </w:pPr>
      <w:bookmarkStart w:id="114" w:name="_Toc243825062"/>
      <w:r>
        <w:lastRenderedPageBreak/>
        <w:t xml:space="preserve">Anhang C: Make-or-Buy wertschöpfungsneutraler Prozesse</w:t>
      </w:r>
      <w:bookmarkEnd w:id="114"/>
    </w:p>
    <w:p w14:paraId="64D9F16F" w14:textId="389C5F14" w:rsidR="00D806ED" w:rsidRDefault="00000000">
      <w:pPr>
        <w:pStyle w:val="Beschriftung"/>
        <w:keepNext/>
      </w:pPr>
      <w:bookmarkStart w:id="115" w:name="_Toc243824225"/>
      <w:r>
        <w:t xml:space="preserve">Tabelle </w:t>
      </w:r>
      <w:fldSimple w:instr=" SEQ Tabelle \* ARABIC ">
        <w:r>
          <w:rPr>
            <w:noProof/>
          </w:rPr>
          <w:t>18</w:t>
        </w:r>
      </w:fldSimple>
      <w:r>
        <w:t xml:space="preserve">: Make-or-Buy für wertschöpfungsneutrale Prozesse</w:t>
      </w:r>
      <w:bookmarkEnd w:id="115"/>
    </w:p>
    <w:tbl>
      <w:tblPr>
        <w:tblStyle w:val="Tabellenraster"/>
        <w:tblW w:w="9071" w:type="dxa"/>
        <w:tblInd w:w="113" w:type="dxa"/>
        <w:tblLayout w:type="fixed"/>
        <w:tblLook w:val="0020" w:firstRow="1" w:lastRow="0" w:firstColumn="0" w:lastColumn="0" w:noHBand="0" w:noVBand="0"/>
      </w:tblPr>
      <w:tblGrid>
        <w:gridCol w:w="2949"/>
        <w:gridCol w:w="3297"/>
        <w:gridCol w:w="2825"/>
      </w:tblGrid>
      <w:tr w:rsidR="00D806ED" w14:paraId="474F1F8A" w14:textId="77777777">
        <w:trPr>
          <w:tblHeader/>
        </w:trPr>
        <w:tc>
          <w:tcPr>
            <w:tcW w:w="2949" w:type="dxa"/>
            <w:shd w:val="clear" w:color="auto" w:fill="D9D9D9"/>
          </w:tcPr>
          <w:p w14:paraId="18101741" w14:textId="77777777" w:rsidR="00D806ED" w:rsidRDefault="00000000">
            <w:pPr>
              <w:pStyle w:val="Tabelleninhalt"/>
              <w:keepNext/>
            </w:pPr>
            <w:r>
              <w:rPr>
                <w:b/>
              </w:rPr>
              <w:t>Prozess</w:t>
            </w:r>
          </w:p>
        </w:tc>
        <w:tc>
          <w:tcPr>
            <w:tcW w:w="3297" w:type="dxa"/>
            <w:shd w:val="clear" w:color="auto" w:fill="D9D9D9"/>
          </w:tcPr>
          <w:p w14:paraId="3C58C99E" w14:textId="77777777" w:rsidR="00D806ED" w:rsidRDefault="00000000">
            <w:pPr>
              <w:pStyle w:val="Tabelleninhalt"/>
              <w:keepNext/>
            </w:pPr>
            <w:r>
              <w:rPr>
                <w:b/>
              </w:rPr>
              <w:t>Empfehlung</w:t>
            </w:r>
          </w:p>
        </w:tc>
        <w:tc>
          <w:tcPr>
            <w:tcW w:w="2825" w:type="dxa"/>
            <w:shd w:val="clear" w:color="auto" w:fill="D9D9D9"/>
          </w:tcPr>
          <w:p w14:paraId="353B844C" w14:textId="77777777" w:rsidR="00D806ED" w:rsidRDefault="00000000">
            <w:pPr>
              <w:pStyle w:val="Tabelleninhalt"/>
              <w:keepNext/>
            </w:pPr>
            <w:r>
              <w:rPr>
                <w:b/>
              </w:rPr>
              <w:t>Begründung</w:t>
            </w:r>
          </w:p>
        </w:tc>
      </w:tr>
      <w:tr w:rsidR="00D806ED" w14:paraId="3497E178" w14:textId="77777777">
        <w:trPr>
          <w:cantSplit/>
        </w:trPr>
        <w:tc>
          <w:tcPr>
            <w:tcW w:w="2949" w:type="dxa"/>
          </w:tcPr>
          <w:p w14:paraId="4179D95C" w14:textId="77777777" w:rsidR="00D806ED" w:rsidRDefault="00000000">
            <w:pPr>
              <w:pStyle w:val="Tabelleninhalt"/>
              <w:keepNext/>
            </w:pPr>
            <w:r>
              <w:t>Zollabwicklung, Konsolidierung Import</w:t>
            </w:r>
          </w:p>
        </w:tc>
        <w:tc>
          <w:tcPr>
            <w:tcW w:w="3297" w:type="dxa"/>
          </w:tcPr>
          <w:p w14:paraId="7A946B4C" w14:textId="77777777" w:rsidR="00D806ED" w:rsidRDefault="00000000">
            <w:pPr>
              <w:pStyle w:val="Tabelleninhalt"/>
              <w:keepNext/>
            </w:pPr>
            <w:r>
              <w:t>Buy (Zollspediteur/3PL)</w:t>
            </w:r>
          </w:p>
        </w:tc>
        <w:tc>
          <w:tcPr>
            <w:tcW w:w="2825" w:type="dxa"/>
          </w:tcPr>
          <w:p w14:paraId="2AE52A63" w14:textId="77777777" w:rsidR="00D806ED" w:rsidRDefault="00000000">
            <w:pPr>
              <w:pStyle w:val="Tabelleninhalt"/>
              <w:keepNext/>
            </w:pPr>
            <w:r>
              <w:t>Spezialwissen; aus fixen werden variable Kosten (Hutzler &amp; Fuchs, 2021, S. 60)</w:t>
            </w:r>
          </w:p>
        </w:tc>
      </w:tr>
      <w:tr w:rsidR="00D806ED" w14:paraId="7E73336F" w14:textId="77777777">
        <w:trPr>
          <w:cantSplit/>
        </w:trPr>
        <w:tc>
          <w:tcPr>
            <w:tcW w:w="2949" w:type="dxa"/>
          </w:tcPr>
          <w:p w14:paraId="41B199B3" w14:textId="77777777" w:rsidR="00D806ED" w:rsidRDefault="00000000">
            <w:pPr>
              <w:pStyle w:val="Tabelleninhalt"/>
              <w:keepNext/>
            </w:pPr>
            <w:r>
              <w:t>C-Teile-Disposition und -Bereitstellung</w:t>
            </w:r>
          </w:p>
        </w:tc>
        <w:tc>
          <w:tcPr>
            <w:tcW w:w="3297" w:type="dxa"/>
          </w:tcPr>
          <w:p w14:paraId="55625173" w14:textId="77777777" w:rsidR="00D806ED" w:rsidRDefault="00000000">
            <w:pPr>
              <w:pStyle w:val="Tabelleninhalt"/>
              <w:keepNext/>
            </w:pPr>
            <w:r>
              <w:t>Buy (C-Teile-Management mit Konsignation)</w:t>
            </w:r>
          </w:p>
        </w:tc>
        <w:tc>
          <w:tcPr>
            <w:tcW w:w="2825" w:type="dxa"/>
          </w:tcPr>
          <w:p w14:paraId="37DB986C" w14:textId="77777777" w:rsidR="00D806ED" w:rsidRDefault="00000000">
            <w:pPr>
              <w:pStyle w:val="Tabelleninhalt"/>
              <w:keepNext/>
            </w:pPr>
            <w:r>
              <w:t>Distributoren, auch in der Elektronik, disponieren bis an den Verbrauchsort und rechnen nach Verbrauch ab (Hutzler &amp; Fuchs, 2021, S. 38)</w:t>
            </w:r>
          </w:p>
        </w:tc>
      </w:tr>
      <w:tr w:rsidR="00D806ED" w14:paraId="7921F70D" w14:textId="77777777">
        <w:trPr>
          <w:cantSplit/>
        </w:trPr>
        <w:tc>
          <w:tcPr>
            <w:tcW w:w="2949" w:type="dxa"/>
          </w:tcPr>
          <w:p w14:paraId="24891F1D" w14:textId="77777777" w:rsidR="00D806ED" w:rsidRDefault="00000000">
            <w:pPr>
              <w:pStyle w:val="Tabelleninhalt"/>
              <w:keepNext/>
            </w:pPr>
            <w:r>
              <w:t>Verpackung, Versand Export</w:t>
            </w:r>
          </w:p>
        </w:tc>
        <w:tc>
          <w:tcPr>
            <w:tcW w:w="3297" w:type="dxa"/>
          </w:tcPr>
          <w:p w14:paraId="3B7B63B1" w14:textId="77777777" w:rsidR="00D806ED" w:rsidRDefault="00000000">
            <w:pPr>
              <w:pStyle w:val="Tabelleninhalt"/>
              <w:keepNext/>
            </w:pPr>
            <w:r>
              <w:t>Buy (3PL am Werk)</w:t>
            </w:r>
          </w:p>
        </w:tc>
        <w:tc>
          <w:tcPr>
            <w:tcW w:w="2825" w:type="dxa"/>
          </w:tcPr>
          <w:p w14:paraId="07AC5412" w14:textId="77777777" w:rsidR="00D806ED" w:rsidRDefault="00000000">
            <w:pPr>
              <w:pStyle w:val="Tabelleninhalt"/>
              <w:keepNext/>
            </w:pPr>
            <w:r>
              <w:t>Standardprozess ohne Differenzierung</w:t>
            </w:r>
          </w:p>
        </w:tc>
      </w:tr>
      <w:tr w:rsidR="00D806ED" w14:paraId="4DFE5A2B" w14:textId="77777777">
        <w:trPr>
          <w:cantSplit/>
        </w:trPr>
        <w:tc>
          <w:tcPr>
            <w:tcW w:w="2949" w:type="dxa"/>
          </w:tcPr>
          <w:p w14:paraId="270F96A0" w14:textId="77777777" w:rsidR="00D806ED" w:rsidRDefault="00000000">
            <w:pPr>
              <w:pStyle w:val="Tabelleninhalt"/>
              <w:keepNext/>
            </w:pPr>
            <w:r>
              <w:t>Vormontage einfacher SFG</w:t>
            </w:r>
          </w:p>
        </w:tc>
        <w:tc>
          <w:tcPr>
            <w:tcW w:w="3297" w:type="dxa"/>
          </w:tcPr>
          <w:p w14:paraId="1C1236FE" w14:textId="77777777" w:rsidR="00D806ED" w:rsidRDefault="00000000">
            <w:pPr>
              <w:pStyle w:val="Tabelleninhalt"/>
              <w:keepNext/>
            </w:pPr>
            <w:r>
              <w:t>Buy (Outsourcing-Partner: kurzfristig Kit-Kanban, mittelfristig Modular Sourcing)</w:t>
            </w:r>
          </w:p>
        </w:tc>
        <w:tc>
          <w:tcPr>
            <w:tcW w:w="2825" w:type="dxa"/>
          </w:tcPr>
          <w:p w14:paraId="01D470F7" w14:textId="77777777" w:rsidR="00D806ED" w:rsidRDefault="00000000">
            <w:pPr>
              <w:pStyle w:val="Tabelleninhalt"/>
              <w:keepNext/>
            </w:pPr>
            <w:r>
              <w:t>kein schützenswertes Know-how (HWZ, o. J., S. 5)</w:t>
            </w:r>
          </w:p>
        </w:tc>
      </w:tr>
      <w:tr w:rsidR="00D806ED" w14:paraId="5ECB7E45" w14:textId="77777777">
        <w:trPr>
          <w:cantSplit/>
        </w:trPr>
        <w:tc>
          <w:tcPr>
            <w:tcW w:w="2949" w:type="dxa"/>
          </w:tcPr>
          <w:p w14:paraId="31D6046F" w14:textId="77777777" w:rsidR="00D806ED" w:rsidRDefault="00000000">
            <w:pPr>
              <w:pStyle w:val="Tabelleninhalt"/>
              <w:keepNext/>
            </w:pPr>
            <w:r>
              <w:t>LKW-Shuttle Lager 1 → Lager 2</w:t>
            </w:r>
          </w:p>
        </w:tc>
        <w:tc>
          <w:tcPr>
            <w:tcW w:w="3297" w:type="dxa"/>
          </w:tcPr>
          <w:p w14:paraId="7A74D483" w14:textId="77777777" w:rsidR="00D806ED" w:rsidRDefault="00000000">
            <w:pPr>
              <w:pStyle w:val="Tabelleninhalt"/>
              <w:keepNext/>
            </w:pPr>
            <w:r>
              <w:t>entfällt</w:t>
            </w:r>
          </w:p>
        </w:tc>
        <w:tc>
          <w:tcPr>
            <w:tcW w:w="2825" w:type="dxa"/>
          </w:tcPr>
          <w:p w14:paraId="6F099CA6" w14:textId="77777777" w:rsidR="00D806ED" w:rsidRDefault="00000000">
            <w:pPr>
              <w:pStyle w:val="Tabelleninhalt"/>
              <w:keepNext/>
            </w:pPr>
            <w:r>
              <w:t>Lager 2 wird aufgelöst</w:t>
            </w:r>
          </w:p>
        </w:tc>
      </w:tr>
      <w:tr w:rsidR="00D806ED" w14:paraId="0336CAEE" w14:textId="77777777">
        <w:trPr>
          <w:cantSplit/>
        </w:trPr>
        <w:tc>
          <w:tcPr>
            <w:tcW w:w="2949" w:type="dxa"/>
          </w:tcPr>
          <w:p w14:paraId="3FB8018C" w14:textId="77777777" w:rsidR="00D806ED" w:rsidRDefault="00000000">
            <w:pPr>
              <w:pStyle w:val="Tabelleninhalt"/>
              <w:keepNext/>
            </w:pPr>
            <w:r>
              <w:t>Kommissionierung Zentrallager</w:t>
            </w:r>
          </w:p>
        </w:tc>
        <w:tc>
          <w:tcPr>
            <w:tcW w:w="3297" w:type="dxa"/>
          </w:tcPr>
          <w:p w14:paraId="11202198" w14:textId="77777777" w:rsidR="00D806ED" w:rsidRDefault="00000000">
            <w:pPr>
              <w:pStyle w:val="Tabelleninhalt"/>
              <w:keepNext/>
            </w:pPr>
            <w:r>
              <w:t xml:space="preserve">Make (automatisiert)</w:t>
            </w:r>
          </w:p>
        </w:tc>
        <w:tc>
          <w:tcPr>
            <w:tcW w:w="2825" w:type="dxa"/>
          </w:tcPr>
          <w:p w14:paraId="18B56D82" w14:textId="77777777" w:rsidR="00D806ED" w:rsidRDefault="00000000">
            <w:pPr>
              <w:pStyle w:val="Tabelleninhalt"/>
              <w:keepNext/>
            </w:pPr>
            <w:r>
              <w:t xml:space="preserve">im Vergleich mit 3PL und manuell bestätigt </w:t>
            </w:r>
            <w:r>
              <w:rPr>
                <w:shd w:val="clear" w:color="auto" w:fill="DDEBF7"/>
              </w:rPr>
              <w:t xml:space="preserve">(Tabelle 24)</w:t>
            </w:r>
          </w:p>
        </w:tc>
      </w:tr>
    </w:tbl>
    <w:p w14:paraId="6813B080" w14:textId="77777777" w:rsidR="00D806ED" w:rsidRDefault="00000000">
      <w:pPr>
        <w:pStyle w:val="Quellenangabe"/>
      </w:pPr>
      <w:r>
        <w:t>Quelle: Eigene Darstellung in Anlehnung an Hutzler und Fuchs (2021, S. 59–60).</w:t>
      </w:r>
    </w:p>
    <w:p w14:paraId="56670680" w14:textId="77777777" w:rsidR="00D806ED" w:rsidRDefault="00000000">
      <w:pPr>
        <w:pStyle w:val="berschrift2"/>
        <w:numPr>
          <w:ilvl w:val="0"/>
          <w:numId w:val="0"/>
        </w:numPr>
      </w:pPr>
      <w:bookmarkStart w:id="116" w:name="_Toc243825063"/>
      <w:r>
        <w:t>Anhang D: Normstrategien der operativen Beschaffung</w:t>
      </w:r>
      <w:bookmarkEnd w:id="116"/>
    </w:p>
    <w:p w14:paraId="497151D6" w14:textId="1A84925C" w:rsidR="00D806ED" w:rsidRDefault="00000000">
      <w:pPr>
        <w:pStyle w:val="Beschriftung"/>
        <w:keepNext/>
      </w:pPr>
      <w:bookmarkStart w:id="117" w:name="_Toc243824226"/>
      <w:r>
        <w:t xml:space="preserve">Tabelle </w:t>
      </w:r>
      <w:fldSimple w:instr=" SEQ Tabelle \* ARABIC ">
        <w:r>
          <w:rPr>
            <w:noProof/>
          </w:rPr>
          <w:t>19</w:t>
        </w:r>
      </w:fldSimple>
      <w:r>
        <w:t>: ABC/XYZ-Normstrategien der operativen Beschaffung</w:t>
      </w:r>
      <w:bookmarkEnd w:id="117"/>
    </w:p>
    <w:tbl>
      <w:tblPr>
        <w:tblStyle w:val="Tabellenraster"/>
        <w:tblW w:w="9070" w:type="dxa"/>
        <w:tblInd w:w="113" w:type="dxa"/>
        <w:tblLayout w:type="fixed"/>
        <w:tblLook w:val="0020" w:firstRow="1" w:lastRow="0" w:firstColumn="0" w:lastColumn="0" w:noHBand="0" w:noVBand="0"/>
      </w:tblPr>
      <w:tblGrid>
        <w:gridCol w:w="1910"/>
        <w:gridCol w:w="1910"/>
        <w:gridCol w:w="2625"/>
        <w:gridCol w:w="2625"/>
      </w:tblGrid>
      <w:tr w:rsidR="00D806ED" w14:paraId="4FCF1236" w14:textId="77777777">
        <w:trPr>
          <w:tblHeader/>
        </w:trPr>
        <w:tc>
          <w:tcPr>
            <w:tcW w:w="1910" w:type="dxa"/>
            <w:shd w:val="clear" w:color="auto" w:fill="D9D9D9"/>
          </w:tcPr>
          <w:p w14:paraId="1B5D69D1" w14:textId="77777777" w:rsidR="00D806ED" w:rsidRDefault="00000000">
            <w:pPr>
              <w:pStyle w:val="Tabelleninhalt"/>
              <w:keepNext/>
            </w:pPr>
            <w:r>
              <w:rPr>
                <w:b/>
              </w:rPr>
              <w:t>Segment</w:t>
            </w:r>
          </w:p>
        </w:tc>
        <w:tc>
          <w:tcPr>
            <w:tcW w:w="1910" w:type="dxa"/>
            <w:shd w:val="clear" w:color="auto" w:fill="D9D9D9"/>
          </w:tcPr>
          <w:p w14:paraId="69B1400E" w14:textId="77777777" w:rsidR="00D806ED" w:rsidRDefault="00000000">
            <w:pPr>
              <w:pStyle w:val="Tabelleninhalt"/>
              <w:keepNext/>
            </w:pPr>
            <w:r>
              <w:rPr>
                <w:b/>
              </w:rPr>
              <w:t>Anteil</w:t>
            </w:r>
          </w:p>
        </w:tc>
        <w:tc>
          <w:tcPr>
            <w:tcW w:w="2625" w:type="dxa"/>
            <w:shd w:val="clear" w:color="auto" w:fill="D9D9D9"/>
          </w:tcPr>
          <w:p w14:paraId="4FF33DB7" w14:textId="77777777" w:rsidR="00D806ED" w:rsidRDefault="00000000">
            <w:pPr>
              <w:pStyle w:val="Tabelleninhalt"/>
              <w:keepNext/>
            </w:pPr>
            <w:r>
              <w:rPr>
                <w:b/>
              </w:rPr>
              <w:t>Normstrategie</w:t>
            </w:r>
          </w:p>
        </w:tc>
        <w:tc>
          <w:tcPr>
            <w:tcW w:w="2625" w:type="dxa"/>
            <w:shd w:val="clear" w:color="auto" w:fill="D9D9D9"/>
          </w:tcPr>
          <w:p w14:paraId="41936D26" w14:textId="77777777" w:rsidR="00D806ED" w:rsidRDefault="00000000">
            <w:pPr>
              <w:pStyle w:val="Tabelleninhalt"/>
              <w:keepNext/>
            </w:pPr>
            <w:r>
              <w:rPr>
                <w:b/>
              </w:rPr>
              <w:t>Lager-/Lieferkonzept</w:t>
            </w:r>
          </w:p>
        </w:tc>
      </w:tr>
      <w:tr w:rsidR="00D806ED" w14:paraId="19EBC2DA" w14:textId="77777777">
        <w:trPr>
          <w:cantSplit/>
        </w:trPr>
        <w:tc>
          <w:tcPr>
            <w:tcW w:w="1910" w:type="dxa"/>
          </w:tcPr>
          <w:p w14:paraId="55FA7F6D" w14:textId="77777777" w:rsidR="00D806ED" w:rsidRDefault="00000000">
            <w:pPr>
              <w:pStyle w:val="Tabelleninhalt"/>
              <w:keepNext/>
            </w:pPr>
            <w:r>
              <w:t>A, ≥ 4 Bestellungen p. a. (X-ähnlich)</w:t>
            </w:r>
          </w:p>
        </w:tc>
        <w:tc>
          <w:tcPr>
            <w:tcW w:w="1910" w:type="dxa"/>
          </w:tcPr>
          <w:p w14:paraId="05F76253" w14:textId="77777777" w:rsidR="00D806ED" w:rsidRDefault="00000000">
            <w:pPr>
              <w:pStyle w:val="Tabelleninhalt"/>
              <w:keepNext/>
            </w:pPr>
            <w:r>
              <w:t>371 Materialien, 22 % des Werts</w:t>
            </w:r>
          </w:p>
        </w:tc>
        <w:tc>
          <w:tcPr>
            <w:tcW w:w="2625" w:type="dxa"/>
          </w:tcPr>
          <w:p w14:paraId="7E83C8F0" w14:textId="77777777" w:rsidR="00D806ED" w:rsidRDefault="00000000">
            <w:pPr>
              <w:pStyle w:val="Tabelleninhalt"/>
              <w:keepNext/>
            </w:pPr>
            <w:r>
              <w:t>Rahmenvertrag mit Jahresmenge, Single bzw. Dual Sourcing, Wertanalyse</w:t>
            </w:r>
          </w:p>
        </w:tc>
        <w:tc>
          <w:tcPr>
            <w:tcW w:w="2625" w:type="dxa"/>
          </w:tcPr>
          <w:p w14:paraId="20C0A7A2" w14:textId="77777777" w:rsidR="00D806ED" w:rsidRDefault="00000000">
            <w:pPr>
              <w:pStyle w:val="Tabelleninhalt"/>
              <w:keepNext/>
            </w:pPr>
            <w:r>
              <w:t>JIT/Kanban-Abruf, Konsignationslager beim Werk</w:t>
            </w:r>
          </w:p>
        </w:tc>
      </w:tr>
      <w:tr w:rsidR="00D806ED" w14:paraId="0A68ACE9" w14:textId="77777777">
        <w:trPr>
          <w:cantSplit/>
        </w:trPr>
        <w:tc>
          <w:tcPr>
            <w:tcW w:w="1910" w:type="dxa"/>
          </w:tcPr>
          <w:p w14:paraId="049EE63D" w14:textId="77777777" w:rsidR="00D806ED" w:rsidRDefault="00000000">
            <w:pPr>
              <w:pStyle w:val="Tabelleninhalt"/>
              <w:keepNext/>
            </w:pPr>
            <w:r>
              <w:t>A mit 1–3 Bestellungen p. a. und B (Y/Z-ähnlich)</w:t>
            </w:r>
          </w:p>
        </w:tc>
        <w:tc>
          <w:tcPr>
            <w:tcW w:w="1910" w:type="dxa"/>
          </w:tcPr>
          <w:p w14:paraId="5EF358BF" w14:textId="77777777" w:rsidR="00D806ED" w:rsidRDefault="00000000">
            <w:pPr>
              <w:pStyle w:val="Tabelleninhalt"/>
              <w:keepNext/>
            </w:pPr>
            <w:r>
              <w:t>531 A-Materialien (48 % des Werts) und 2 161 B-Materialien (20 %)</w:t>
            </w:r>
          </w:p>
        </w:tc>
        <w:tc>
          <w:tcPr>
            <w:tcW w:w="2625" w:type="dxa"/>
          </w:tcPr>
          <w:p w14:paraId="38A08622" w14:textId="77777777" w:rsidR="00D806ED" w:rsidRDefault="00000000">
            <w:pPr>
              <w:pStyle w:val="Tabelleninhalt"/>
              <w:keepNext/>
            </w:pPr>
            <w:r>
              <w:t>rollierender Forecast mit dem Lieferanten, Sicherheitsbestand nach Planbarkeit</w:t>
            </w:r>
          </w:p>
        </w:tc>
        <w:tc>
          <w:tcPr>
            <w:tcW w:w="2625" w:type="dxa"/>
          </w:tcPr>
          <w:p w14:paraId="01468BAA" w14:textId="77777777" w:rsidR="00D806ED" w:rsidRDefault="00000000">
            <w:pPr>
              <w:pStyle w:val="Tabelleninhalt"/>
              <w:keepNext/>
            </w:pPr>
            <w:r>
              <w:t>Abruf aus dem Zentrallager, Wochen- bzw. Monatsrhythmus</w:t>
            </w:r>
          </w:p>
        </w:tc>
      </w:tr>
      <w:tr w:rsidR="00D806ED" w14:paraId="28851EC8" w14:textId="77777777">
        <w:trPr>
          <w:cantSplit/>
        </w:trPr>
        <w:tc>
          <w:tcPr>
            <w:tcW w:w="1910" w:type="dxa"/>
          </w:tcPr>
          <w:p w14:paraId="6CBE2A4E" w14:textId="77777777" w:rsidR="00D806ED" w:rsidRDefault="00000000">
            <w:pPr>
              <w:pStyle w:val="Tabelleninhalt"/>
              <w:keepNext/>
            </w:pPr>
            <w:r>
              <w:t>C lokal</w:t>
            </w:r>
          </w:p>
        </w:tc>
        <w:tc>
          <w:tcPr>
            <w:tcW w:w="1910" w:type="dxa"/>
          </w:tcPr>
          <w:p w14:paraId="5669D880" w14:textId="77777777" w:rsidR="00D806ED" w:rsidRDefault="00000000">
            <w:pPr>
              <w:pStyle w:val="Tabelleninhalt"/>
              <w:keepNext/>
            </w:pPr>
            <w:r>
              <w:t>15 299 Materialien</w:t>
            </w:r>
          </w:p>
        </w:tc>
        <w:tc>
          <w:tcPr>
            <w:tcW w:w="2625" w:type="dxa"/>
          </w:tcPr>
          <w:p w14:paraId="35A386C9" w14:textId="77777777" w:rsidR="00D806ED" w:rsidRDefault="00000000">
            <w:pPr>
              <w:pStyle w:val="Tabelleninhalt"/>
              <w:keepNext/>
            </w:pPr>
            <w:r>
              <w:t>Bündelung bei 2–3 Systemlieferanten (C-Teile-Management)</w:t>
            </w:r>
          </w:p>
        </w:tc>
        <w:tc>
          <w:tcPr>
            <w:tcW w:w="2625" w:type="dxa"/>
          </w:tcPr>
          <w:p w14:paraId="5D769027" w14:textId="77777777" w:rsidR="00D806ED" w:rsidRDefault="00000000">
            <w:pPr>
              <w:pStyle w:val="Tabelleninhalt"/>
              <w:keepNext/>
            </w:pPr>
            <w:r>
              <w:t xml:space="preserve">Konsignation, 2-Behälter-Kanban direkt an den Verbauort</w:t>
            </w:r>
          </w:p>
        </w:tc>
      </w:tr>
      <w:tr w:rsidR="00D806ED" w14:paraId="06B8A4EF" w14:textId="77777777">
        <w:trPr>
          <w:cantSplit/>
        </w:trPr>
        <w:tc>
          <w:tcPr>
            <w:tcW w:w="1910" w:type="dxa"/>
          </w:tcPr>
          <w:p w14:paraId="15FAA6BD" w14:textId="77777777" w:rsidR="00D806ED" w:rsidRDefault="00000000">
            <w:pPr>
              <w:pStyle w:val="Tabelleninhalt"/>
              <w:keepNext/>
            </w:pPr>
            <w:r>
              <w:t>C Übersee</w:t>
            </w:r>
          </w:p>
        </w:tc>
        <w:tc>
          <w:tcPr>
            <w:tcW w:w="1910" w:type="dxa"/>
          </w:tcPr>
          <w:p w14:paraId="4BDB7075" w14:textId="77777777" w:rsidR="00D806ED" w:rsidRDefault="00000000">
            <w:pPr>
              <w:pStyle w:val="Tabelleninhalt"/>
              <w:keepNext/>
            </w:pPr>
            <w:r>
              <w:t>5 281 Materialien</w:t>
            </w:r>
          </w:p>
        </w:tc>
        <w:tc>
          <w:tcPr>
            <w:tcW w:w="2625" w:type="dxa"/>
          </w:tcPr>
          <w:p w14:paraId="3C762381" w14:textId="77777777" w:rsidR="00D806ED" w:rsidRDefault="00000000">
            <w:pPr>
              <w:pStyle w:val="Tabelleninhalt"/>
              <w:keepNext/>
            </w:pPr>
            <w:r>
              <w:t>Konsolidierung beim Distributor bzw. Spediteur am Ursprung</w:t>
            </w:r>
          </w:p>
        </w:tc>
        <w:tc>
          <w:tcPr>
            <w:tcW w:w="2625" w:type="dxa"/>
          </w:tcPr>
          <w:p w14:paraId="1B3CCE07" w14:textId="77777777" w:rsidR="00D806ED" w:rsidRDefault="00000000">
            <w:pPr>
              <w:pStyle w:val="Tabelleninhalt"/>
              <w:keepNext/>
            </w:pPr>
            <w:r>
              <w:t>Sammelcontainer in den Zollverschluss, Sicherheitsbestand im Zentrallager (Block 1)</w:t>
            </w:r>
          </w:p>
        </w:tc>
      </w:tr>
    </w:tbl>
    <w:p w14:paraId="749C15C0" w14:textId="77777777" w:rsidR="00D806ED" w:rsidRDefault="00000000">
      <w:pPr>
        <w:pStyle w:val="Quellenangabe"/>
      </w:pPr>
      <w:r>
        <w:t xml:space="preserve">Quelle: Eigene Darstellung in Anlehnung an Hutzler und Fuchs (2021, S. 35–38). Daten: </w:t>
      </w:r>
      <w:r>
        <w:rPr>
          <w:i/>
          <w:iCs/>
        </w:rPr>
        <w:t>Daten-ABC-Analyse-Grofu</w:t>
      </w:r>
      <w:r>
        <w:t xml:space="preserve"> (o. J.).</w:t>
      </w:r>
    </w:p>
    <w:p w14:paraId="22FB580B" w14:textId="77777777" w:rsidR="00D806ED" w:rsidRDefault="00000000">
      <w:pPr>
        <w:pStyle w:val="berschrift2"/>
        <w:numPr>
          <w:ilvl w:val="0"/>
          <w:numId w:val="0"/>
        </w:numPr>
      </w:pPr>
      <w:bookmarkStart w:id="118" w:name="_Toc243825064"/>
      <w:r>
        <w:t>Anhang E: Rechenweg Potenzialmatrix Distribution</w:t>
      </w:r>
      <w:bookmarkEnd w:id="118"/>
    </w:p>
    <w:p w14:paraId="1F6D6A0D" w14:textId="77777777" w:rsidR="00D806ED" w:rsidRDefault="00000000">
      <w:pPr>
        <w:pStyle w:val="Textkrper"/>
      </w:pPr>
      <w:r>
        <w:t xml:space="preserve">Das Potenzial eines Wegs </w:t>
      </w:r>
      <w:r>
        <w:rPr>
          <w:i/>
          <w:iCs/>
        </w:rPr>
        <w:t>w</w:t>
      </w:r>
      <w:r>
        <w:t xml:space="preserve"> für ein Segment </w:t>
      </w:r>
      <w:r>
        <w:rPr>
          <w:i/>
          <w:iCs/>
        </w:rPr>
        <w:t>s</w:t>
      </w:r>
      <w:r>
        <w:t xml:space="preserve"> ist die Summe aus Bewertung mal Gewicht über die vier Kriterien (Tabelle 9). Beispiel OEM, Seefracht direkt: 0,15 · 1 + 0,50 · 5 + 0,15 · 1 + 0,20 · 2 = 3,20. Zur Gewinnwirkung im OEM-Segment: Ist der Nettogewinn </w:t>
      </w:r>
      <w:r>
        <w:rPr>
          <w:i/>
          <w:iCs/>
        </w:rPr>
        <w:t>N</w:t>
      </w:r>
      <w:r>
        <w:t xml:space="preserve"> und betragen die Frachtkosten 0,84 · </w:t>
      </w:r>
      <w:r>
        <w:rPr>
          <w:i/>
          <w:iCs/>
        </w:rPr>
        <w:t>N</w:t>
      </w:r>
      <w:r>
        <w:t xml:space="preserve"> (HWZ, o. J., S. 7), so ist das Ergebnis vor Fracht 1,84 · </w:t>
      </w:r>
      <w:r>
        <w:rPr>
          <w:i/>
          <w:iCs/>
        </w:rPr>
        <w:t>N</w:t>
      </w:r>
      <w:r>
        <w:t xml:space="preserve">. Sinken die Frachtkosten um den Anteil </w:t>
      </w:r>
      <w:r>
        <w:rPr>
          <w:i/>
          <w:iCs/>
        </w:rPr>
        <w:t>x</w:t>
      </w:r>
      <w:r>
        <w:t xml:space="preserve">, steigt der Nettogewinn auf </w:t>
      </w:r>
      <w:r>
        <w:rPr>
          <w:i/>
          <w:iCs/>
        </w:rPr>
        <w:t>N</w:t>
      </w:r>
      <w:r>
        <w:t xml:space="preserve"> · (1 + 0,84 · </w:t>
      </w:r>
      <w:r>
        <w:rPr>
          <w:i/>
          <w:iCs/>
        </w:rPr>
        <w:t>x</w:t>
      </w:r>
      <w:r>
        <w:t xml:space="preserve">). Ab welchem Kostengewicht </w:t>
      </w:r>
      <w:r>
        <w:rPr>
          <w:i/>
          <w:iCs/>
        </w:rPr>
        <w:t>c</w:t>
      </w:r>
      <w:r>
        <w:t xml:space="preserve"> die Seefracht (W3) die Luftfracht (W1) schlägt, folgt aus 5</w:t>
      </w:r>
      <w:r>
        <w:rPr>
          <w:i/>
          <w:iCs/>
        </w:rPr>
        <w:t>c</w:t>
      </w:r>
      <w:r>
        <w:t xml:space="preserve"> + 1,4 (1 − </w:t>
      </w:r>
      <w:r>
        <w:rPr>
          <w:i/>
          <w:iCs/>
        </w:rPr>
        <w:t>c</w:t>
      </w:r>
      <w:r>
        <w:t xml:space="preserve">) = </w:t>
      </w:r>
      <w:r>
        <w:rPr>
          <w:i/>
          <w:iCs/>
        </w:rPr>
        <w:t>c</w:t>
      </w:r>
      <w:r>
        <w:t xml:space="preserve"> + 3,9 (1 − </w:t>
      </w:r>
      <w:r>
        <w:rPr>
          <w:i/>
          <w:iCs/>
        </w:rPr>
        <w:t>c</w:t>
      </w:r>
      <w:r>
        <w:t xml:space="preserve">), wobei die übrigen Gewichte im Verhältnis 15 : 15 : 20 verteilt sind. Daraus ergibt sich </w:t>
      </w:r>
      <w:r>
        <w:rPr>
          <w:i/>
          <w:iCs/>
        </w:rPr>
        <w:t>c</w:t>
      </w:r>
      <w:r>
        <w:t xml:space="preserve"> ≈ 0,38.</w:t>
      </w:r>
    </w:p>
    <w:p w14:paraId="438A3636" w14:textId="77777777" w:rsidR="00D806ED" w:rsidRDefault="00000000">
      <w:pPr>
        <w:pStyle w:val="berschrift2"/>
        <w:numPr>
          <w:ilvl w:val="0"/>
          <w:numId w:val="0"/>
        </w:numPr>
      </w:pPr>
      <w:bookmarkStart w:id="119" w:name="_Toc243825065"/>
      <w:r>
        <w:lastRenderedPageBreak/>
        <w:t>Anhang F: Soll-Distributionsnetz</w:t>
      </w:r>
      <w:bookmarkEnd w:id="119"/>
    </w:p>
    <w:p w14:paraId="284E8604" w14:textId="77777777" w:rsidR="00D806ED" w:rsidRDefault="00000000">
      <w:pPr>
        <w:pStyle w:val="Abbildung"/>
      </w:pPr>
      <w:bookmarkStart w:id="120" w:name="fig%3Adist-netz"/>
      <w:r>
        <w:rPr>
          <w:noProof/>
        </w:rPr>
        <w:drawing>
          <wp:inline distT="0" distB="0" distL="0" distR="0" wp14:anchorId="5E462817" wp14:editId="447CDEFC">
            <wp:extent cx="5753100" cy="3141345"/>
            <wp:effectExtent l="0" t="0" r="0" b="0"/>
            <wp:docPr id="11" name="Image10" descr="Soll-Distributionsnetz je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Soll-Distributionsnetz je Segment"/>
                    <pic:cNvPicPr>
                      <a:picLocks noChangeAspect="1" noChangeArrowheads="1"/>
                    </pic:cNvPicPr>
                  </pic:nvPicPr>
                  <pic:blipFill>
                    <a:blip r:embed="rId19"/>
                    <a:stretch>
                      <a:fillRect/>
                    </a:stretch>
                  </pic:blipFill>
                  <pic:spPr bwMode="auto">
                    <a:xfrm>
                      <a:off x="0" y="0"/>
                      <a:ext cx="5753100" cy="3141345"/>
                    </a:xfrm>
                    <a:prstGeom prst="rect">
                      <a:avLst/>
                    </a:prstGeom>
                    <a:noFill/>
                  </pic:spPr>
                </pic:pic>
              </a:graphicData>
            </a:graphic>
          </wp:inline>
        </w:drawing>
      </w:r>
    </w:p>
    <w:p w14:paraId="67781D78" w14:textId="21EB5EA6" w:rsidR="00D806ED" w:rsidRDefault="00000000">
      <w:pPr>
        <w:pStyle w:val="Beschriftung"/>
        <w:keepNext/>
        <w:jc w:val="center"/>
      </w:pPr>
      <w:bookmarkStart w:id="121" w:name="_Toc243824179"/>
      <w:r>
        <w:t xml:space="preserve">Abbildung </w:t>
      </w:r>
      <w:fldSimple w:instr=" SEQ Abbildung \* ARABIC ">
        <w:r>
          <w:rPr>
            <w:noProof/>
          </w:rPr>
          <w:t>10</w:t>
        </w:r>
      </w:fldSimple>
      <w:r>
        <w:t>: Soll-Distributionsnetz je Segment</w:t>
      </w:r>
      <w:bookmarkEnd w:id="120"/>
      <w:bookmarkEnd w:id="121"/>
    </w:p>
    <w:p w14:paraId="060F7284" w14:textId="77777777" w:rsidR="00D806ED" w:rsidRDefault="00000000">
      <w:pPr>
        <w:pStyle w:val="Quellenangabe"/>
      </w:pPr>
      <w:r>
        <w:t>Quelle: Eigene Darstellung.</w:t>
      </w:r>
    </w:p>
    <w:p w14:paraId="19A8F757" w14:textId="77777777" w:rsidR="00D806ED" w:rsidRDefault="00000000">
      <w:pPr>
        <w:pStyle w:val="berschrift2"/>
        <w:numPr>
          <w:ilvl w:val="0"/>
          <w:numId w:val="0"/>
        </w:numPr>
      </w:pPr>
      <w:bookmarkStart w:id="122" w:name="_Toc243825066"/>
      <w:r>
        <w:t>Anhang G: Block 3, Block 4 und Gesamtkonzept</w:t>
      </w:r>
      <w:bookmarkEnd w:id="122"/>
    </w:p>
    <w:p w14:paraId="02257FBA" w14:textId="77777777" w:rsidR="00D806ED" w:rsidRDefault="00000000">
      <w:pPr>
        <w:pStyle w:val="Textkrper"/>
      </w:pPr>
      <w:r>
        <w:t xml:space="preserve">Alle Nutzwerte, das Lieferzeitmodell und die Kennzahlen in diesem Anhang berechnet analyse/block3_4_kennzahlen.py, das die Summen- und Leerzeilen am Blattende der Daten entfernt (23 643 Rohmaterialien). Die Abbildungen erzeugen die Skripte in abbildungen/.</w:t>
      </w:r>
    </w:p>
    <w:p w14:paraId="73A1C21B" w14:textId="77777777" w:rsidR="00D806ED" w:rsidRDefault="00000000">
      <w:pPr>
        <w:pStyle w:val="berschrift3"/>
        <w:numPr>
          <w:ilvl w:val="0"/>
          <w:numId w:val="0"/>
        </w:numPr>
      </w:pPr>
      <w:r>
        <w:t>Nutzwertanalyse Produktionsform je Segment</w:t>
      </w:r>
    </w:p>
    <w:p w14:paraId="1FA08737" w14:textId="77777777" w:rsidR="00D806ED" w:rsidRDefault="00000000">
      <w:pPr>
        <w:pStyle w:val="Textkrper"/>
      </w:pPr>
      <w:r>
        <w:t xml:space="preserve">Punkte: 1 = schlecht, 5 = sehr gut. Ws = Werkstatt, Ins = Insel/Montagezelle, Fl = Fliess/Takt. In Klammern stehen die Nutzwerte bei gleichen Gewichten.</w:t>
      </w:r>
    </w:p>
    <w:p w14:paraId="6C7007B1" w14:textId="2425F5A7" w:rsidR="00D806ED" w:rsidRDefault="00000000">
      <w:pPr>
        <w:pStyle w:val="Beschriftung"/>
        <w:keepNext/>
      </w:pPr>
      <w:bookmarkStart w:id="123" w:name="_Toc243824227"/>
      <w:r>
        <w:t xml:space="preserve">Tabelle </w:t>
      </w:r>
      <w:fldSimple w:instr=" SEQ Tabelle \* ARABIC ">
        <w:r>
          <w:rPr>
            <w:noProof/>
          </w:rPr>
          <w:t>20</w:t>
        </w:r>
      </w:fldSimple>
      <w:r>
        <w:t>: Nutzwertanalyse Produktionsform je Segment</w:t>
      </w:r>
      <w:bookmarkEnd w:id="123"/>
    </w:p>
    <w:tbl>
      <w:tblPr>
        <w:tblStyle w:val="Tabellenraster"/>
        <w:tblW w:w="9067" w:type="dxa"/>
        <w:tblInd w:w="113" w:type="dxa"/>
        <w:tblLayout w:type="fixed"/>
        <w:tblLook w:val="0020" w:firstRow="1" w:lastRow="0" w:firstColumn="0" w:lastColumn="0" w:noHBand="0" w:noVBand="0"/>
      </w:tblPr>
      <w:tblGrid>
        <w:gridCol w:w="2312"/>
        <w:gridCol w:w="3632"/>
        <w:gridCol w:w="1041"/>
        <w:gridCol w:w="1041"/>
        <w:gridCol w:w="1041"/>
      </w:tblGrid>
      <w:tr w:rsidR="00D806ED" w14:paraId="42D636B6" w14:textId="77777777">
        <w:trPr>
          <w:tblHeader/>
        </w:trPr>
        <w:tc>
          <w:tcPr>
            <w:tcW w:w="2312" w:type="dxa"/>
            <w:shd w:val="clear" w:color="auto" w:fill="D9D9D9"/>
          </w:tcPr>
          <w:p w14:paraId="20E412C7" w14:textId="77777777" w:rsidR="00D806ED" w:rsidRDefault="00000000">
            <w:pPr>
              <w:pStyle w:val="Tabelleninhalt"/>
            </w:pPr>
            <w:r>
              <w:rPr>
                <w:b/>
              </w:rPr>
              <w:t>Segment</w:t>
            </w:r>
          </w:p>
        </w:tc>
        <w:tc>
          <w:tcPr>
            <w:tcW w:w="3632" w:type="dxa"/>
            <w:shd w:val="clear" w:color="auto" w:fill="D9D9D9"/>
          </w:tcPr>
          <w:p w14:paraId="68B13156" w14:textId="77777777" w:rsidR="00D806ED" w:rsidRDefault="00000000">
            <w:pPr>
              <w:pStyle w:val="Tabelleninhalt"/>
            </w:pPr>
            <w:r>
              <w:rPr>
                <w:b/>
              </w:rPr>
              <w:t>Kriterien (Gewicht)</w:t>
            </w:r>
          </w:p>
        </w:tc>
        <w:tc>
          <w:tcPr>
            <w:tcW w:w="1041" w:type="dxa"/>
            <w:shd w:val="clear" w:color="auto" w:fill="D9D9D9"/>
          </w:tcPr>
          <w:p w14:paraId="70BE904C" w14:textId="77777777" w:rsidR="00D806ED" w:rsidRDefault="00000000">
            <w:pPr>
              <w:pStyle w:val="Tabelleninhalt"/>
            </w:pPr>
            <w:r>
              <w:rPr>
                <w:b/>
              </w:rPr>
              <w:t>Ws</w:t>
            </w:r>
          </w:p>
        </w:tc>
        <w:tc>
          <w:tcPr>
            <w:tcW w:w="1041" w:type="dxa"/>
            <w:shd w:val="clear" w:color="auto" w:fill="D9D9D9"/>
          </w:tcPr>
          <w:p w14:paraId="59B2AE91" w14:textId="77777777" w:rsidR="00D806ED" w:rsidRDefault="00000000">
            <w:pPr>
              <w:pStyle w:val="Tabelleninhalt"/>
            </w:pPr>
            <w:r>
              <w:rPr>
                <w:b/>
              </w:rPr>
              <w:t>Ins</w:t>
            </w:r>
          </w:p>
        </w:tc>
        <w:tc>
          <w:tcPr>
            <w:tcW w:w="1041" w:type="dxa"/>
            <w:shd w:val="clear" w:color="auto" w:fill="D9D9D9"/>
          </w:tcPr>
          <w:p w14:paraId="36DFCD5D" w14:textId="77777777" w:rsidR="00D806ED" w:rsidRDefault="00000000">
            <w:pPr>
              <w:pStyle w:val="Tabelleninhalt"/>
            </w:pPr>
            <w:r>
              <w:rPr>
                <w:b/>
              </w:rPr>
              <w:t>Fl</w:t>
            </w:r>
          </w:p>
        </w:tc>
      </w:tr>
      <w:tr w:rsidR="00D806ED" w14:paraId="741E3162" w14:textId="77777777">
        <w:trPr>
          <w:cantSplit/>
        </w:trPr>
        <w:tc>
          <w:tcPr>
            <w:tcW w:w="2312" w:type="dxa"/>
          </w:tcPr>
          <w:p w14:paraId="2EFDBA5C" w14:textId="77777777" w:rsidR="00D806ED" w:rsidRDefault="00000000">
            <w:pPr>
              <w:pStyle w:val="Tabelleninhalt"/>
            </w:pPr>
            <w:r>
              <w:t>Anlagenbau-Module</w:t>
            </w:r>
          </w:p>
        </w:tc>
        <w:tc>
          <w:tcPr>
            <w:tcW w:w="3632" w:type="dxa"/>
          </w:tcPr>
          <w:p w14:paraId="56E337E2" w14:textId="77777777" w:rsidR="00D806ED" w:rsidRDefault="00000000">
            <w:pPr>
              <w:pStyle w:val="Tabelleninhalt"/>
            </w:pPr>
            <w:r>
              <w:t>Durchlaufzeit/Liefertreue (40 %)</w:t>
            </w:r>
          </w:p>
        </w:tc>
        <w:tc>
          <w:tcPr>
            <w:tcW w:w="1041" w:type="dxa"/>
          </w:tcPr>
          <w:p w14:paraId="65E3B87C" w14:textId="77777777" w:rsidR="00D806ED" w:rsidRDefault="00000000">
            <w:pPr>
              <w:pStyle w:val="Tabelleninhalt"/>
            </w:pPr>
            <w:r>
              <w:t>1</w:t>
            </w:r>
          </w:p>
        </w:tc>
        <w:tc>
          <w:tcPr>
            <w:tcW w:w="1041" w:type="dxa"/>
          </w:tcPr>
          <w:p w14:paraId="6C294FA6" w14:textId="77777777" w:rsidR="00D806ED" w:rsidRDefault="00000000">
            <w:pPr>
              <w:pStyle w:val="Tabelleninhalt"/>
            </w:pPr>
            <w:r>
              <w:t>4</w:t>
            </w:r>
          </w:p>
        </w:tc>
        <w:tc>
          <w:tcPr>
            <w:tcW w:w="1041" w:type="dxa"/>
          </w:tcPr>
          <w:p w14:paraId="07E19502" w14:textId="77777777" w:rsidR="00D806ED" w:rsidRDefault="00000000">
            <w:pPr>
              <w:pStyle w:val="Tabelleninhalt"/>
            </w:pPr>
            <w:r>
              <w:rPr>
                <w:shd w:val="clear" w:color="auto" w:fill="DDEBF7"/>
              </w:rPr>
              <w:t xml:space="preserve">3</w:t>
            </w:r>
          </w:p>
        </w:tc>
      </w:tr>
      <w:tr w:rsidR="00D806ED" w14:paraId="1486566D" w14:textId="77777777">
        <w:trPr>
          <w:cantSplit/>
        </w:trPr>
        <w:tc>
          <w:tcPr>
            <w:tcW w:w="2312" w:type="dxa"/>
          </w:tcPr>
          <w:p w14:paraId="45597DA1" w14:textId="77777777" w:rsidR="00D806ED" w:rsidRDefault="00D806ED">
            <w:pPr>
              <w:pStyle w:val="Tabelleninhalt"/>
            </w:pPr>
          </w:p>
        </w:tc>
        <w:tc>
          <w:tcPr>
            <w:tcW w:w="3632" w:type="dxa"/>
          </w:tcPr>
          <w:p w14:paraId="15355B3D" w14:textId="77777777" w:rsidR="00D806ED" w:rsidRDefault="00000000">
            <w:pPr>
              <w:pStyle w:val="Tabelleninhalt"/>
            </w:pPr>
            <w:r>
              <w:t>Variantenflexibilität (35 %)</w:t>
            </w:r>
          </w:p>
        </w:tc>
        <w:tc>
          <w:tcPr>
            <w:tcW w:w="1041" w:type="dxa"/>
          </w:tcPr>
          <w:p w14:paraId="3AF9ED28" w14:textId="77777777" w:rsidR="00D806ED" w:rsidRDefault="00000000">
            <w:pPr>
              <w:pStyle w:val="Tabelleninhalt"/>
            </w:pPr>
            <w:r>
              <w:t>5</w:t>
            </w:r>
          </w:p>
        </w:tc>
        <w:tc>
          <w:tcPr>
            <w:tcW w:w="1041" w:type="dxa"/>
          </w:tcPr>
          <w:p w14:paraId="210BE1A3" w14:textId="77777777" w:rsidR="00D806ED" w:rsidRDefault="00000000">
            <w:pPr>
              <w:pStyle w:val="Tabelleninhalt"/>
            </w:pPr>
            <w:r>
              <w:t>4</w:t>
            </w:r>
          </w:p>
        </w:tc>
        <w:tc>
          <w:tcPr>
            <w:tcW w:w="1041" w:type="dxa"/>
          </w:tcPr>
          <w:p w14:paraId="5FDBF657" w14:textId="77777777" w:rsidR="00D806ED" w:rsidRDefault="00000000">
            <w:pPr>
              <w:pStyle w:val="Tabelleninhalt"/>
            </w:pPr>
            <w:r>
              <w:t>1</w:t>
            </w:r>
          </w:p>
        </w:tc>
      </w:tr>
      <w:tr w:rsidR="00D806ED" w14:paraId="211D80E6" w14:textId="77777777">
        <w:trPr>
          <w:cantSplit/>
        </w:trPr>
        <w:tc>
          <w:tcPr>
            <w:tcW w:w="2312" w:type="dxa"/>
          </w:tcPr>
          <w:p w14:paraId="00AE5FE1" w14:textId="77777777" w:rsidR="00D806ED" w:rsidRDefault="00D806ED">
            <w:pPr>
              <w:pStyle w:val="Tabelleninhalt"/>
            </w:pPr>
          </w:p>
        </w:tc>
        <w:tc>
          <w:tcPr>
            <w:tcW w:w="3632" w:type="dxa"/>
          </w:tcPr>
          <w:p w14:paraId="3CA0EAC5" w14:textId="77777777" w:rsidR="00D806ED" w:rsidRDefault="00000000">
            <w:pPr>
              <w:pStyle w:val="Tabelleninhalt"/>
            </w:pPr>
            <w:r>
              <w:t>Qualität (15 %)</w:t>
            </w:r>
          </w:p>
        </w:tc>
        <w:tc>
          <w:tcPr>
            <w:tcW w:w="1041" w:type="dxa"/>
          </w:tcPr>
          <w:p w14:paraId="045B4B9B" w14:textId="77777777" w:rsidR="00D806ED" w:rsidRDefault="00000000">
            <w:pPr>
              <w:pStyle w:val="Tabelleninhalt"/>
            </w:pPr>
            <w:r>
              <w:rPr>
                <w:shd w:val="clear" w:color="auto" w:fill="DDEBF7"/>
              </w:rPr>
              <w:t xml:space="preserve">4</w:t>
            </w:r>
          </w:p>
        </w:tc>
        <w:tc>
          <w:tcPr>
            <w:tcW w:w="1041" w:type="dxa"/>
          </w:tcPr>
          <w:p w14:paraId="3D70358D" w14:textId="77777777" w:rsidR="00D806ED" w:rsidRDefault="00000000">
            <w:pPr>
              <w:pStyle w:val="Tabelleninhalt"/>
            </w:pPr>
            <w:r>
              <w:t>4</w:t>
            </w:r>
          </w:p>
        </w:tc>
        <w:tc>
          <w:tcPr>
            <w:tcW w:w="1041" w:type="dxa"/>
          </w:tcPr>
          <w:p w14:paraId="14C33D90" w14:textId="77777777" w:rsidR="00D806ED" w:rsidRDefault="00000000">
            <w:pPr>
              <w:pStyle w:val="Tabelleninhalt"/>
            </w:pPr>
            <w:r>
              <w:t>5</w:t>
            </w:r>
          </w:p>
        </w:tc>
      </w:tr>
      <w:tr w:rsidR="00D806ED" w14:paraId="42B68D2F" w14:textId="77777777">
        <w:trPr>
          <w:cantSplit/>
        </w:trPr>
        <w:tc>
          <w:tcPr>
            <w:tcW w:w="2312" w:type="dxa"/>
          </w:tcPr>
          <w:p w14:paraId="03E6CB41" w14:textId="77777777" w:rsidR="00D806ED" w:rsidRDefault="00D806ED">
            <w:pPr>
              <w:pStyle w:val="Tabelleninhalt"/>
            </w:pPr>
          </w:p>
        </w:tc>
        <w:tc>
          <w:tcPr>
            <w:tcW w:w="3632" w:type="dxa"/>
          </w:tcPr>
          <w:p w14:paraId="48102BF8" w14:textId="77777777" w:rsidR="00D806ED" w:rsidRDefault="00000000">
            <w:pPr>
              <w:pStyle w:val="Tabelleninhalt"/>
            </w:pPr>
            <w:r>
              <w:t>Investition (10 %)</w:t>
            </w:r>
          </w:p>
        </w:tc>
        <w:tc>
          <w:tcPr>
            <w:tcW w:w="1041" w:type="dxa"/>
          </w:tcPr>
          <w:p w14:paraId="2F739B24" w14:textId="77777777" w:rsidR="00D806ED" w:rsidRDefault="00000000">
            <w:pPr>
              <w:pStyle w:val="Tabelleninhalt"/>
            </w:pPr>
            <w:r>
              <w:t>5</w:t>
            </w:r>
          </w:p>
        </w:tc>
        <w:tc>
          <w:tcPr>
            <w:tcW w:w="1041" w:type="dxa"/>
          </w:tcPr>
          <w:p w14:paraId="011389F3" w14:textId="77777777" w:rsidR="00D806ED" w:rsidRDefault="00000000">
            <w:pPr>
              <w:pStyle w:val="Tabelleninhalt"/>
            </w:pPr>
            <w:r>
              <w:t>3</w:t>
            </w:r>
          </w:p>
        </w:tc>
        <w:tc>
          <w:tcPr>
            <w:tcW w:w="1041" w:type="dxa"/>
          </w:tcPr>
          <w:p w14:paraId="659FE8E5" w14:textId="77777777" w:rsidR="00D806ED" w:rsidRDefault="00000000">
            <w:pPr>
              <w:pStyle w:val="Tabelleninhalt"/>
            </w:pPr>
            <w:r>
              <w:t>1</w:t>
            </w:r>
          </w:p>
        </w:tc>
      </w:tr>
      <w:tr w:rsidR="00D806ED" w14:paraId="23F706D3" w14:textId="77777777">
        <w:trPr>
          <w:cantSplit/>
        </w:trPr>
        <w:tc>
          <w:tcPr>
            <w:tcW w:w="2312" w:type="dxa"/>
          </w:tcPr>
          <w:p w14:paraId="705309E8" w14:textId="77777777" w:rsidR="00D806ED" w:rsidRDefault="00D806ED">
            <w:pPr>
              <w:pStyle w:val="Tabelleninhalt"/>
            </w:pPr>
          </w:p>
        </w:tc>
        <w:tc>
          <w:tcPr>
            <w:tcW w:w="3632" w:type="dxa"/>
          </w:tcPr>
          <w:p w14:paraId="3CAFEE36" w14:textId="77777777" w:rsidR="00D806ED" w:rsidRDefault="00000000">
            <w:pPr>
              <w:pStyle w:val="Tabelleninhalt"/>
            </w:pPr>
            <w:r>
              <w:rPr>
                <w:b/>
                <w:bCs/>
              </w:rPr>
              <w:t>Nutzwert</w:t>
            </w:r>
          </w:p>
        </w:tc>
        <w:tc>
          <w:tcPr>
            <w:tcW w:w="1041" w:type="dxa"/>
          </w:tcPr>
          <w:p w14:paraId="44525ADE" w14:textId="77777777" w:rsidR="00D806ED" w:rsidRDefault="00000000">
            <w:pPr>
              <w:pStyle w:val="Tabelleninhalt"/>
            </w:pPr>
            <w:r>
              <w:rPr>
                <w:shd w:val="clear" w:color="auto" w:fill="DDEBF7"/>
              </w:rPr>
              <w:t xml:space="preserve">3,25 (3,75)</w:t>
            </w:r>
          </w:p>
        </w:tc>
        <w:tc>
          <w:tcPr>
            <w:tcW w:w="1041" w:type="dxa"/>
          </w:tcPr>
          <w:p w14:paraId="2674DAE8" w14:textId="77777777" w:rsidR="00D806ED" w:rsidRDefault="00000000">
            <w:pPr>
              <w:pStyle w:val="Tabelleninhalt"/>
            </w:pPr>
            <w:r>
              <w:rPr>
                <w:b/>
                <w:bCs/>
              </w:rPr>
              <w:t>3,90 (3,75)</w:t>
            </w:r>
          </w:p>
        </w:tc>
        <w:tc>
          <w:tcPr>
            <w:tcW w:w="1041" w:type="dxa"/>
          </w:tcPr>
          <w:p w14:paraId="6BFEAB1A" w14:textId="77777777" w:rsidR="00D806ED" w:rsidRDefault="00000000">
            <w:pPr>
              <w:pStyle w:val="Tabelleninhalt"/>
            </w:pPr>
            <w:r>
              <w:rPr>
                <w:shd w:val="clear" w:color="auto" w:fill="DDEBF7"/>
              </w:rPr>
              <w:t xml:space="preserve">2,40 (2,50)</w:t>
            </w:r>
          </w:p>
        </w:tc>
      </w:tr>
      <w:tr w:rsidR="00D806ED" w14:paraId="065137F1" w14:textId="77777777">
        <w:trPr>
          <w:cantSplit/>
        </w:trPr>
        <w:tc>
          <w:tcPr>
            <w:tcW w:w="2312" w:type="dxa"/>
          </w:tcPr>
          <w:p w14:paraId="56CD823A" w14:textId="77777777" w:rsidR="00D806ED" w:rsidRDefault="00000000">
            <w:pPr>
              <w:pStyle w:val="Tabelleninhalt"/>
            </w:pPr>
            <w:r>
              <w:t>Endgeräte Eigenlabel/OEM</w:t>
            </w:r>
          </w:p>
        </w:tc>
        <w:tc>
          <w:tcPr>
            <w:tcW w:w="3632" w:type="dxa"/>
          </w:tcPr>
          <w:p w14:paraId="2509C00A" w14:textId="77777777" w:rsidR="00D806ED" w:rsidRDefault="00000000">
            <w:pPr>
              <w:pStyle w:val="Tabelleninhalt"/>
            </w:pPr>
            <w:r>
              <w:t>Produktivität/Automatisierung (35 %)</w:t>
            </w:r>
          </w:p>
        </w:tc>
        <w:tc>
          <w:tcPr>
            <w:tcW w:w="1041" w:type="dxa"/>
          </w:tcPr>
          <w:p w14:paraId="021918BA" w14:textId="77777777" w:rsidR="00D806ED" w:rsidRDefault="00000000">
            <w:pPr>
              <w:pStyle w:val="Tabelleninhalt"/>
            </w:pPr>
            <w:r>
              <w:t>2</w:t>
            </w:r>
          </w:p>
        </w:tc>
        <w:tc>
          <w:tcPr>
            <w:tcW w:w="1041" w:type="dxa"/>
          </w:tcPr>
          <w:p w14:paraId="17D649ED" w14:textId="77777777" w:rsidR="00D806ED" w:rsidRDefault="00000000">
            <w:pPr>
              <w:pStyle w:val="Tabelleninhalt"/>
            </w:pPr>
            <w:r>
              <w:t>3</w:t>
            </w:r>
          </w:p>
        </w:tc>
        <w:tc>
          <w:tcPr>
            <w:tcW w:w="1041" w:type="dxa"/>
          </w:tcPr>
          <w:p w14:paraId="12DEBEFA" w14:textId="77777777" w:rsidR="00D806ED" w:rsidRDefault="00000000">
            <w:pPr>
              <w:pStyle w:val="Tabelleninhalt"/>
            </w:pPr>
            <w:r>
              <w:t>5</w:t>
            </w:r>
          </w:p>
        </w:tc>
      </w:tr>
      <w:tr w:rsidR="00D806ED" w14:paraId="760B5F9F" w14:textId="77777777">
        <w:trPr>
          <w:cantSplit/>
        </w:trPr>
        <w:tc>
          <w:tcPr>
            <w:tcW w:w="2312" w:type="dxa"/>
          </w:tcPr>
          <w:p w14:paraId="74DBD816" w14:textId="77777777" w:rsidR="00D806ED" w:rsidRDefault="00D806ED">
            <w:pPr>
              <w:pStyle w:val="Tabelleninhalt"/>
            </w:pPr>
          </w:p>
        </w:tc>
        <w:tc>
          <w:tcPr>
            <w:tcW w:w="3632" w:type="dxa"/>
          </w:tcPr>
          <w:p w14:paraId="30FDC565" w14:textId="77777777" w:rsidR="00D806ED" w:rsidRDefault="00000000">
            <w:pPr>
              <w:pStyle w:val="Tabelleninhalt"/>
            </w:pPr>
            <w:r>
              <w:t>Durchlaufzeit (25 %)</w:t>
            </w:r>
          </w:p>
        </w:tc>
        <w:tc>
          <w:tcPr>
            <w:tcW w:w="1041" w:type="dxa"/>
          </w:tcPr>
          <w:p w14:paraId="128A81D8" w14:textId="77777777" w:rsidR="00D806ED" w:rsidRDefault="00000000">
            <w:pPr>
              <w:pStyle w:val="Tabelleninhalt"/>
            </w:pPr>
            <w:r>
              <w:t>1</w:t>
            </w:r>
          </w:p>
        </w:tc>
        <w:tc>
          <w:tcPr>
            <w:tcW w:w="1041" w:type="dxa"/>
          </w:tcPr>
          <w:p w14:paraId="66A40040" w14:textId="77777777" w:rsidR="00D806ED" w:rsidRDefault="00000000">
            <w:pPr>
              <w:pStyle w:val="Tabelleninhalt"/>
            </w:pPr>
            <w:r>
              <w:t>4</w:t>
            </w:r>
          </w:p>
        </w:tc>
        <w:tc>
          <w:tcPr>
            <w:tcW w:w="1041" w:type="dxa"/>
          </w:tcPr>
          <w:p w14:paraId="3CAA8DB6" w14:textId="77777777" w:rsidR="00D806ED" w:rsidRDefault="00000000">
            <w:pPr>
              <w:pStyle w:val="Tabelleninhalt"/>
            </w:pPr>
            <w:r>
              <w:t>5</w:t>
            </w:r>
          </w:p>
        </w:tc>
      </w:tr>
      <w:tr w:rsidR="00D806ED" w14:paraId="2F594D29" w14:textId="77777777">
        <w:trPr>
          <w:cantSplit/>
        </w:trPr>
        <w:tc>
          <w:tcPr>
            <w:tcW w:w="2312" w:type="dxa"/>
          </w:tcPr>
          <w:p w14:paraId="2D60552B" w14:textId="77777777" w:rsidR="00D806ED" w:rsidRDefault="00D806ED">
            <w:pPr>
              <w:pStyle w:val="Tabelleninhalt"/>
            </w:pPr>
          </w:p>
        </w:tc>
        <w:tc>
          <w:tcPr>
            <w:tcW w:w="3632" w:type="dxa"/>
          </w:tcPr>
          <w:p w14:paraId="63B01694" w14:textId="77777777" w:rsidR="00D806ED" w:rsidRDefault="00000000">
            <w:pPr>
              <w:pStyle w:val="Tabelleninhalt"/>
            </w:pPr>
            <w:r>
              <w:t>Bestand/Kapitalbedarf (20 %)</w:t>
            </w:r>
          </w:p>
        </w:tc>
        <w:tc>
          <w:tcPr>
            <w:tcW w:w="1041" w:type="dxa"/>
          </w:tcPr>
          <w:p w14:paraId="755F224D" w14:textId="77777777" w:rsidR="00D806ED" w:rsidRDefault="00000000">
            <w:pPr>
              <w:pStyle w:val="Tabelleninhalt"/>
            </w:pPr>
            <w:r>
              <w:t>1</w:t>
            </w:r>
          </w:p>
        </w:tc>
        <w:tc>
          <w:tcPr>
            <w:tcW w:w="1041" w:type="dxa"/>
          </w:tcPr>
          <w:p w14:paraId="5DB3CB72" w14:textId="77777777" w:rsidR="00D806ED" w:rsidRDefault="00000000">
            <w:pPr>
              <w:pStyle w:val="Tabelleninhalt"/>
            </w:pPr>
            <w:r>
              <w:t>4</w:t>
            </w:r>
          </w:p>
        </w:tc>
        <w:tc>
          <w:tcPr>
            <w:tcW w:w="1041" w:type="dxa"/>
          </w:tcPr>
          <w:p w14:paraId="5590CEC5" w14:textId="77777777" w:rsidR="00D806ED" w:rsidRDefault="00000000">
            <w:pPr>
              <w:pStyle w:val="Tabelleninhalt"/>
            </w:pPr>
            <w:r>
              <w:t>4</w:t>
            </w:r>
          </w:p>
        </w:tc>
      </w:tr>
      <w:tr w:rsidR="00D806ED" w14:paraId="4EA7B05E" w14:textId="77777777">
        <w:trPr>
          <w:cantSplit/>
        </w:trPr>
        <w:tc>
          <w:tcPr>
            <w:tcW w:w="2312" w:type="dxa"/>
          </w:tcPr>
          <w:p w14:paraId="0FF1DF76" w14:textId="77777777" w:rsidR="00D806ED" w:rsidRDefault="00D806ED">
            <w:pPr>
              <w:pStyle w:val="Tabelleninhalt"/>
            </w:pPr>
          </w:p>
        </w:tc>
        <w:tc>
          <w:tcPr>
            <w:tcW w:w="3632" w:type="dxa"/>
          </w:tcPr>
          <w:p w14:paraId="4D1662DF" w14:textId="77777777" w:rsidR="00D806ED" w:rsidRDefault="00000000">
            <w:pPr>
              <w:pStyle w:val="Tabelleninhalt"/>
            </w:pPr>
            <w:r>
              <w:t>Investition (20 %)</w:t>
            </w:r>
          </w:p>
        </w:tc>
        <w:tc>
          <w:tcPr>
            <w:tcW w:w="1041" w:type="dxa"/>
          </w:tcPr>
          <w:p w14:paraId="6EDBD6E8" w14:textId="77777777" w:rsidR="00D806ED" w:rsidRDefault="00000000">
            <w:pPr>
              <w:pStyle w:val="Tabelleninhalt"/>
            </w:pPr>
            <w:r>
              <w:t>5</w:t>
            </w:r>
          </w:p>
        </w:tc>
        <w:tc>
          <w:tcPr>
            <w:tcW w:w="1041" w:type="dxa"/>
          </w:tcPr>
          <w:p w14:paraId="02D07094" w14:textId="77777777" w:rsidR="00D806ED" w:rsidRDefault="00000000">
            <w:pPr>
              <w:pStyle w:val="Tabelleninhalt"/>
            </w:pPr>
            <w:r>
              <w:t>3</w:t>
            </w:r>
          </w:p>
        </w:tc>
        <w:tc>
          <w:tcPr>
            <w:tcW w:w="1041" w:type="dxa"/>
          </w:tcPr>
          <w:p w14:paraId="117B9FA1" w14:textId="77777777" w:rsidR="00D806ED" w:rsidRDefault="00000000">
            <w:pPr>
              <w:pStyle w:val="Tabelleninhalt"/>
            </w:pPr>
            <w:r>
              <w:t>1</w:t>
            </w:r>
          </w:p>
        </w:tc>
      </w:tr>
      <w:tr w:rsidR="00D806ED" w14:paraId="164C06E1" w14:textId="77777777">
        <w:trPr>
          <w:cantSplit/>
        </w:trPr>
        <w:tc>
          <w:tcPr>
            <w:tcW w:w="2312" w:type="dxa"/>
          </w:tcPr>
          <w:p w14:paraId="1225DE91" w14:textId="77777777" w:rsidR="00D806ED" w:rsidRDefault="00D806ED">
            <w:pPr>
              <w:pStyle w:val="Tabelleninhalt"/>
            </w:pPr>
          </w:p>
        </w:tc>
        <w:tc>
          <w:tcPr>
            <w:tcW w:w="3632" w:type="dxa"/>
          </w:tcPr>
          <w:p w14:paraId="51D8210A" w14:textId="77777777" w:rsidR="00D806ED" w:rsidRDefault="00000000">
            <w:pPr>
              <w:pStyle w:val="Tabelleninhalt"/>
            </w:pPr>
            <w:r>
              <w:rPr>
                <w:b/>
                <w:bCs/>
              </w:rPr>
              <w:t>Nutzwert</w:t>
            </w:r>
          </w:p>
        </w:tc>
        <w:tc>
          <w:tcPr>
            <w:tcW w:w="1041" w:type="dxa"/>
          </w:tcPr>
          <w:p w14:paraId="6B785798" w14:textId="77777777" w:rsidR="00D806ED" w:rsidRDefault="00000000">
            <w:pPr>
              <w:pStyle w:val="Tabelleninhalt"/>
            </w:pPr>
            <w:r>
              <w:t>2,15 (2,25)</w:t>
            </w:r>
          </w:p>
        </w:tc>
        <w:tc>
          <w:tcPr>
            <w:tcW w:w="1041" w:type="dxa"/>
          </w:tcPr>
          <w:p w14:paraId="02C54FB1" w14:textId="77777777" w:rsidR="00D806ED" w:rsidRDefault="00000000">
            <w:pPr>
              <w:pStyle w:val="Tabelleninhalt"/>
            </w:pPr>
            <w:r>
              <w:t>3,45 (3,50)</w:t>
            </w:r>
          </w:p>
        </w:tc>
        <w:tc>
          <w:tcPr>
            <w:tcW w:w="1041" w:type="dxa"/>
          </w:tcPr>
          <w:p w14:paraId="668EFB50" w14:textId="77777777" w:rsidR="00D806ED" w:rsidRDefault="00000000">
            <w:pPr>
              <w:pStyle w:val="Tabelleninhalt"/>
            </w:pPr>
            <w:r>
              <w:rPr>
                <w:b/>
                <w:bCs/>
              </w:rPr>
              <w:t>4,00 (3,75)</w:t>
            </w:r>
          </w:p>
        </w:tc>
      </w:tr>
      <w:tr w:rsidR="00D806ED" w14:paraId="4751042F" w14:textId="77777777">
        <w:trPr>
          <w:cantSplit/>
        </w:trPr>
        <w:tc>
          <w:tcPr>
            <w:tcW w:w="2312" w:type="dxa"/>
          </w:tcPr>
          <w:p w14:paraId="7DB0B5E8" w14:textId="77777777" w:rsidR="00D806ED" w:rsidRDefault="00000000">
            <w:pPr>
              <w:pStyle w:val="Tabelleninhalt"/>
            </w:pPr>
            <w:r>
              <w:t>SFG neues Werk</w:t>
            </w:r>
          </w:p>
        </w:tc>
        <w:tc>
          <w:tcPr>
            <w:tcW w:w="3632" w:type="dxa"/>
          </w:tcPr>
          <w:p w14:paraId="7F3F931E" w14:textId="77777777" w:rsidR="00D806ED" w:rsidRDefault="00000000">
            <w:pPr>
              <w:pStyle w:val="Tabelleninhalt"/>
            </w:pPr>
            <w:r>
              <w:t>Durchlaufzeit (30 %)</w:t>
            </w:r>
          </w:p>
        </w:tc>
        <w:tc>
          <w:tcPr>
            <w:tcW w:w="1041" w:type="dxa"/>
          </w:tcPr>
          <w:p w14:paraId="44FBE042" w14:textId="77777777" w:rsidR="00D806ED" w:rsidRDefault="00000000">
            <w:pPr>
              <w:pStyle w:val="Tabelleninhalt"/>
            </w:pPr>
            <w:r>
              <w:t>1</w:t>
            </w:r>
          </w:p>
        </w:tc>
        <w:tc>
          <w:tcPr>
            <w:tcW w:w="1041" w:type="dxa"/>
          </w:tcPr>
          <w:p w14:paraId="0DD70F48" w14:textId="77777777" w:rsidR="00D806ED" w:rsidRDefault="00000000">
            <w:pPr>
              <w:pStyle w:val="Tabelleninhalt"/>
            </w:pPr>
            <w:r>
              <w:t>4</w:t>
            </w:r>
          </w:p>
        </w:tc>
        <w:tc>
          <w:tcPr>
            <w:tcW w:w="1041" w:type="dxa"/>
          </w:tcPr>
          <w:p w14:paraId="0E7205B1" w14:textId="77777777" w:rsidR="00D806ED" w:rsidRDefault="00000000">
            <w:pPr>
              <w:pStyle w:val="Tabelleninhalt"/>
            </w:pPr>
            <w:r>
              <w:t>5</w:t>
            </w:r>
          </w:p>
        </w:tc>
      </w:tr>
      <w:tr w:rsidR="00D806ED" w14:paraId="59BFB816" w14:textId="77777777">
        <w:trPr>
          <w:cantSplit/>
        </w:trPr>
        <w:tc>
          <w:tcPr>
            <w:tcW w:w="2312" w:type="dxa"/>
          </w:tcPr>
          <w:p w14:paraId="0A1A5159" w14:textId="77777777" w:rsidR="00D806ED" w:rsidRDefault="00D806ED">
            <w:pPr>
              <w:pStyle w:val="Tabelleninhalt"/>
            </w:pPr>
          </w:p>
        </w:tc>
        <w:tc>
          <w:tcPr>
            <w:tcW w:w="3632" w:type="dxa"/>
          </w:tcPr>
          <w:p w14:paraId="2EAF87BE" w14:textId="77777777" w:rsidR="00D806ED" w:rsidRDefault="00000000">
            <w:pPr>
              <w:pStyle w:val="Tabelleninhalt"/>
            </w:pPr>
            <w:r>
              <w:t>Bestand/Kapitalbedarf (25 %)</w:t>
            </w:r>
          </w:p>
        </w:tc>
        <w:tc>
          <w:tcPr>
            <w:tcW w:w="1041" w:type="dxa"/>
          </w:tcPr>
          <w:p w14:paraId="1EF757A5" w14:textId="77777777" w:rsidR="00D806ED" w:rsidRDefault="00000000">
            <w:pPr>
              <w:pStyle w:val="Tabelleninhalt"/>
            </w:pPr>
            <w:r>
              <w:t>1</w:t>
            </w:r>
          </w:p>
        </w:tc>
        <w:tc>
          <w:tcPr>
            <w:tcW w:w="1041" w:type="dxa"/>
          </w:tcPr>
          <w:p w14:paraId="11EA23B2" w14:textId="77777777" w:rsidR="00D806ED" w:rsidRDefault="00000000">
            <w:pPr>
              <w:pStyle w:val="Tabelleninhalt"/>
            </w:pPr>
            <w:r>
              <w:t>4</w:t>
            </w:r>
          </w:p>
        </w:tc>
        <w:tc>
          <w:tcPr>
            <w:tcW w:w="1041" w:type="dxa"/>
          </w:tcPr>
          <w:p w14:paraId="5E681377" w14:textId="77777777" w:rsidR="00D806ED" w:rsidRDefault="00000000">
            <w:pPr>
              <w:pStyle w:val="Tabelleninhalt"/>
            </w:pPr>
            <w:r>
              <w:t>4</w:t>
            </w:r>
          </w:p>
        </w:tc>
      </w:tr>
      <w:tr w:rsidR="00D806ED" w14:paraId="2F9E1621" w14:textId="77777777">
        <w:trPr>
          <w:cantSplit/>
        </w:trPr>
        <w:tc>
          <w:tcPr>
            <w:tcW w:w="2312" w:type="dxa"/>
          </w:tcPr>
          <w:p w14:paraId="2B060780" w14:textId="77777777" w:rsidR="00D806ED" w:rsidRDefault="00D806ED">
            <w:pPr>
              <w:pStyle w:val="Tabelleninhalt"/>
            </w:pPr>
          </w:p>
        </w:tc>
        <w:tc>
          <w:tcPr>
            <w:tcW w:w="3632" w:type="dxa"/>
          </w:tcPr>
          <w:p w14:paraId="215A755F" w14:textId="77777777" w:rsidR="00D806ED" w:rsidRDefault="00000000">
            <w:pPr>
              <w:pStyle w:val="Tabelleninhalt"/>
            </w:pPr>
            <w:r>
              <w:t>Teilefamilien-Flexibilität (25 %)</w:t>
            </w:r>
          </w:p>
        </w:tc>
        <w:tc>
          <w:tcPr>
            <w:tcW w:w="1041" w:type="dxa"/>
          </w:tcPr>
          <w:p w14:paraId="26557602" w14:textId="77777777" w:rsidR="00D806ED" w:rsidRDefault="00000000">
            <w:pPr>
              <w:pStyle w:val="Tabelleninhalt"/>
            </w:pPr>
            <w:r>
              <w:t>5</w:t>
            </w:r>
          </w:p>
        </w:tc>
        <w:tc>
          <w:tcPr>
            <w:tcW w:w="1041" w:type="dxa"/>
          </w:tcPr>
          <w:p w14:paraId="379D02EB" w14:textId="77777777" w:rsidR="00D806ED" w:rsidRDefault="00000000">
            <w:pPr>
              <w:pStyle w:val="Tabelleninhalt"/>
            </w:pPr>
            <w:r>
              <w:t>4</w:t>
            </w:r>
          </w:p>
        </w:tc>
        <w:tc>
          <w:tcPr>
            <w:tcW w:w="1041" w:type="dxa"/>
          </w:tcPr>
          <w:p w14:paraId="1D85C332" w14:textId="77777777" w:rsidR="00D806ED" w:rsidRDefault="00000000">
            <w:pPr>
              <w:pStyle w:val="Tabelleninhalt"/>
            </w:pPr>
            <w:r>
              <w:t>1</w:t>
            </w:r>
          </w:p>
        </w:tc>
      </w:tr>
      <w:tr w:rsidR="00D806ED" w14:paraId="71123C10" w14:textId="77777777">
        <w:trPr>
          <w:cantSplit/>
        </w:trPr>
        <w:tc>
          <w:tcPr>
            <w:tcW w:w="2312" w:type="dxa"/>
          </w:tcPr>
          <w:p w14:paraId="5EC3B5F8" w14:textId="77777777" w:rsidR="00D806ED" w:rsidRDefault="00D806ED">
            <w:pPr>
              <w:pStyle w:val="Tabelleninhalt"/>
            </w:pPr>
          </w:p>
        </w:tc>
        <w:tc>
          <w:tcPr>
            <w:tcW w:w="3632" w:type="dxa"/>
          </w:tcPr>
          <w:p w14:paraId="1528DDF6" w14:textId="77777777" w:rsidR="00D806ED" w:rsidRDefault="00000000">
            <w:pPr>
              <w:pStyle w:val="Tabelleninhalt"/>
            </w:pPr>
            <w:r>
              <w:t>Qualität (20 %)</w:t>
            </w:r>
          </w:p>
        </w:tc>
        <w:tc>
          <w:tcPr>
            <w:tcW w:w="1041" w:type="dxa"/>
          </w:tcPr>
          <w:p w14:paraId="5BD7EB4D" w14:textId="77777777" w:rsidR="00D806ED" w:rsidRDefault="00000000">
            <w:pPr>
              <w:pStyle w:val="Tabelleninhalt"/>
            </w:pPr>
            <w:r>
              <w:rPr>
                <w:shd w:val="clear" w:color="auto" w:fill="DDEBF7"/>
              </w:rPr>
              <w:t xml:space="preserve">4</w:t>
            </w:r>
          </w:p>
        </w:tc>
        <w:tc>
          <w:tcPr>
            <w:tcW w:w="1041" w:type="dxa"/>
          </w:tcPr>
          <w:p w14:paraId="056AC703" w14:textId="77777777" w:rsidR="00D806ED" w:rsidRDefault="00000000">
            <w:pPr>
              <w:pStyle w:val="Tabelleninhalt"/>
            </w:pPr>
            <w:r>
              <w:t>4</w:t>
            </w:r>
          </w:p>
        </w:tc>
        <w:tc>
          <w:tcPr>
            <w:tcW w:w="1041" w:type="dxa"/>
          </w:tcPr>
          <w:p w14:paraId="6C616FFD" w14:textId="77777777" w:rsidR="00D806ED" w:rsidRDefault="00000000">
            <w:pPr>
              <w:pStyle w:val="Tabelleninhalt"/>
            </w:pPr>
            <w:r>
              <w:t>5</w:t>
            </w:r>
          </w:p>
        </w:tc>
      </w:tr>
      <w:tr w:rsidR="00D806ED" w14:paraId="78382830" w14:textId="77777777">
        <w:trPr>
          <w:cantSplit/>
        </w:trPr>
        <w:tc>
          <w:tcPr>
            <w:tcW w:w="2312" w:type="dxa"/>
          </w:tcPr>
          <w:p w14:paraId="63971517" w14:textId="77777777" w:rsidR="00D806ED" w:rsidRDefault="00D806ED">
            <w:pPr>
              <w:pStyle w:val="Tabelleninhalt"/>
              <w:keepNext/>
            </w:pPr>
          </w:p>
        </w:tc>
        <w:tc>
          <w:tcPr>
            <w:tcW w:w="3632" w:type="dxa"/>
          </w:tcPr>
          <w:p w14:paraId="3611071F" w14:textId="77777777" w:rsidR="00D806ED" w:rsidRDefault="00000000">
            <w:pPr>
              <w:pStyle w:val="Tabelleninhalt"/>
              <w:keepNext/>
            </w:pPr>
            <w:r>
              <w:rPr>
                <w:b/>
                <w:bCs/>
              </w:rPr>
              <w:t>Nutzwert</w:t>
            </w:r>
          </w:p>
        </w:tc>
        <w:tc>
          <w:tcPr>
            <w:tcW w:w="1041" w:type="dxa"/>
          </w:tcPr>
          <w:p w14:paraId="464AFC17" w14:textId="77777777" w:rsidR="00D806ED" w:rsidRDefault="00000000">
            <w:pPr>
              <w:pStyle w:val="Tabelleninhalt"/>
              <w:keepNext/>
            </w:pPr>
            <w:r>
              <w:rPr>
                <w:shd w:val="clear" w:color="auto" w:fill="DDEBF7"/>
              </w:rPr>
              <w:t xml:space="preserve">2,60 (2,75)</w:t>
            </w:r>
          </w:p>
        </w:tc>
        <w:tc>
          <w:tcPr>
            <w:tcW w:w="1041" w:type="dxa"/>
          </w:tcPr>
          <w:p w14:paraId="45B5D14D" w14:textId="77777777" w:rsidR="00D806ED" w:rsidRDefault="00000000">
            <w:pPr>
              <w:pStyle w:val="Tabelleninhalt"/>
              <w:keepNext/>
            </w:pPr>
            <w:r>
              <w:rPr>
                <w:b/>
                <w:bCs/>
              </w:rPr>
              <w:t>4,00 (4,00)</w:t>
            </w:r>
          </w:p>
        </w:tc>
        <w:tc>
          <w:tcPr>
            <w:tcW w:w="1041" w:type="dxa"/>
          </w:tcPr>
          <w:p w14:paraId="6B2B53BB" w14:textId="77777777" w:rsidR="00D806ED" w:rsidRDefault="00000000">
            <w:pPr>
              <w:pStyle w:val="Tabelleninhalt"/>
              <w:keepNext/>
            </w:pPr>
            <w:r>
              <w:t>3,75 (3,75)</w:t>
            </w:r>
          </w:p>
        </w:tc>
      </w:tr>
    </w:tbl>
    <w:p w14:paraId="1D6AB200" w14:textId="77777777" w:rsidR="00D806ED" w:rsidRDefault="00000000">
      <w:pPr>
        <w:pStyle w:val="Quellenangabe"/>
      </w:pPr>
      <w:r>
        <w:t>Quelle: Eigene Darstellung und Berechnung.</w:t>
      </w:r>
    </w:p>
    <w:p w14:paraId="213B6785" w14:textId="77777777" w:rsidR="00D806ED" w:rsidRDefault="00000000">
      <w:pPr>
        <w:pStyle w:val="Textkrper"/>
      </w:pPr>
      <w:r>
        <w:rPr>
          <w:b/>
          <w:bCs/>
        </w:rPr>
        <w:t>Gewichte</w:t>
      </w:r>
      <w:r>
        <w:t xml:space="preserve">: Im Anlagenbau zählen Termin und Varianten, denn die Module sind «sehr kundenspezifisch», und Verzug löst Konventionalstrafen aus (HWZ, o. J., S. 6). Bei den Endgeräten zählen Produktivität und Automatisierung (S. 5–6). Bei den SFG des neuen Werks zählen Fluss und Teilefamilien, weil dort Know-how- und Schwierigteile entstehen (S. 5).</w:t>
      </w:r>
    </w:p>
    <w:p w14:paraId="7EFF11A9" w14:textId="0E8DE548" w:rsidR="00D806ED" w:rsidRDefault="00000000">
      <w:pPr>
        <w:pStyle w:val="Beschriftung"/>
        <w:keepNext/>
      </w:pPr>
      <w:bookmarkStart w:id="124" w:name="_Toc243824228"/>
      <w:r>
        <w:t xml:space="preserve">Tabelle </w:t>
      </w:r>
      <w:fldSimple w:instr=" SEQ Tabelle \* ARABIC ">
        <w:r>
          <w:rPr>
            <w:noProof/>
          </w:rPr>
          <w:t>21</w:t>
        </w:r>
      </w:fldSimple>
      <w:r>
        <w:t>: Herleitung der Punktwerte aus den Skript-Merkmalen</w:t>
      </w:r>
      <w:bookmarkEnd w:id="124"/>
    </w:p>
    <w:tbl>
      <w:tblPr>
        <w:tblStyle w:val="Tabellenraster"/>
        <w:tblW w:w="9070" w:type="dxa"/>
        <w:tblInd w:w="113" w:type="dxa"/>
        <w:tblLayout w:type="fixed"/>
        <w:tblLook w:val="0020" w:firstRow="1" w:lastRow="0" w:firstColumn="0" w:lastColumn="0" w:noHBand="0" w:noVBand="0"/>
      </w:tblPr>
      <w:tblGrid>
        <w:gridCol w:w="1659"/>
        <w:gridCol w:w="3789"/>
        <w:gridCol w:w="3622"/>
      </w:tblGrid>
      <w:tr w:rsidR="00D806ED" w14:paraId="10B0864F" w14:textId="77777777">
        <w:trPr>
          <w:tblHeader/>
        </w:trPr>
        <w:tc>
          <w:tcPr>
            <w:tcW w:w="1659" w:type="dxa"/>
            <w:shd w:val="clear" w:color="auto" w:fill="D9D9D9"/>
          </w:tcPr>
          <w:p w14:paraId="1A557104" w14:textId="77777777" w:rsidR="00D806ED" w:rsidRDefault="00000000">
            <w:pPr>
              <w:pStyle w:val="Tabelleninhalt"/>
              <w:keepNext/>
            </w:pPr>
            <w:r>
              <w:rPr>
                <w:b/>
              </w:rPr>
              <w:t>Prinzip</w:t>
            </w:r>
          </w:p>
        </w:tc>
        <w:tc>
          <w:tcPr>
            <w:tcW w:w="3789" w:type="dxa"/>
            <w:shd w:val="clear" w:color="auto" w:fill="D9D9D9"/>
          </w:tcPr>
          <w:p w14:paraId="5ADD5A3A" w14:textId="77777777" w:rsidR="00D806ED" w:rsidRDefault="00000000">
            <w:pPr>
              <w:pStyle w:val="Tabelleninhalt"/>
              <w:keepNext/>
            </w:pPr>
            <w:r>
              <w:rPr>
                <w:b/>
              </w:rPr>
              <w:t>Merkmale laut Skript (wörtlich)</w:t>
            </w:r>
          </w:p>
        </w:tc>
        <w:tc>
          <w:tcPr>
            <w:tcW w:w="3622" w:type="dxa"/>
            <w:shd w:val="clear" w:color="auto" w:fill="D9D9D9"/>
          </w:tcPr>
          <w:p w14:paraId="78DB509D" w14:textId="77777777" w:rsidR="00D806ED" w:rsidRDefault="00000000">
            <w:pPr>
              <w:pStyle w:val="Tabelleninhalt"/>
              <w:keepNext/>
            </w:pPr>
            <w:r>
              <w:rPr>
                <w:b/>
              </w:rPr>
              <w:t>Folgerung für die Punkte</w:t>
            </w:r>
          </w:p>
        </w:tc>
      </w:tr>
      <w:tr w:rsidR="00D806ED" w14:paraId="34C78162" w14:textId="77777777">
        <w:trPr>
          <w:cantSplit/>
        </w:trPr>
        <w:tc>
          <w:tcPr>
            <w:tcW w:w="1659" w:type="dxa"/>
          </w:tcPr>
          <w:p w14:paraId="5F1D2E22" w14:textId="77777777" w:rsidR="00D806ED" w:rsidRDefault="00000000">
            <w:pPr>
              <w:pStyle w:val="Tabelleninhalt"/>
              <w:keepNext/>
            </w:pPr>
            <w:r>
              <w:t>Werkstatt</w:t>
            </w:r>
          </w:p>
        </w:tc>
        <w:tc>
          <w:tcPr>
            <w:tcW w:w="3789" w:type="dxa"/>
          </w:tcPr>
          <w:p w14:paraId="7D7FB959" w14:textId="77777777" w:rsidR="00D806ED" w:rsidRDefault="00000000">
            <w:pPr>
              <w:pStyle w:val="Tabelleninhalt"/>
              <w:keepNext/>
            </w:pPr>
            <w:r>
              <w:t>«Hohe Flexibilität und Kundenorientierung», «Hohes und reproduzierbares Qualitätsniveau», «Lange Transportwege und DLZ, wenn Produkt vielseitig bearbeitet wird», «Hohe Zwischenlager (Umlaufvermögen)» (S. 44–45)</w:t>
            </w:r>
          </w:p>
        </w:tc>
        <w:tc>
          <w:tcPr>
            <w:tcW w:w="3622" w:type="dxa"/>
          </w:tcPr>
          <w:p w14:paraId="27F673DC" w14:textId="77777777" w:rsidR="00D806ED" w:rsidRDefault="00000000">
            <w:pPr>
              <w:pStyle w:val="Tabelleninhalt"/>
              <w:keepNext/>
            </w:pPr>
            <w:r>
              <w:t xml:space="preserve">Flexibilität 5, DLZ und Bestand 1, </w:t>
            </w:r>
            <w:r>
              <w:rPr>
                <w:shd w:val="clear" w:color="auto" w:fill="DDEBF7"/>
              </w:rPr>
              <w:t xml:space="preserve">Qualität 4 (laut Skript wie die Gruppenfertigung «hohes und reproduzierbares» Niveau)</w:t>
            </w:r>
            <w:r>
              <w:t xml:space="preserve">; keine Umbauinvestition</w:t>
            </w:r>
          </w:p>
        </w:tc>
      </w:tr>
      <w:tr w:rsidR="00D806ED" w14:paraId="3397FFC5" w14:textId="77777777">
        <w:trPr>
          <w:cantSplit/>
        </w:trPr>
        <w:tc>
          <w:tcPr>
            <w:tcW w:w="1659" w:type="dxa"/>
          </w:tcPr>
          <w:p w14:paraId="64BB6ADC" w14:textId="77777777" w:rsidR="00D806ED" w:rsidRDefault="00000000">
            <w:pPr>
              <w:pStyle w:val="Tabelleninhalt"/>
              <w:keepNext/>
            </w:pPr>
            <w:r>
              <w:t>Gruppen/Insel</w:t>
            </w:r>
          </w:p>
        </w:tc>
        <w:tc>
          <w:tcPr>
            <w:tcW w:w="3789" w:type="dxa"/>
          </w:tcPr>
          <w:p w14:paraId="04FF6719" w14:textId="77777777" w:rsidR="00D806ED" w:rsidRDefault="00000000">
            <w:pPr>
              <w:pStyle w:val="Tabelleninhalt"/>
              <w:keepNext/>
            </w:pPr>
            <w:r>
              <w:t>«Mittlere Flexibilität und mittlere Kundenorientierung (Varianten)», «Mittlerer [sic] bis kurze Transportwege», «Mittlerer [sic] bis geringe Zinskosten für Umlaufvermögen», «Hohes und reproduzierbares Qualitätsniveau» (S. 46); Fertigungsinsel mit Teilefamilien, nur kleine Umrüstungen (S. 47)</w:t>
            </w:r>
          </w:p>
        </w:tc>
        <w:tc>
          <w:tcPr>
            <w:tcW w:w="3622" w:type="dxa"/>
          </w:tcPr>
          <w:p w14:paraId="5522D025" w14:textId="77777777" w:rsidR="00D806ED" w:rsidRDefault="00000000">
            <w:pPr>
              <w:pStyle w:val="Tabelleninhalt"/>
              <w:keepNext/>
            </w:pPr>
            <w:r>
              <w:t>DLZ, Bestand und Qualität 4; Flexibilität 4; Layoutumbau 3</w:t>
            </w:r>
          </w:p>
        </w:tc>
      </w:tr>
      <w:tr w:rsidR="00D806ED" w14:paraId="10094E24" w14:textId="77777777">
        <w:trPr>
          <w:cantSplit/>
        </w:trPr>
        <w:tc>
          <w:tcPr>
            <w:tcW w:w="1659" w:type="dxa"/>
          </w:tcPr>
          <w:p w14:paraId="693C0AB8" w14:textId="77777777" w:rsidR="00D806ED" w:rsidRDefault="00000000">
            <w:pPr>
              <w:pStyle w:val="Tabelleninhalt"/>
              <w:keepNext/>
            </w:pPr>
            <w:r>
              <w:t>Fliess/Takt</w:t>
            </w:r>
          </w:p>
        </w:tc>
        <w:tc>
          <w:tcPr>
            <w:tcW w:w="3789" w:type="dxa"/>
          </w:tcPr>
          <w:p w14:paraId="3F743319" w14:textId="77777777" w:rsidR="00D806ED" w:rsidRDefault="00000000">
            <w:pPr>
              <w:pStyle w:val="Tabelleninhalt"/>
              <w:keepNext/>
            </w:pPr>
            <w:r>
              <w:t>«Verarbeiten von technisch stabilen Produkten (keine Änderungen)», «Grosser Kapitalbedarf und hohe Fixkosten», «wenig Flexibilität», «Höchstes und reproduzierbares Qualitätsniveau», «Sehr kurze Transportwege» (S. 46); Investitionskosten «generell sehr hoch» (S. 47)</w:t>
            </w:r>
          </w:p>
        </w:tc>
        <w:tc>
          <w:tcPr>
            <w:tcW w:w="3622" w:type="dxa"/>
          </w:tcPr>
          <w:p w14:paraId="67D92264" w14:textId="77777777" w:rsidR="00D806ED" w:rsidRDefault="00000000">
            <w:pPr>
              <w:pStyle w:val="Tabelleninhalt"/>
              <w:keepNext/>
            </w:pPr>
            <w:r>
              <w:t xml:space="preserve">DLZ, Qualität, Produktivität 5; Flexibilität und Investition 1; </w:t>
            </w:r>
            <w:r>
              <w:rPr/>
              <w:t xml:space="preserve">Bestand 4 (hoher Volumenbedarf für An- und Abliefermaterial, S. 46)</w:t>
            </w:r>
            <w:r>
              <w:rPr>
                <w:shd w:val="clear" w:color="auto" w:fill="DDEBF7"/>
              </w:rPr>
              <w:t xml:space="preserve">; im Anlagenbau DLZ nur 3, weil kundenspezifische Module den Takt brechen und hohe Einrichtezeiten auslösen (S. 46)</w:t>
            </w:r>
          </w:p>
        </w:tc>
      </w:tr>
    </w:tbl>
    <w:p w14:paraId="50077F90" w14:textId="77777777" w:rsidR="00D806ED" w:rsidRDefault="00000000">
      <w:pPr>
        <w:pStyle w:val="Quellenangabe"/>
      </w:pPr>
      <w:r>
        <w:t>Quelle: Eigene Darstellung, Zitate aus Hutzler und Fuchs (2021, S. 44–47).</w:t>
      </w:r>
    </w:p>
    <w:p w14:paraId="4AB591E7" w14:textId="77777777" w:rsidR="00D806ED" w:rsidRDefault="00000000">
      <w:pPr>
        <w:pStyle w:val="berschrift3"/>
        <w:numPr>
          <w:ilvl w:val="0"/>
          <w:numId w:val="0"/>
        </w:numPr>
      </w:pPr>
      <w:r>
        <w:t>Lieferzeitmodell Anlagenbau</w:t>
      </w:r>
    </w:p>
    <w:p w14:paraId="32AB158C" w14:textId="77777777" w:rsidR="00D806ED" w:rsidRDefault="00000000">
      <w:pPr>
        <w:pStyle w:val="Textkrper"/>
      </w:pPr>
      <w:r>
        <w:t xml:space="preserve">Die Fallstudie nennt keine Prozesszeiten. Die Modellrechnung zeigt nur die Grössenordnung. Ohne Fehlteil besteht die Lieferzeit aus Endmontage (2 AT) und Luftfracht (2 AT). Fehlt ein SFG, kommen der Materialvorlauf ab Lager 1 (12,8–23,5 AT) und die SFG-Fertigung (3 AT) dazu (Annahme A18). Wie viele Aufträge ein fehlendes SFG haben, ist unbekannt. </w:t>
      </w:r>
      <w:r>
        <w:rPr>
          <w:shd w:val="clear" w:color="auto" w:fill="DDEBF7"/>
        </w:rPr>
        <w:t xml:space="preserve">Gerechnet wird mit einer Bandbreite: 45 % als Obergrenze, weil nicht mehr Aufträge verspätet sind, und 20 % als konservativer Wert (Annahme A19). Im Soll liegt das SFG im Supermarkt. Fehlen kann es nur bei den 2 % der Bereitstellungen, welche die Lieferbereitschaft von 98 % offenlässt (Annahme A15); dann kommen Material ab Zentrallager (1 AT) und SFG-Fertigung (3 AT) dazu. Als Stresstest sind zusätzlich 20 % der Aufträge auf kundenspezifische SFG angewiesen, die nicht im Supermarkt liegen.</w:t>
      </w:r>
    </w:p>
    <w:p w14:paraId="68667266" w14:textId="2F6D286A" w:rsidR="00D806ED" w:rsidRDefault="00000000">
      <w:pPr>
        <w:pStyle w:val="Beschriftung"/>
        <w:keepNext/>
      </w:pPr>
      <w:bookmarkStart w:id="125" w:name="_Toc243824229"/>
      <w:r>
        <w:t xml:space="preserve">Tabelle </w:t>
      </w:r>
      <w:fldSimple w:instr=" SEQ Tabelle \* ARABIC ">
        <w:r>
          <w:rPr>
            <w:noProof/>
          </w:rPr>
          <w:t>22</w:t>
        </w:r>
      </w:fldSimple>
      <w:r>
        <w:t>: Modellrechnung Lieferzeit Anlagenbau</w:t>
      </w:r>
      <w:bookmarkEnd w:id="125"/>
    </w:p>
    <w:tbl>
      <w:tblPr>
        <w:tblStyle w:val="Tabellenraster"/>
        <w:tblW w:w="9069" w:type="dxa"/>
        <w:tblInd w:w="113" w:type="dxa"/>
        <w:tblLayout w:type="fixed"/>
        <w:tblLook w:val="0020" w:firstRow="1" w:lastRow="0" w:firstColumn="0" w:lastColumn="0" w:noHBand="0" w:noVBand="0"/>
      </w:tblPr>
      <w:tblGrid>
        <w:gridCol w:w="4397"/>
        <w:gridCol w:w="1390"/>
        <w:gridCol w:w="1391"/>
        <w:gridCol w:w="1891"/>
      </w:tblGrid>
      <w:tr w:rsidR="00D806ED" w14:paraId="43BCDFD6" w14:textId="77777777">
        <w:trPr>
          <w:tblHeader/>
        </w:trPr>
        <w:tc>
          <w:tcPr>
            <w:tcW w:w="4397" w:type="dxa"/>
            <w:shd w:val="clear" w:color="auto" w:fill="D9D9D9"/>
          </w:tcPr>
          <w:p w14:paraId="3D3FAB64" w14:textId="77777777" w:rsidR="00D806ED" w:rsidRDefault="00000000">
            <w:pPr>
              <w:pStyle w:val="Tabelleninhalt"/>
              <w:keepNext/>
            </w:pPr>
            <w:r>
              <w:rPr>
                <w:b/>
              </w:rPr>
              <w:t>Anteil Aufträge mit fehlendem SFG</w:t>
            </w:r>
          </w:p>
        </w:tc>
        <w:tc>
          <w:tcPr>
            <w:tcW w:w="1390" w:type="dxa"/>
            <w:shd w:val="clear" w:color="auto" w:fill="D9D9D9"/>
          </w:tcPr>
          <w:p w14:paraId="4E9EEA3A" w14:textId="77777777" w:rsidR="00D806ED" w:rsidRDefault="00000000">
            <w:pPr>
              <w:pStyle w:val="Tabelleninhalt"/>
              <w:keepNext/>
            </w:pPr>
            <w:r>
              <w:rPr>
                <w:b/>
              </w:rPr>
              <w:t>Ist (AT)</w:t>
            </w:r>
          </w:p>
        </w:tc>
        <w:tc>
          <w:tcPr>
            <w:tcW w:w="1391" w:type="dxa"/>
            <w:shd w:val="clear" w:color="auto" w:fill="D9D9D9"/>
          </w:tcPr>
          <w:p w14:paraId="418C972D" w14:textId="77777777" w:rsidR="00D806ED" w:rsidRDefault="00000000">
            <w:pPr>
              <w:pStyle w:val="Tabelleninhalt"/>
              <w:keepNext/>
            </w:pPr>
            <w:r>
              <w:rPr>
                <w:b/>
              </w:rPr>
              <w:t>Soll (AT)</w:t>
            </w:r>
          </w:p>
        </w:tc>
        <w:tc>
          <w:tcPr>
            <w:tcW w:w="1891" w:type="dxa"/>
            <w:shd w:val="clear" w:color="auto" w:fill="D9D9D9"/>
          </w:tcPr>
          <w:p w14:paraId="49906699" w14:textId="77777777" w:rsidR="00D806ED" w:rsidRDefault="00000000">
            <w:pPr>
              <w:pStyle w:val="Tabelleninhalt"/>
              <w:keepNext/>
            </w:pPr>
            <w:r>
              <w:rPr>
                <w:b/>
              </w:rPr>
              <w:t>Verkürzung</w:t>
            </w:r>
          </w:p>
        </w:tc>
      </w:tr>
      <w:tr w:rsidR="00D806ED" w14:paraId="0AD72E23" w14:textId="77777777">
        <w:trPr>
          <w:cantSplit/>
        </w:trPr>
        <w:tc>
          <w:tcPr>
            <w:tcW w:w="4397" w:type="dxa"/>
          </w:tcPr>
          <w:p w14:paraId="3FE3EFEE" w14:textId="77777777" w:rsidR="00D806ED" w:rsidRDefault="00000000">
            <w:pPr>
              <w:pStyle w:val="Tabelleninhalt"/>
              <w:keepNext/>
            </w:pPr>
            <w:r>
              <w:t>45 %</w:t>
            </w:r>
          </w:p>
        </w:tc>
        <w:tc>
          <w:tcPr>
            <w:tcW w:w="1390" w:type="dxa"/>
          </w:tcPr>
          <w:p w14:paraId="2678597A" w14:textId="77777777" w:rsidR="00D806ED" w:rsidRDefault="00000000">
            <w:pPr>
              <w:pStyle w:val="Tabelleninhalt"/>
              <w:keepNext/>
            </w:pPr>
            <w:r>
              <w:t>11,1–15,9</w:t>
            </w:r>
          </w:p>
        </w:tc>
        <w:tc>
          <w:tcPr>
            <w:tcW w:w="1391" w:type="dxa"/>
          </w:tcPr>
          <w:p w14:paraId="720D52E4" w14:textId="77777777" w:rsidR="00D806ED" w:rsidRDefault="00000000">
            <w:pPr>
              <w:pStyle w:val="Tabelleninhalt"/>
              <w:keepNext/>
            </w:pPr>
            <w:r>
              <w:rPr>
                <w:shd w:val="clear" w:color="auto" w:fill="DDEBF7"/>
              </w:rPr>
              <w:t xml:space="preserve">4,1</w:t>
            </w:r>
          </w:p>
        </w:tc>
        <w:tc>
          <w:tcPr>
            <w:tcW w:w="1891" w:type="dxa"/>
          </w:tcPr>
          <w:p w14:paraId="0431F02A" w14:textId="77777777" w:rsidR="00D806ED" w:rsidRDefault="00000000">
            <w:pPr>
              <w:pStyle w:val="Tabelleninhalt"/>
              <w:keepNext/>
            </w:pPr>
            <w:r>
              <w:rPr>
                <w:shd w:val="clear" w:color="auto" w:fill="DDEBF7"/>
              </w:rPr>
              <w:t xml:space="preserve">−63 bis −74 %</w:t>
            </w:r>
          </w:p>
        </w:tc>
      </w:tr>
      <w:tr w:rsidR="00D806ED" w14:paraId="17C09BB2" w14:textId="77777777">
        <w:trPr>
          <w:cantSplit/>
        </w:trPr>
        <w:tc>
          <w:tcPr>
            <w:tcW w:w="4397" w:type="dxa"/>
          </w:tcPr>
          <w:p w14:paraId="7C11B500" w14:textId="77777777" w:rsidR="00D806ED" w:rsidRDefault="00000000">
            <w:pPr>
              <w:pStyle w:val="Tabelleninhalt"/>
              <w:keepNext/>
            </w:pPr>
            <w:r>
              <w:t>20 %</w:t>
            </w:r>
          </w:p>
        </w:tc>
        <w:tc>
          <w:tcPr>
            <w:tcW w:w="1390" w:type="dxa"/>
          </w:tcPr>
          <w:p w14:paraId="4E59BB5B" w14:textId="77777777" w:rsidR="00D806ED" w:rsidRDefault="00000000">
            <w:pPr>
              <w:pStyle w:val="Tabelleninhalt"/>
              <w:keepNext/>
            </w:pPr>
            <w:r>
              <w:t>7,2–9,3</w:t>
            </w:r>
          </w:p>
        </w:tc>
        <w:tc>
          <w:tcPr>
            <w:tcW w:w="1391" w:type="dxa"/>
          </w:tcPr>
          <w:p w14:paraId="637583B9" w14:textId="77777777" w:rsidR="00D806ED" w:rsidRDefault="00000000">
            <w:pPr>
              <w:pStyle w:val="Tabelleninhalt"/>
              <w:keepNext/>
            </w:pPr>
            <w:r>
              <w:rPr>
                <w:shd w:val="clear" w:color="auto" w:fill="DDEBF7"/>
              </w:rPr>
              <w:t xml:space="preserve">4,1</w:t>
            </w:r>
          </w:p>
        </w:tc>
        <w:tc>
          <w:tcPr>
            <w:tcW w:w="1891" w:type="dxa"/>
          </w:tcPr>
          <w:p w14:paraId="2E4B3F1A" w14:textId="77777777" w:rsidR="00D806ED" w:rsidRDefault="00000000">
            <w:pPr>
              <w:pStyle w:val="Tabelleninhalt"/>
              <w:keepNext/>
            </w:pPr>
            <w:r>
              <w:rPr>
                <w:shd w:val="clear" w:color="auto" w:fill="DDEBF7"/>
              </w:rPr>
              <w:t xml:space="preserve">−43 bis −56 %</w:t>
            </w:r>
          </w:p>
        </w:tc>
      </w:tr>
      <w:tr w:rsidR="00D806ED" w14:paraId="17C09BB2" w14:textId="77777777">
        <w:trPr>
          <w:cantSplit/>
        </w:trPr>
        <w:tc>
          <w:tcPr>
            <w:tcW w:w="4397" w:type="dxa"/>
          </w:tcPr>
          <w:p w14:paraId="7C11B500" w14:textId="77777777" w:rsidR="00D806ED" w:rsidRDefault="00000000">
            <w:pPr>
              <w:pStyle w:val="Tabelleninhalt"/>
              <w:keepNext/>
            </w:pPr>
            <w:r>
              <w:rPr>
                <w:shd w:val="clear" w:color="auto" w:fill="DDEBF7"/>
              </w:rPr>
              <w:t xml:space="preserve">20 %, davon 20 % mit kundenspezifischem SFG (Stresstest)</w:t>
            </w:r>
          </w:p>
        </w:tc>
        <w:tc>
          <w:tcPr>
            <w:tcW w:w="1390" w:type="dxa"/>
          </w:tcPr>
          <w:p w14:paraId="4E59BB5B" w14:textId="77777777" w:rsidR="00D806ED" w:rsidRDefault="00000000">
            <w:pPr>
              <w:pStyle w:val="Tabelleninhalt"/>
              <w:keepNext/>
            </w:pPr>
            <w:r>
              <w:rPr>
                <w:shd w:val="clear" w:color="auto" w:fill="DDEBF7"/>
              </w:rPr>
              <w:t xml:space="preserve">7,2–9,3</w:t>
            </w:r>
          </w:p>
        </w:tc>
        <w:tc>
          <w:tcPr>
            <w:tcW w:w="1391" w:type="dxa"/>
          </w:tcPr>
          <w:p w14:paraId="637583B9" w14:textId="77777777" w:rsidR="00D806ED" w:rsidRDefault="00000000">
            <w:pPr>
              <w:pStyle w:val="Tabelleninhalt"/>
              <w:keepNext/>
            </w:pPr>
            <w:r>
              <w:rPr>
                <w:shd w:val="clear" w:color="auto" w:fill="DDEBF7"/>
              </w:rPr>
              <w:t xml:space="preserve">4,9</w:t>
            </w:r>
          </w:p>
        </w:tc>
        <w:tc>
          <w:tcPr>
            <w:tcW w:w="1891" w:type="dxa"/>
          </w:tcPr>
          <w:p w14:paraId="2E4B3F1A" w14:textId="77777777" w:rsidR="00D806ED" w:rsidRDefault="00000000">
            <w:pPr>
              <w:pStyle w:val="Tabelleninhalt"/>
              <w:keepNext/>
            </w:pPr>
            <w:r>
              <w:rPr>
                <w:shd w:val="clear" w:color="auto" w:fill="DDEBF7"/>
              </w:rPr>
              <w:t xml:space="preserve">−32 bis −47 %</w:t>
            </w:r>
          </w:p>
        </w:tc>
      </w:tr>
    </w:tbl>
    <w:p w14:paraId="5321A792" w14:textId="77777777" w:rsidR="00D806ED" w:rsidRDefault="00000000">
      <w:pPr>
        <w:pStyle w:val="Quellenangabe"/>
      </w:pPr>
      <w:r>
        <w:t xml:space="preserve">Quelle: Eigene Berechnung </w:t>
      </w:r>
      <w:r>
        <w:rPr>
          <w:shd w:val="clear" w:color="auto" w:fill="DDEBF7"/>
        </w:rPr>
        <w:t xml:space="preserve">(Annahmen A1, A15, A18, A19)</w:t>
      </w:r>
      <w:r>
        <w:t xml:space="preserve">.</w:t>
      </w:r>
    </w:p>
    <w:p w14:paraId="4D2676D0" w14:textId="77777777" w:rsidR="00D806ED" w:rsidRDefault="00000000">
      <w:pPr>
        <w:pStyle w:val="Textkrper"/>
      </w:pPr>
      <w:r>
        <w:lastRenderedPageBreak/>
      </w:r>
      <w:r>
        <w:rPr>
          <w:shd w:val="clear" w:color="auto" w:fill="DDEBF7"/>
        </w:rPr>
        <w:t xml:space="preserve">Im konservativen Fall übertrifft die Verkürzung die nötigen −23 bis −33 % (Tabelle 2). Im Stresstest mit kundenspezifischen SFG erreicht sie mit −32 % knapp das obere Ende; der Anteil standardisierbarer SFG wird deshalb in Phase 1 erhoben.</w:t>
      </w:r>
      <w:r>
        <w:t xml:space="preserve"> Der Hebel liegt im CODP, nicht im Transport.</w:t>
      </w:r>
    </w:p>
    <w:p w14:paraId="57A8DD2E" w14:textId="77777777" w:rsidR="00D806ED" w:rsidRDefault="00000000">
      <w:pPr>
        <w:pStyle w:val="berschrift3"/>
        <w:numPr>
          <w:ilvl w:val="0"/>
          <w:numId w:val="0"/>
        </w:numPr>
      </w:pPr>
      <w:r>
        <w:t>Logistikkonzept als Übersicht</w:t>
      </w:r>
    </w:p>
    <w:p w14:paraId="043A22D4" w14:textId="77777777" w:rsidR="00D806ED" w:rsidRDefault="00000000">
      <w:pPr>
        <w:pStyle w:val="Abbildung"/>
      </w:pPr>
      <w:bookmarkStart w:id="126" w:name="fig%3Aanh-b3-logistikkonzept"/>
      <w:r>
        <w:rPr>
          <w:noProof/>
        </w:rPr>
        <w:drawing>
          <wp:inline distT="0" distB="0" distL="0" distR="0" wp14:anchorId="05834138" wp14:editId="1769A264">
            <wp:extent cx="5177790" cy="3032760"/>
            <wp:effectExtent l="0" t="0" r="0" b="0"/>
            <wp:docPr id="12" name="Image11" descr="Logistikkonzept Grofu: Leitbild, fünf Prinzipien, Fund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Logistikkonzept Grofu: Leitbild, fünf Prinzipien, Fundament"/>
                    <pic:cNvPicPr>
                      <a:picLocks noChangeAspect="1" noChangeArrowheads="1"/>
                    </pic:cNvPicPr>
                  </pic:nvPicPr>
                  <pic:blipFill>
                    <a:blip r:embed="rId20"/>
                    <a:stretch>
                      <a:fillRect/>
                    </a:stretch>
                  </pic:blipFill>
                  <pic:spPr bwMode="auto">
                    <a:xfrm>
                      <a:off x="0" y="0"/>
                      <a:ext cx="5177790" cy="3032760"/>
                    </a:xfrm>
                    <a:prstGeom prst="rect">
                      <a:avLst/>
                    </a:prstGeom>
                    <a:noFill/>
                  </pic:spPr>
                </pic:pic>
              </a:graphicData>
            </a:graphic>
          </wp:inline>
        </w:drawing>
      </w:r>
    </w:p>
    <w:p w14:paraId="4556CED2" w14:textId="12D8547E" w:rsidR="00D806ED" w:rsidRDefault="00000000">
      <w:pPr>
        <w:pStyle w:val="Beschriftung"/>
        <w:keepNext/>
        <w:jc w:val="center"/>
      </w:pPr>
      <w:bookmarkStart w:id="127" w:name="_Toc243824180"/>
      <w:r>
        <w:t xml:space="preserve">Abbildung </w:t>
      </w:r>
      <w:fldSimple w:instr=" SEQ Abbildung \* ARABIC ">
        <w:r>
          <w:rPr>
            <w:noProof/>
          </w:rPr>
          <w:t>11</w:t>
        </w:r>
      </w:fldSimple>
      <w:r>
        <w:t xml:space="preserve">: Logistikkonzept Grofu: Leitbild, fünf Prinzipien, Fundament</w:t>
      </w:r>
      <w:bookmarkEnd w:id="126"/>
      <w:bookmarkEnd w:id="127"/>
    </w:p>
    <w:p w14:paraId="2E4923C9" w14:textId="77777777" w:rsidR="00D806ED" w:rsidRDefault="00000000">
      <w:pPr>
        <w:pStyle w:val="Quellenangabe"/>
      </w:pPr>
      <w:r>
        <w:t>Quelle: Eigene Darstellung.</w:t>
      </w:r>
    </w:p>
    <w:p w14:paraId="46EE9329" w14:textId="77777777" w:rsidR="00D806ED" w:rsidRDefault="00000000">
      <w:pPr>
        <w:pStyle w:val="berschrift3"/>
        <w:numPr>
          <w:ilvl w:val="0"/>
          <w:numId w:val="0"/>
        </w:numPr>
      </w:pPr>
      <w:r>
        <w:t>Nutzwertanalysen Lagerstruktur und Kommissionierung</w:t>
      </w:r>
    </w:p>
    <w:p w14:paraId="49906E20" w14:textId="57FBB6AE" w:rsidR="00D806ED" w:rsidRDefault="00000000">
      <w:pPr>
        <w:pStyle w:val="Beschriftung"/>
        <w:keepNext/>
      </w:pPr>
      <w:bookmarkStart w:id="128" w:name="_Toc243824230"/>
      <w:r>
        <w:t xml:space="preserve">Tabelle </w:t>
      </w:r>
      <w:fldSimple w:instr=" SEQ Tabelle \* ARABIC ">
        <w:r>
          <w:rPr>
            <w:noProof/>
          </w:rPr>
          <w:t>23</w:t>
        </w:r>
      </w:fldSimple>
      <w:r>
        <w:t>: Nutzwertanalyse Lagerstruktur</w:t>
      </w:r>
      <w:bookmarkEnd w:id="128"/>
    </w:p>
    <w:tbl>
      <w:tblPr>
        <w:tblStyle w:val="Tabellenraster"/>
        <w:tblW w:w="9070" w:type="dxa"/>
        <w:tblInd w:w="113" w:type="dxa"/>
        <w:tblLayout w:type="fixed"/>
        <w:tblLook w:val="0020" w:firstRow="1" w:lastRow="0" w:firstColumn="0" w:lastColumn="0" w:noHBand="0" w:noVBand="0"/>
      </w:tblPr>
      <w:tblGrid>
        <w:gridCol w:w="2691"/>
        <w:gridCol w:w="1001"/>
        <w:gridCol w:w="1947"/>
        <w:gridCol w:w="2261"/>
        <w:gridCol w:w="1170"/>
      </w:tblGrid>
      <w:tr w:rsidR="00D806ED" w14:paraId="3155C8E8" w14:textId="77777777">
        <w:trPr>
          <w:tblHeader/>
        </w:trPr>
        <w:tc>
          <w:tcPr>
            <w:tcW w:w="2691" w:type="dxa"/>
            <w:shd w:val="clear" w:color="auto" w:fill="D9D9D9"/>
          </w:tcPr>
          <w:p w14:paraId="44DDA07C" w14:textId="77777777" w:rsidR="00D806ED" w:rsidRDefault="00000000">
            <w:pPr>
              <w:pStyle w:val="Tabelleninhalt"/>
              <w:keepNext/>
            </w:pPr>
            <w:r>
              <w:rPr>
                <w:b/>
              </w:rPr>
              <w:t>Kriterium</w:t>
            </w:r>
          </w:p>
        </w:tc>
        <w:tc>
          <w:tcPr>
            <w:tcW w:w="1001" w:type="dxa"/>
            <w:shd w:val="clear" w:color="auto" w:fill="D9D9D9"/>
          </w:tcPr>
          <w:p w14:paraId="05628D3E" w14:textId="77777777" w:rsidR="00D806ED" w:rsidRDefault="00000000">
            <w:pPr>
              <w:pStyle w:val="Tabelleninhalt"/>
              <w:keepNext/>
              <w:jc w:val="right"/>
            </w:pPr>
            <w:r>
              <w:rPr>
                <w:b/>
              </w:rPr>
              <w:t>Gewicht</w:t>
            </w:r>
          </w:p>
        </w:tc>
        <w:tc>
          <w:tcPr>
            <w:tcW w:w="1947" w:type="dxa"/>
            <w:shd w:val="clear" w:color="auto" w:fill="D9D9D9"/>
          </w:tcPr>
          <w:p w14:paraId="30D12EFC" w14:textId="77777777" w:rsidR="00D806ED" w:rsidRDefault="00000000">
            <w:pPr>
              <w:pStyle w:val="Tabelleninhalt"/>
              <w:keepNext/>
              <w:jc w:val="right"/>
            </w:pPr>
            <w:r>
              <w:rPr>
                <w:b/>
              </w:rPr>
              <w:t>L1 zweistufig, Lager 2 auf Soll</w:t>
            </w:r>
          </w:p>
        </w:tc>
        <w:tc>
          <w:tcPr>
            <w:tcW w:w="2261" w:type="dxa"/>
            <w:shd w:val="clear" w:color="auto" w:fill="D9D9D9"/>
          </w:tcPr>
          <w:p w14:paraId="64043A82" w14:textId="77777777" w:rsidR="00D806ED" w:rsidRDefault="00000000">
            <w:pPr>
              <w:pStyle w:val="Tabelleninhalt"/>
              <w:keepNext/>
              <w:jc w:val="right"/>
            </w:pPr>
            <w:r>
              <w:rPr>
                <w:b/>
              </w:rPr>
              <w:t>L2 einstufig, Zentrallager + Supermärkte</w:t>
            </w:r>
          </w:p>
        </w:tc>
        <w:tc>
          <w:tcPr>
            <w:tcW w:w="1170" w:type="dxa"/>
            <w:shd w:val="clear" w:color="auto" w:fill="D9D9D9"/>
          </w:tcPr>
          <w:p w14:paraId="11457993" w14:textId="77777777" w:rsidR="00D806ED" w:rsidRDefault="00000000">
            <w:pPr>
              <w:pStyle w:val="Tabelleninhalt"/>
              <w:keepNext/>
              <w:jc w:val="right"/>
            </w:pPr>
            <w:r>
              <w:rPr>
                <w:b/>
              </w:rPr>
              <w:t>L3 Lager 1 an 3PL</w:t>
            </w:r>
          </w:p>
        </w:tc>
      </w:tr>
      <w:tr w:rsidR="00D806ED" w14:paraId="5D0FB8CE" w14:textId="77777777">
        <w:trPr>
          <w:cantSplit/>
        </w:trPr>
        <w:tc>
          <w:tcPr>
            <w:tcW w:w="2691" w:type="dxa"/>
          </w:tcPr>
          <w:p w14:paraId="43093137" w14:textId="77777777" w:rsidR="00D806ED" w:rsidRDefault="00000000">
            <w:pPr>
              <w:pStyle w:val="Tabelleninhalt"/>
              <w:keepNext/>
            </w:pPr>
            <w:r>
              <w:t>Bestand/Lagerumschlag</w:t>
            </w:r>
          </w:p>
        </w:tc>
        <w:tc>
          <w:tcPr>
            <w:tcW w:w="1001" w:type="dxa"/>
          </w:tcPr>
          <w:p w14:paraId="52B1E904" w14:textId="77777777" w:rsidR="00D806ED" w:rsidRDefault="00000000">
            <w:pPr>
              <w:pStyle w:val="Tabelleninhalt"/>
              <w:keepNext/>
              <w:jc w:val="right"/>
            </w:pPr>
            <w:r>
              <w:t>25 %</w:t>
            </w:r>
          </w:p>
        </w:tc>
        <w:tc>
          <w:tcPr>
            <w:tcW w:w="1947" w:type="dxa"/>
          </w:tcPr>
          <w:p w14:paraId="0E4516B9" w14:textId="77777777" w:rsidR="00D806ED" w:rsidRDefault="00000000">
            <w:pPr>
              <w:pStyle w:val="Tabelleninhalt"/>
              <w:keepNext/>
              <w:jc w:val="right"/>
            </w:pPr>
            <w:r>
              <w:t>2</w:t>
            </w:r>
          </w:p>
        </w:tc>
        <w:tc>
          <w:tcPr>
            <w:tcW w:w="2261" w:type="dxa"/>
          </w:tcPr>
          <w:p w14:paraId="0B8569A3" w14:textId="77777777" w:rsidR="00D806ED" w:rsidRDefault="00000000">
            <w:pPr>
              <w:pStyle w:val="Tabelleninhalt"/>
              <w:keepNext/>
              <w:jc w:val="right"/>
            </w:pPr>
            <w:r>
              <w:t>5</w:t>
            </w:r>
          </w:p>
        </w:tc>
        <w:tc>
          <w:tcPr>
            <w:tcW w:w="1170" w:type="dxa"/>
          </w:tcPr>
          <w:p w14:paraId="18324F0F" w14:textId="77777777" w:rsidR="00D806ED" w:rsidRDefault="00000000">
            <w:pPr>
              <w:pStyle w:val="Tabelleninhalt"/>
              <w:keepNext/>
              <w:jc w:val="right"/>
            </w:pPr>
            <w:r>
              <w:t>3</w:t>
            </w:r>
          </w:p>
        </w:tc>
      </w:tr>
      <w:tr w:rsidR="00D806ED" w14:paraId="31BBD32F" w14:textId="77777777">
        <w:trPr>
          <w:cantSplit/>
        </w:trPr>
        <w:tc>
          <w:tcPr>
            <w:tcW w:w="2691" w:type="dxa"/>
          </w:tcPr>
          <w:p w14:paraId="3F31A62E" w14:textId="77777777" w:rsidR="00D806ED" w:rsidRDefault="00000000">
            <w:pPr>
              <w:pStyle w:val="Tabelleninhalt"/>
              <w:keepNext/>
            </w:pPr>
            <w:r>
              <w:t>Lagerfläche</w:t>
            </w:r>
          </w:p>
        </w:tc>
        <w:tc>
          <w:tcPr>
            <w:tcW w:w="1001" w:type="dxa"/>
          </w:tcPr>
          <w:p w14:paraId="6EC10967" w14:textId="77777777" w:rsidR="00D806ED" w:rsidRDefault="00000000">
            <w:pPr>
              <w:pStyle w:val="Tabelleninhalt"/>
              <w:keepNext/>
              <w:jc w:val="right"/>
            </w:pPr>
            <w:r>
              <w:t>20 %</w:t>
            </w:r>
          </w:p>
        </w:tc>
        <w:tc>
          <w:tcPr>
            <w:tcW w:w="1947" w:type="dxa"/>
          </w:tcPr>
          <w:p w14:paraId="7E929453" w14:textId="77777777" w:rsidR="00D806ED" w:rsidRDefault="00000000">
            <w:pPr>
              <w:pStyle w:val="Tabelleninhalt"/>
              <w:keepNext/>
              <w:jc w:val="right"/>
            </w:pPr>
            <w:r>
              <w:t>2</w:t>
            </w:r>
          </w:p>
        </w:tc>
        <w:tc>
          <w:tcPr>
            <w:tcW w:w="2261" w:type="dxa"/>
          </w:tcPr>
          <w:p w14:paraId="5851212C" w14:textId="77777777" w:rsidR="00D806ED" w:rsidRDefault="00000000">
            <w:pPr>
              <w:pStyle w:val="Tabelleninhalt"/>
              <w:keepNext/>
              <w:jc w:val="right"/>
            </w:pPr>
            <w:r>
              <w:t>5</w:t>
            </w:r>
          </w:p>
        </w:tc>
        <w:tc>
          <w:tcPr>
            <w:tcW w:w="1170" w:type="dxa"/>
          </w:tcPr>
          <w:p w14:paraId="3B7279EA" w14:textId="77777777" w:rsidR="00D806ED" w:rsidRDefault="00000000">
            <w:pPr>
              <w:pStyle w:val="Tabelleninhalt"/>
              <w:keepNext/>
              <w:jc w:val="right"/>
            </w:pPr>
            <w:r>
              <w:t>4</w:t>
            </w:r>
          </w:p>
        </w:tc>
      </w:tr>
      <w:tr w:rsidR="00D806ED" w14:paraId="24165A56" w14:textId="77777777">
        <w:trPr>
          <w:cantSplit/>
        </w:trPr>
        <w:tc>
          <w:tcPr>
            <w:tcW w:w="2691" w:type="dxa"/>
          </w:tcPr>
          <w:p w14:paraId="0DA18F5D" w14:textId="77777777" w:rsidR="00D806ED" w:rsidRDefault="00000000">
            <w:pPr>
              <w:pStyle w:val="Tabelleninhalt"/>
              <w:keepNext/>
            </w:pPr>
            <w:r>
              <w:t>Durchlaufzeit</w:t>
            </w:r>
          </w:p>
        </w:tc>
        <w:tc>
          <w:tcPr>
            <w:tcW w:w="1001" w:type="dxa"/>
          </w:tcPr>
          <w:p w14:paraId="0A059BBC" w14:textId="77777777" w:rsidR="00D806ED" w:rsidRDefault="00000000">
            <w:pPr>
              <w:pStyle w:val="Tabelleninhalt"/>
              <w:keepNext/>
              <w:jc w:val="right"/>
            </w:pPr>
            <w:r>
              <w:t>25 %</w:t>
            </w:r>
          </w:p>
        </w:tc>
        <w:tc>
          <w:tcPr>
            <w:tcW w:w="1947" w:type="dxa"/>
          </w:tcPr>
          <w:p w14:paraId="14343093" w14:textId="77777777" w:rsidR="00D806ED" w:rsidRDefault="00000000">
            <w:pPr>
              <w:pStyle w:val="Tabelleninhalt"/>
              <w:keepNext/>
              <w:jc w:val="right"/>
            </w:pPr>
            <w:r>
              <w:t>2</w:t>
            </w:r>
          </w:p>
        </w:tc>
        <w:tc>
          <w:tcPr>
            <w:tcW w:w="2261" w:type="dxa"/>
          </w:tcPr>
          <w:p w14:paraId="31383080" w14:textId="77777777" w:rsidR="00D806ED" w:rsidRDefault="00000000">
            <w:pPr>
              <w:pStyle w:val="Tabelleninhalt"/>
              <w:keepNext/>
              <w:jc w:val="right"/>
            </w:pPr>
            <w:r>
              <w:t>5</w:t>
            </w:r>
          </w:p>
        </w:tc>
        <w:tc>
          <w:tcPr>
            <w:tcW w:w="1170" w:type="dxa"/>
          </w:tcPr>
          <w:p w14:paraId="53A961B6" w14:textId="77777777" w:rsidR="00D806ED" w:rsidRDefault="00000000">
            <w:pPr>
              <w:pStyle w:val="Tabelleninhalt"/>
              <w:keepNext/>
              <w:jc w:val="right"/>
            </w:pPr>
            <w:r>
              <w:t>3</w:t>
            </w:r>
          </w:p>
        </w:tc>
      </w:tr>
      <w:tr w:rsidR="00D806ED" w14:paraId="10FBE6C5" w14:textId="77777777">
        <w:trPr>
          <w:cantSplit/>
        </w:trPr>
        <w:tc>
          <w:tcPr>
            <w:tcW w:w="2691" w:type="dxa"/>
          </w:tcPr>
          <w:p w14:paraId="08945935" w14:textId="77777777" w:rsidR="00D806ED" w:rsidRDefault="00000000">
            <w:pPr>
              <w:pStyle w:val="Tabelleninhalt"/>
              <w:keepNext/>
            </w:pPr>
            <w:r>
              <w:t>Versorgungssicherheit</w:t>
            </w:r>
          </w:p>
        </w:tc>
        <w:tc>
          <w:tcPr>
            <w:tcW w:w="1001" w:type="dxa"/>
          </w:tcPr>
          <w:p w14:paraId="3E2EF010" w14:textId="77777777" w:rsidR="00D806ED" w:rsidRDefault="00000000">
            <w:pPr>
              <w:pStyle w:val="Tabelleninhalt"/>
              <w:keepNext/>
              <w:jc w:val="right"/>
            </w:pPr>
            <w:r>
              <w:t>15 %</w:t>
            </w:r>
          </w:p>
        </w:tc>
        <w:tc>
          <w:tcPr>
            <w:tcW w:w="1947" w:type="dxa"/>
          </w:tcPr>
          <w:p w14:paraId="29BC7D4A" w14:textId="77777777" w:rsidR="00D806ED" w:rsidRDefault="00000000">
            <w:pPr>
              <w:pStyle w:val="Tabelleninhalt"/>
              <w:keepNext/>
              <w:jc w:val="right"/>
            </w:pPr>
            <w:r>
              <w:t>4</w:t>
            </w:r>
          </w:p>
        </w:tc>
        <w:tc>
          <w:tcPr>
            <w:tcW w:w="2261" w:type="dxa"/>
          </w:tcPr>
          <w:p w14:paraId="3F1F53CE" w14:textId="77777777" w:rsidR="00D806ED" w:rsidRDefault="00000000">
            <w:pPr>
              <w:pStyle w:val="Tabelleninhalt"/>
              <w:keepNext/>
              <w:jc w:val="right"/>
            </w:pPr>
            <w:r>
              <w:t>4</w:t>
            </w:r>
          </w:p>
        </w:tc>
        <w:tc>
          <w:tcPr>
            <w:tcW w:w="1170" w:type="dxa"/>
          </w:tcPr>
          <w:p w14:paraId="2FDECA19" w14:textId="77777777" w:rsidR="00D806ED" w:rsidRDefault="00000000">
            <w:pPr>
              <w:pStyle w:val="Tabelleninhalt"/>
              <w:keepNext/>
              <w:jc w:val="right"/>
            </w:pPr>
            <w:r>
              <w:t>2</w:t>
            </w:r>
          </w:p>
        </w:tc>
      </w:tr>
      <w:tr w:rsidR="00D806ED" w14:paraId="28221F7D" w14:textId="77777777">
        <w:trPr>
          <w:cantSplit/>
        </w:trPr>
        <w:tc>
          <w:tcPr>
            <w:tcW w:w="2691" w:type="dxa"/>
          </w:tcPr>
          <w:p w14:paraId="2AD0C432" w14:textId="77777777" w:rsidR="00D806ED" w:rsidRDefault="00000000">
            <w:pPr>
              <w:pStyle w:val="Tabelleninhalt"/>
              <w:keepNext/>
            </w:pPr>
            <w:r>
              <w:t>Investition/Umsetzung</w:t>
            </w:r>
          </w:p>
        </w:tc>
        <w:tc>
          <w:tcPr>
            <w:tcW w:w="1001" w:type="dxa"/>
          </w:tcPr>
          <w:p w14:paraId="26038796" w14:textId="77777777" w:rsidR="00D806ED" w:rsidRDefault="00000000">
            <w:pPr>
              <w:pStyle w:val="Tabelleninhalt"/>
              <w:keepNext/>
              <w:jc w:val="right"/>
            </w:pPr>
            <w:r>
              <w:t>15 %</w:t>
            </w:r>
          </w:p>
        </w:tc>
        <w:tc>
          <w:tcPr>
            <w:tcW w:w="1947" w:type="dxa"/>
          </w:tcPr>
          <w:p w14:paraId="70753BAA" w14:textId="77777777" w:rsidR="00D806ED" w:rsidRDefault="00000000">
            <w:pPr>
              <w:pStyle w:val="Tabelleninhalt"/>
              <w:keepNext/>
              <w:jc w:val="right"/>
            </w:pPr>
            <w:r>
              <w:t>5</w:t>
            </w:r>
          </w:p>
        </w:tc>
        <w:tc>
          <w:tcPr>
            <w:tcW w:w="2261" w:type="dxa"/>
          </w:tcPr>
          <w:p w14:paraId="5C7ECF1C" w14:textId="77777777" w:rsidR="00D806ED" w:rsidRDefault="00000000">
            <w:pPr>
              <w:pStyle w:val="Tabelleninhalt"/>
              <w:keepNext/>
              <w:jc w:val="right"/>
            </w:pPr>
            <w:r>
              <w:t>3</w:t>
            </w:r>
          </w:p>
        </w:tc>
        <w:tc>
          <w:tcPr>
            <w:tcW w:w="1170" w:type="dxa"/>
          </w:tcPr>
          <w:p w14:paraId="07DC43CF" w14:textId="77777777" w:rsidR="00D806ED" w:rsidRDefault="00000000">
            <w:pPr>
              <w:pStyle w:val="Tabelleninhalt"/>
              <w:keepNext/>
              <w:jc w:val="right"/>
            </w:pPr>
            <w:r>
              <w:t>2</w:t>
            </w:r>
          </w:p>
        </w:tc>
      </w:tr>
      <w:tr w:rsidR="00D806ED" w14:paraId="2527CA7E" w14:textId="77777777">
        <w:trPr>
          <w:cantSplit/>
        </w:trPr>
        <w:tc>
          <w:tcPr>
            <w:tcW w:w="2691" w:type="dxa"/>
          </w:tcPr>
          <w:p w14:paraId="401EB63B" w14:textId="77777777" w:rsidR="00D806ED" w:rsidRDefault="00000000">
            <w:pPr>
              <w:pStyle w:val="Tabelleninhalt"/>
              <w:keepNext/>
            </w:pPr>
            <w:r>
              <w:rPr>
                <w:b/>
                <w:bCs/>
              </w:rPr>
              <w:t>Nutzwert</w:t>
            </w:r>
            <w:r>
              <w:t xml:space="preserve"> (gleiche Gewichte)</w:t>
            </w:r>
          </w:p>
        </w:tc>
        <w:tc>
          <w:tcPr>
            <w:tcW w:w="1001" w:type="dxa"/>
          </w:tcPr>
          <w:p w14:paraId="7541DBA2" w14:textId="77777777" w:rsidR="00D806ED" w:rsidRDefault="00D806ED">
            <w:pPr>
              <w:pStyle w:val="Tabelleninhalt"/>
              <w:keepNext/>
            </w:pPr>
          </w:p>
        </w:tc>
        <w:tc>
          <w:tcPr>
            <w:tcW w:w="1947" w:type="dxa"/>
          </w:tcPr>
          <w:p w14:paraId="7A93CCC2" w14:textId="77777777" w:rsidR="00D806ED" w:rsidRDefault="00000000">
            <w:pPr>
              <w:pStyle w:val="Tabelleninhalt"/>
              <w:keepNext/>
              <w:jc w:val="right"/>
            </w:pPr>
            <w:r>
              <w:t>2,75 (3,00)</w:t>
            </w:r>
          </w:p>
        </w:tc>
        <w:tc>
          <w:tcPr>
            <w:tcW w:w="2261" w:type="dxa"/>
          </w:tcPr>
          <w:p w14:paraId="132338DF" w14:textId="77777777" w:rsidR="00D806ED" w:rsidRDefault="00000000">
            <w:pPr>
              <w:pStyle w:val="Tabelleninhalt"/>
              <w:keepNext/>
              <w:jc w:val="right"/>
            </w:pPr>
            <w:r>
              <w:rPr>
                <w:b/>
                <w:bCs/>
              </w:rPr>
              <w:t>4,55 (4,40)</w:t>
            </w:r>
          </w:p>
        </w:tc>
        <w:tc>
          <w:tcPr>
            <w:tcW w:w="1170" w:type="dxa"/>
          </w:tcPr>
          <w:p w14:paraId="4949895F" w14:textId="77777777" w:rsidR="00D806ED" w:rsidRDefault="00000000">
            <w:pPr>
              <w:pStyle w:val="Tabelleninhalt"/>
              <w:keepNext/>
              <w:jc w:val="right"/>
            </w:pPr>
            <w:r>
              <w:t>2,90 (2,80)</w:t>
            </w:r>
          </w:p>
        </w:tc>
      </w:tr>
    </w:tbl>
    <w:p w14:paraId="02901A78" w14:textId="77777777" w:rsidR="00D806ED" w:rsidRDefault="00000000">
      <w:pPr>
        <w:pStyle w:val="Quellenangabe"/>
      </w:pPr>
      <w:r>
        <w:t>Quelle: Eigene Darstellung und Berechnung.</w:t>
      </w:r>
    </w:p>
    <w:p w14:paraId="6D542723" w14:textId="3DE76467" w:rsidR="00D806ED" w:rsidRDefault="00000000">
      <w:pPr>
        <w:pStyle w:val="Beschriftung"/>
        <w:keepNext/>
      </w:pPr>
      <w:bookmarkStart w:id="129" w:name="_Toc243824231"/>
      <w:r>
        <w:t xml:space="preserve">Tabelle </w:t>
      </w:r>
      <w:fldSimple w:instr=" SEQ Tabelle \* ARABIC ">
        <w:r>
          <w:rPr>
            <w:noProof/>
          </w:rPr>
          <w:t>24</w:t>
        </w:r>
      </w:fldSimple>
      <w:r>
        <w:t xml:space="preserve">: Nutzwertanalyse Kommissioniersystem und Betreiber</w:t>
      </w:r>
      <w:bookmarkEnd w:id="129"/>
    </w:p>
    <w:tbl>
      <w:tblPr>
        <w:tblStyle w:val="Tabellenraster"/>
        <w:tblW w:w="9069" w:type="dxa"/>
        <w:tblInd w:w="70" w:type="dxa"/>
        <w:tblLayout w:type="fixed"/>
        <w:tblCellMar>
          <w:left w:w="65" w:type="dxa"/>
          <w:right w:w="65" w:type="dxa"/>
        </w:tblCellMar>
        <w:tblLook w:val="0020" w:firstRow="1" w:lastRow="0" w:firstColumn="0" w:lastColumn="0" w:noHBand="0" w:noVBand="0"/>
      </w:tblPr>
      <w:tblGrid>
        <w:gridCol w:w="2938"/>
        <w:gridCol w:w="815"/>
        <w:gridCol w:w="1624"/>
        <w:gridCol w:w="1903"/>
        <w:gridCol w:w="1789"/>
      </w:tblGrid>
      <w:tr w:rsidR="00D806ED" w14:paraId="1EB5F5F3" w14:textId="77777777">
        <w:trPr>
          <w:tblHeader/>
        </w:trPr>
        <w:tc>
          <w:tcPr>
            <w:tcW w:w="2938" w:type="dxa"/>
            <w:shd w:val="clear" w:color="auto" w:fill="D9D9D9"/>
          </w:tcPr>
          <w:p w14:paraId="506E56BD" w14:textId="77777777" w:rsidR="00D806ED" w:rsidRDefault="00000000">
            <w:pPr>
              <w:pStyle w:val="Tabelleninhaltklein"/>
              <w:keepNext/>
            </w:pPr>
            <w:r>
              <w:rPr>
                <w:b/>
              </w:rPr>
              <w:t>Kriterium</w:t>
            </w:r>
          </w:p>
        </w:tc>
        <w:tc>
          <w:tcPr>
            <w:tcW w:w="815" w:type="dxa"/>
            <w:shd w:val="clear" w:color="auto" w:fill="D9D9D9"/>
          </w:tcPr>
          <w:p w14:paraId="34026628" w14:textId="77777777" w:rsidR="00D806ED" w:rsidRDefault="00000000">
            <w:pPr>
              <w:pStyle w:val="Tabelleninhaltklein"/>
              <w:keepNext/>
              <w:jc w:val="right"/>
            </w:pPr>
            <w:r>
              <w:rPr>
                <w:b/>
              </w:rPr>
              <w:t>Gewicht</w:t>
            </w:r>
          </w:p>
        </w:tc>
        <w:tc>
          <w:tcPr>
            <w:tcW w:w="1624" w:type="dxa"/>
            <w:shd w:val="clear" w:color="auto" w:fill="D9D9D9"/>
          </w:tcPr>
          <w:p w14:paraId="5B15C9AC" w14:textId="77777777" w:rsidR="00D806ED" w:rsidRDefault="00000000">
            <w:pPr>
              <w:pStyle w:val="Tabelleninhaltklein"/>
              <w:keepNext/>
              <w:jc w:val="right"/>
            </w:pPr>
            <w:r>
              <w:rPr>
                <w:b/>
              </w:rPr>
              <w:t>K1 Mann-zur-Ware manuell (Ist)</w:t>
            </w:r>
          </w:p>
        </w:tc>
        <w:tc>
          <w:tcPr>
            <w:tcW w:w="1903" w:type="dxa"/>
            <w:shd w:val="clear" w:color="auto" w:fill="D9D9D9"/>
          </w:tcPr>
          <w:p w14:paraId="6DE6ADB6" w14:textId="77777777" w:rsidR="00D806ED" w:rsidRDefault="00000000">
            <w:pPr>
              <w:pStyle w:val="Tabelleninhaltklein"/>
              <w:keepNext/>
              <w:jc w:val="right"/>
            </w:pPr>
            <w:r>
              <w:rPr>
                <w:b/>
              </w:rPr>
              <w:t>K2 Ware-zur-Person, Eigenbetrieb</w:t>
            </w:r>
          </w:p>
        </w:tc>
        <w:tc>
          <w:tcPr>
            <w:tcW w:w="1789" w:type="dxa"/>
            <w:shd w:val="clear" w:color="auto" w:fill="D9D9D9"/>
          </w:tcPr>
          <w:p w14:paraId="45A32457" w14:textId="77777777" w:rsidR="00D806ED" w:rsidRDefault="00000000">
            <w:pPr>
              <w:pStyle w:val="Tabelleninhaltklein"/>
              <w:keepNext/>
              <w:jc w:val="right"/>
            </w:pPr>
            <w:r>
              <w:rPr>
                <w:b/>
              </w:rPr>
              <w:t>K3 Ware-zur-Person, 3PL</w:t>
            </w:r>
          </w:p>
        </w:tc>
      </w:tr>
      <w:tr w:rsidR="00D806ED" w14:paraId="4D3FCF4A" w14:textId="77777777">
        <w:trPr>
          <w:cantSplit/>
        </w:trPr>
        <w:tc>
          <w:tcPr>
            <w:tcW w:w="2938" w:type="dxa"/>
          </w:tcPr>
          <w:p w14:paraId="45A924AC" w14:textId="77777777" w:rsidR="00D806ED" w:rsidRDefault="00000000">
            <w:pPr>
              <w:pStyle w:val="Tabelleninhaltklein"/>
              <w:keepNext/>
            </w:pPr>
            <w:r>
              <w:t>Personalbedarf/Produktivität</w:t>
            </w:r>
          </w:p>
        </w:tc>
        <w:tc>
          <w:tcPr>
            <w:tcW w:w="815" w:type="dxa"/>
          </w:tcPr>
          <w:p w14:paraId="04F0B993" w14:textId="77777777" w:rsidR="00D806ED" w:rsidRDefault="00000000">
            <w:pPr>
              <w:pStyle w:val="Tabelleninhaltklein"/>
              <w:keepNext/>
              <w:jc w:val="right"/>
            </w:pPr>
            <w:r>
              <w:t>25 %</w:t>
            </w:r>
          </w:p>
        </w:tc>
        <w:tc>
          <w:tcPr>
            <w:tcW w:w="1624" w:type="dxa"/>
          </w:tcPr>
          <w:p w14:paraId="220BDCC6" w14:textId="77777777" w:rsidR="00D806ED" w:rsidRDefault="00000000">
            <w:pPr>
              <w:pStyle w:val="Tabelleninhaltklein"/>
              <w:keepNext/>
              <w:jc w:val="right"/>
            </w:pPr>
            <w:r>
              <w:t>1</w:t>
            </w:r>
          </w:p>
        </w:tc>
        <w:tc>
          <w:tcPr>
            <w:tcW w:w="1903" w:type="dxa"/>
          </w:tcPr>
          <w:p w14:paraId="3C215D64" w14:textId="77777777" w:rsidR="00D806ED" w:rsidRDefault="00000000">
            <w:pPr>
              <w:pStyle w:val="Tabelleninhaltklein"/>
              <w:keepNext/>
              <w:jc w:val="right"/>
            </w:pPr>
            <w:r>
              <w:t>5</w:t>
            </w:r>
          </w:p>
        </w:tc>
        <w:tc>
          <w:tcPr>
            <w:tcW w:w="1789" w:type="dxa"/>
          </w:tcPr>
          <w:p w14:paraId="6708876A" w14:textId="77777777" w:rsidR="00D806ED" w:rsidRDefault="00000000">
            <w:pPr>
              <w:pStyle w:val="Tabelleninhaltklein"/>
              <w:keepNext/>
              <w:jc w:val="right"/>
            </w:pPr>
            <w:r>
              <w:t>5</w:t>
            </w:r>
          </w:p>
        </w:tc>
      </w:tr>
      <w:tr w:rsidR="00D806ED" w14:paraId="7CDA604E" w14:textId="77777777">
        <w:trPr>
          <w:cantSplit/>
        </w:trPr>
        <w:tc>
          <w:tcPr>
            <w:tcW w:w="2938" w:type="dxa"/>
          </w:tcPr>
          <w:p w14:paraId="2400254C" w14:textId="77777777" w:rsidR="00D806ED" w:rsidRDefault="00000000">
            <w:pPr>
              <w:pStyle w:val="Tabelleninhaltklein"/>
              <w:keepNext/>
            </w:pPr>
            <w:r>
              <w:t>Integration in die Pull-Steuerung</w:t>
            </w:r>
          </w:p>
        </w:tc>
        <w:tc>
          <w:tcPr>
            <w:tcW w:w="815" w:type="dxa"/>
          </w:tcPr>
          <w:p w14:paraId="34A39F2A" w14:textId="77777777" w:rsidR="00D806ED" w:rsidRDefault="00000000">
            <w:pPr>
              <w:pStyle w:val="Tabelleninhaltklein"/>
              <w:keepNext/>
              <w:jc w:val="right"/>
            </w:pPr>
            <w:r>
              <w:t>25 %</w:t>
            </w:r>
          </w:p>
        </w:tc>
        <w:tc>
          <w:tcPr>
            <w:tcW w:w="1624" w:type="dxa"/>
          </w:tcPr>
          <w:p w14:paraId="041DDDD6" w14:textId="77777777" w:rsidR="00D806ED" w:rsidRDefault="00000000">
            <w:pPr>
              <w:pStyle w:val="Tabelleninhaltklein"/>
              <w:keepNext/>
              <w:jc w:val="right"/>
            </w:pPr>
            <w:r>
              <w:t>2</w:t>
            </w:r>
          </w:p>
        </w:tc>
        <w:tc>
          <w:tcPr>
            <w:tcW w:w="1903" w:type="dxa"/>
          </w:tcPr>
          <w:p w14:paraId="08D40A7A" w14:textId="77777777" w:rsidR="00D806ED" w:rsidRDefault="00000000">
            <w:pPr>
              <w:pStyle w:val="Tabelleninhaltklein"/>
              <w:keepNext/>
              <w:jc w:val="right"/>
            </w:pPr>
            <w:r>
              <w:t>5</w:t>
            </w:r>
          </w:p>
        </w:tc>
        <w:tc>
          <w:tcPr>
            <w:tcW w:w="1789" w:type="dxa"/>
          </w:tcPr>
          <w:p w14:paraId="49A2927B" w14:textId="77777777" w:rsidR="00D806ED" w:rsidRDefault="00000000">
            <w:pPr>
              <w:pStyle w:val="Tabelleninhaltklein"/>
              <w:keepNext/>
              <w:jc w:val="right"/>
            </w:pPr>
            <w:r>
              <w:t>3</w:t>
            </w:r>
          </w:p>
        </w:tc>
      </w:tr>
      <w:tr w:rsidR="00D806ED" w14:paraId="4888AD46" w14:textId="77777777">
        <w:trPr>
          <w:cantSplit/>
        </w:trPr>
        <w:tc>
          <w:tcPr>
            <w:tcW w:w="2938" w:type="dxa"/>
          </w:tcPr>
          <w:p w14:paraId="60AD988E" w14:textId="77777777" w:rsidR="00D806ED" w:rsidRDefault="00000000">
            <w:pPr>
              <w:pStyle w:val="Tabelleninhaltklein"/>
              <w:keepNext/>
            </w:pPr>
            <w:r>
              <w:t>Kapitalbedarf</w:t>
            </w:r>
          </w:p>
        </w:tc>
        <w:tc>
          <w:tcPr>
            <w:tcW w:w="815" w:type="dxa"/>
          </w:tcPr>
          <w:p w14:paraId="7EC2621D" w14:textId="77777777" w:rsidR="00D806ED" w:rsidRDefault="00000000">
            <w:pPr>
              <w:pStyle w:val="Tabelleninhaltklein"/>
              <w:keepNext/>
              <w:jc w:val="right"/>
            </w:pPr>
            <w:r>
              <w:t>15 %</w:t>
            </w:r>
          </w:p>
        </w:tc>
        <w:tc>
          <w:tcPr>
            <w:tcW w:w="1624" w:type="dxa"/>
          </w:tcPr>
          <w:p w14:paraId="023AED46" w14:textId="77777777" w:rsidR="00D806ED" w:rsidRDefault="00000000">
            <w:pPr>
              <w:pStyle w:val="Tabelleninhaltklein"/>
              <w:keepNext/>
              <w:jc w:val="right"/>
            </w:pPr>
            <w:r>
              <w:t>5</w:t>
            </w:r>
          </w:p>
        </w:tc>
        <w:tc>
          <w:tcPr>
            <w:tcW w:w="1903" w:type="dxa"/>
          </w:tcPr>
          <w:p w14:paraId="29AD37ED" w14:textId="77777777" w:rsidR="00D806ED" w:rsidRDefault="00000000">
            <w:pPr>
              <w:pStyle w:val="Tabelleninhaltklein"/>
              <w:keepNext/>
              <w:jc w:val="right"/>
            </w:pPr>
            <w:r>
              <w:t>2</w:t>
            </w:r>
          </w:p>
        </w:tc>
        <w:tc>
          <w:tcPr>
            <w:tcW w:w="1789" w:type="dxa"/>
          </w:tcPr>
          <w:p w14:paraId="754739FE" w14:textId="77777777" w:rsidR="00D806ED" w:rsidRDefault="00000000">
            <w:pPr>
              <w:pStyle w:val="Tabelleninhaltklein"/>
              <w:keepNext/>
              <w:jc w:val="right"/>
            </w:pPr>
            <w:r>
              <w:t>4</w:t>
            </w:r>
          </w:p>
        </w:tc>
      </w:tr>
      <w:tr w:rsidR="00D806ED" w14:paraId="66D4FF45" w14:textId="77777777">
        <w:trPr>
          <w:cantSplit/>
        </w:trPr>
        <w:tc>
          <w:tcPr>
            <w:tcW w:w="2938" w:type="dxa"/>
          </w:tcPr>
          <w:p w14:paraId="3E6C34C4" w14:textId="77777777" w:rsidR="00D806ED" w:rsidRDefault="00000000">
            <w:pPr>
              <w:pStyle w:val="Tabelleninhaltklein"/>
              <w:keepNext/>
            </w:pPr>
            <w:r>
              <w:t>Flexibilität (Menge/Varianten)</w:t>
            </w:r>
          </w:p>
        </w:tc>
        <w:tc>
          <w:tcPr>
            <w:tcW w:w="815" w:type="dxa"/>
          </w:tcPr>
          <w:p w14:paraId="583110FA" w14:textId="77777777" w:rsidR="00D806ED" w:rsidRDefault="00000000">
            <w:pPr>
              <w:pStyle w:val="Tabelleninhaltklein"/>
              <w:keepNext/>
              <w:jc w:val="right"/>
            </w:pPr>
            <w:r>
              <w:t>15 %</w:t>
            </w:r>
          </w:p>
        </w:tc>
        <w:tc>
          <w:tcPr>
            <w:tcW w:w="1624" w:type="dxa"/>
          </w:tcPr>
          <w:p w14:paraId="6D65357D" w14:textId="77777777" w:rsidR="00D806ED" w:rsidRDefault="00000000">
            <w:pPr>
              <w:pStyle w:val="Tabelleninhaltklein"/>
              <w:keepNext/>
              <w:jc w:val="right"/>
            </w:pPr>
            <w:r>
              <w:t>4</w:t>
            </w:r>
          </w:p>
        </w:tc>
        <w:tc>
          <w:tcPr>
            <w:tcW w:w="1903" w:type="dxa"/>
          </w:tcPr>
          <w:p w14:paraId="5EC1E11D" w14:textId="77777777" w:rsidR="00D806ED" w:rsidRDefault="00000000">
            <w:pPr>
              <w:pStyle w:val="Tabelleninhaltklein"/>
              <w:keepNext/>
              <w:jc w:val="right"/>
            </w:pPr>
            <w:r>
              <w:t>3</w:t>
            </w:r>
          </w:p>
        </w:tc>
        <w:tc>
          <w:tcPr>
            <w:tcW w:w="1789" w:type="dxa"/>
          </w:tcPr>
          <w:p w14:paraId="4EE5F42B" w14:textId="77777777" w:rsidR="00D806ED" w:rsidRDefault="00000000">
            <w:pPr>
              <w:pStyle w:val="Tabelleninhaltklein"/>
              <w:keepNext/>
              <w:jc w:val="right"/>
            </w:pPr>
            <w:r>
              <w:t>3</w:t>
            </w:r>
          </w:p>
        </w:tc>
      </w:tr>
      <w:tr w:rsidR="00D806ED" w14:paraId="1B96AB70" w14:textId="77777777">
        <w:trPr>
          <w:cantSplit/>
        </w:trPr>
        <w:tc>
          <w:tcPr>
            <w:tcW w:w="2938" w:type="dxa"/>
          </w:tcPr>
          <w:p w14:paraId="1451D841" w14:textId="77777777" w:rsidR="00D806ED" w:rsidRDefault="00000000">
            <w:pPr>
              <w:pStyle w:val="Tabelleninhaltklein"/>
              <w:keepNext/>
            </w:pPr>
            <w:r>
              <w:t>Abhängigkeit/Know-how-Risiko</w:t>
            </w:r>
          </w:p>
        </w:tc>
        <w:tc>
          <w:tcPr>
            <w:tcW w:w="815" w:type="dxa"/>
          </w:tcPr>
          <w:p w14:paraId="22E1F574" w14:textId="77777777" w:rsidR="00D806ED" w:rsidRDefault="00000000">
            <w:pPr>
              <w:pStyle w:val="Tabelleninhaltklein"/>
              <w:keepNext/>
              <w:jc w:val="right"/>
            </w:pPr>
            <w:r>
              <w:t>20 %</w:t>
            </w:r>
          </w:p>
        </w:tc>
        <w:tc>
          <w:tcPr>
            <w:tcW w:w="1624" w:type="dxa"/>
          </w:tcPr>
          <w:p w14:paraId="519233B0" w14:textId="77777777" w:rsidR="00D806ED" w:rsidRDefault="00000000">
            <w:pPr>
              <w:pStyle w:val="Tabelleninhaltklein"/>
              <w:keepNext/>
              <w:jc w:val="right"/>
            </w:pPr>
            <w:r>
              <w:t>4</w:t>
            </w:r>
          </w:p>
        </w:tc>
        <w:tc>
          <w:tcPr>
            <w:tcW w:w="1903" w:type="dxa"/>
          </w:tcPr>
          <w:p w14:paraId="70D5CAE4" w14:textId="77777777" w:rsidR="00D806ED" w:rsidRDefault="00000000">
            <w:pPr>
              <w:pStyle w:val="Tabelleninhaltklein"/>
              <w:keepNext/>
              <w:jc w:val="right"/>
            </w:pPr>
            <w:r>
              <w:t>4</w:t>
            </w:r>
          </w:p>
        </w:tc>
        <w:tc>
          <w:tcPr>
            <w:tcW w:w="1789" w:type="dxa"/>
          </w:tcPr>
          <w:p w14:paraId="54D57281" w14:textId="77777777" w:rsidR="00D806ED" w:rsidRDefault="00000000">
            <w:pPr>
              <w:pStyle w:val="Tabelleninhaltklein"/>
              <w:keepNext/>
              <w:jc w:val="right"/>
            </w:pPr>
            <w:r>
              <w:t>2</w:t>
            </w:r>
          </w:p>
        </w:tc>
      </w:tr>
      <w:tr w:rsidR="00D806ED" w14:paraId="34AE28A4" w14:textId="77777777">
        <w:trPr>
          <w:cantSplit/>
        </w:trPr>
        <w:tc>
          <w:tcPr>
            <w:tcW w:w="2938" w:type="dxa"/>
          </w:tcPr>
          <w:p w14:paraId="7E3BA2BA" w14:textId="77777777" w:rsidR="00D806ED" w:rsidRDefault="00000000">
            <w:pPr>
              <w:pStyle w:val="Tabelleninhaltklein"/>
              <w:keepNext/>
            </w:pPr>
            <w:r>
              <w:rPr>
                <w:b/>
                <w:bCs/>
              </w:rPr>
              <w:t>Nutzwert</w:t>
            </w:r>
            <w:r>
              <w:t xml:space="preserve"> (gleiche Gewichte)</w:t>
            </w:r>
          </w:p>
        </w:tc>
        <w:tc>
          <w:tcPr>
            <w:tcW w:w="815" w:type="dxa"/>
          </w:tcPr>
          <w:p w14:paraId="50DEBEDE" w14:textId="77777777" w:rsidR="00D806ED" w:rsidRDefault="00D806ED">
            <w:pPr>
              <w:pStyle w:val="Tabelleninhaltklein"/>
              <w:keepNext/>
            </w:pPr>
          </w:p>
        </w:tc>
        <w:tc>
          <w:tcPr>
            <w:tcW w:w="1624" w:type="dxa"/>
          </w:tcPr>
          <w:p w14:paraId="0C4D29E3" w14:textId="77777777" w:rsidR="00D806ED" w:rsidRDefault="00000000">
            <w:pPr>
              <w:pStyle w:val="Tabelleninhaltklein"/>
              <w:keepNext/>
              <w:jc w:val="right"/>
            </w:pPr>
            <w:r>
              <w:t>2,90 (3,20)</w:t>
            </w:r>
          </w:p>
        </w:tc>
        <w:tc>
          <w:tcPr>
            <w:tcW w:w="1903" w:type="dxa"/>
          </w:tcPr>
          <w:p w14:paraId="074C97C6" w14:textId="77777777" w:rsidR="00D806ED" w:rsidRDefault="00000000">
            <w:pPr>
              <w:pStyle w:val="Tabelleninhaltklein"/>
              <w:keepNext/>
              <w:jc w:val="right"/>
            </w:pPr>
            <w:r>
              <w:rPr>
                <w:b/>
                <w:bCs/>
              </w:rPr>
              <w:t>4,05 (3,80)</w:t>
            </w:r>
          </w:p>
        </w:tc>
        <w:tc>
          <w:tcPr>
            <w:tcW w:w="1789" w:type="dxa"/>
          </w:tcPr>
          <w:p w14:paraId="20674426" w14:textId="77777777" w:rsidR="00D806ED" w:rsidRDefault="00000000">
            <w:pPr>
              <w:pStyle w:val="Tabelleninhaltklein"/>
              <w:keepNext/>
              <w:jc w:val="right"/>
            </w:pPr>
            <w:r>
              <w:t>3,45 (3,40)</w:t>
            </w:r>
          </w:p>
        </w:tc>
      </w:tr>
    </w:tbl>
    <w:p w14:paraId="1859F652" w14:textId="77777777" w:rsidR="00D806ED" w:rsidRDefault="00000000">
      <w:pPr>
        <w:pStyle w:val="Quellenangabe"/>
      </w:pPr>
      <w:r>
        <w:t xml:space="preserve">Quelle: Eigene Darstellung und Berechnung; Kriterien nach den Make-or-Buy-Faktoren (Hutzler &amp; Fuchs, 2021, S. 60).</w:t>
      </w:r>
    </w:p>
    <w:p w14:paraId="4E4B59FE" w14:textId="5A06C1D5" w:rsidR="00D806ED" w:rsidRDefault="00000000">
      <w:pPr>
        <w:pStyle w:val="Beschriftung"/>
        <w:keepNext/>
      </w:pPr>
      <w:bookmarkStart w:id="130" w:name="_Toc243824232"/>
      <w:r>
        <w:lastRenderedPageBreak/>
        <w:t xml:space="preserve">Tabelle </w:t>
      </w:r>
      <w:fldSimple w:instr=" SEQ Tabelle \* ARABIC ">
        <w:r>
          <w:rPr>
            <w:noProof/>
          </w:rPr>
          <w:t>25</w:t>
        </w:r>
      </w:fldSimple>
      <w:r>
        <w:t>: Begründung der Punktwerte Lagerstruktur und Kommissionierung</w:t>
      </w:r>
      <w:bookmarkEnd w:id="130"/>
    </w:p>
    <w:tbl>
      <w:tblPr>
        <w:tblStyle w:val="Tabellenraster"/>
        <w:tblW w:w="9070" w:type="dxa"/>
        <w:tblInd w:w="113" w:type="dxa"/>
        <w:tblLayout w:type="fixed"/>
        <w:tblLook w:val="0020" w:firstRow="1" w:lastRow="0" w:firstColumn="0" w:lastColumn="0" w:noHBand="0" w:noVBand="0"/>
      </w:tblPr>
      <w:tblGrid>
        <w:gridCol w:w="1599"/>
        <w:gridCol w:w="7471"/>
      </w:tblGrid>
      <w:tr w:rsidR="00D806ED" w14:paraId="6DEDD07B" w14:textId="77777777">
        <w:trPr>
          <w:tblHeader/>
        </w:trPr>
        <w:tc>
          <w:tcPr>
            <w:tcW w:w="1599" w:type="dxa"/>
            <w:shd w:val="clear" w:color="auto" w:fill="D9D9D9"/>
          </w:tcPr>
          <w:p w14:paraId="3BC83393" w14:textId="77777777" w:rsidR="00D806ED" w:rsidRDefault="00000000">
            <w:pPr>
              <w:pStyle w:val="Tabelleninhalt"/>
              <w:keepNext/>
            </w:pPr>
            <w:r>
              <w:rPr>
                <w:b/>
              </w:rPr>
              <w:t>Variante</w:t>
            </w:r>
          </w:p>
        </w:tc>
        <w:tc>
          <w:tcPr>
            <w:tcW w:w="7471" w:type="dxa"/>
            <w:shd w:val="clear" w:color="auto" w:fill="D9D9D9"/>
          </w:tcPr>
          <w:p w14:paraId="0A6F6120" w14:textId="77777777" w:rsidR="00D806ED" w:rsidRDefault="00000000">
            <w:pPr>
              <w:pStyle w:val="Tabelleninhalt"/>
              <w:keepNext/>
            </w:pPr>
            <w:r>
              <w:rPr>
                <w:b/>
              </w:rPr>
              <w:t>Kernbegründung</w:t>
            </w:r>
          </w:p>
        </w:tc>
      </w:tr>
      <w:tr w:rsidR="00D806ED" w14:paraId="794F2F00" w14:textId="77777777">
        <w:trPr>
          <w:cantSplit/>
        </w:trPr>
        <w:tc>
          <w:tcPr>
            <w:tcW w:w="1599" w:type="dxa"/>
          </w:tcPr>
          <w:p w14:paraId="5763DFF0" w14:textId="77777777" w:rsidR="00D806ED" w:rsidRDefault="00000000">
            <w:pPr>
              <w:pStyle w:val="Tabelleninhalt"/>
              <w:keepNext/>
            </w:pPr>
            <w:r>
              <w:t>L1</w:t>
            </w:r>
          </w:p>
        </w:tc>
        <w:tc>
          <w:tcPr>
            <w:tcW w:w="7471" w:type="dxa"/>
          </w:tcPr>
          <w:p w14:paraId="2D92F1B3" w14:textId="77777777" w:rsidR="00D806ED" w:rsidRDefault="00000000">
            <w:pPr>
              <w:pStyle w:val="Tabelleninhalt"/>
              <w:keepNext/>
            </w:pPr>
            <w:r>
              <w:t xml:space="preserve">Bestand sinkt, aber Doppel-Handling, Shuttle und 2 AT Umlagerung bleiben. Keine Fläche frei, geringe Investition</w:t>
            </w:r>
          </w:p>
        </w:tc>
      </w:tr>
      <w:tr w:rsidR="00D806ED" w14:paraId="55B23F7B" w14:textId="77777777">
        <w:trPr>
          <w:cantSplit/>
        </w:trPr>
        <w:tc>
          <w:tcPr>
            <w:tcW w:w="1599" w:type="dxa"/>
          </w:tcPr>
          <w:p w14:paraId="6DCAFE12" w14:textId="77777777" w:rsidR="00D806ED" w:rsidRDefault="00000000">
            <w:pPr>
              <w:pStyle w:val="Tabelleninhalt"/>
              <w:keepNext/>
            </w:pPr>
            <w:r>
              <w:t>L2</w:t>
            </w:r>
          </w:p>
        </w:tc>
        <w:tc>
          <w:tcPr>
            <w:tcW w:w="7471" w:type="dxa"/>
          </w:tcPr>
          <w:p w14:paraId="1F81E81C" w14:textId="77777777" w:rsidR="00D806ED" w:rsidRDefault="00000000">
            <w:pPr>
              <w:pStyle w:val="Tabelleninhalt"/>
              <w:keepNext/>
            </w:pPr>
            <w:r>
              <w:t>Lager 2 und Shuttle entfallen, Reichweite ≤ 1 AT. Versorgungssicherheit hängt an der Kanban-Disziplin (S. 48), deshalb 4 Punkte</w:t>
            </w:r>
          </w:p>
        </w:tc>
      </w:tr>
      <w:tr w:rsidR="00D806ED" w14:paraId="2F16601A" w14:textId="77777777">
        <w:trPr>
          <w:cantSplit/>
        </w:trPr>
        <w:tc>
          <w:tcPr>
            <w:tcW w:w="1599" w:type="dxa"/>
          </w:tcPr>
          <w:p w14:paraId="323A2C33" w14:textId="77777777" w:rsidR="00D806ED" w:rsidRDefault="00000000">
            <w:pPr>
              <w:pStyle w:val="Tabelleninhalt"/>
              <w:keepNext/>
            </w:pPr>
            <w:r>
              <w:t>L3</w:t>
            </w:r>
          </w:p>
        </w:tc>
        <w:tc>
          <w:tcPr>
            <w:tcW w:w="7471" w:type="dxa"/>
          </w:tcPr>
          <w:p w14:paraId="7CBE642F" w14:textId="77777777" w:rsidR="00D806ED" w:rsidRDefault="00000000">
            <w:pPr>
              <w:pStyle w:val="Tabelleninhalt"/>
              <w:keepNext/>
            </w:pPr>
            <w:r>
              <w:t xml:space="preserve">eigene Abwägung: Lager 1 ist schon automatisiert und am Standort; zusätzliche Vertragsschnittstelle im Regelkreis, Abhängigkeit. Make-or-Buy ist schwer revidierbar (S. 60)</w:t>
            </w:r>
          </w:p>
        </w:tc>
      </w:tr>
      <w:tr w:rsidR="00D806ED" w14:paraId="1865D600" w14:textId="77777777">
        <w:trPr>
          <w:cantSplit/>
        </w:trPr>
        <w:tc>
          <w:tcPr>
            <w:tcW w:w="1599" w:type="dxa"/>
          </w:tcPr>
          <w:p w14:paraId="08719732" w14:textId="77777777" w:rsidR="00D806ED" w:rsidRDefault="00000000">
            <w:pPr>
              <w:pStyle w:val="Tabelleninhalt"/>
              <w:keepNext/>
            </w:pPr>
            <w:r>
              <w:t>K1</w:t>
            </w:r>
          </w:p>
        </w:tc>
        <w:tc>
          <w:tcPr>
            <w:tcW w:w="7471" w:type="dxa"/>
          </w:tcPr>
          <w:p w14:paraId="08C2132A" w14:textId="77777777" w:rsidR="00D806ED" w:rsidRDefault="00000000">
            <w:pPr>
              <w:pStyle w:val="Tabelleninhalt"/>
              <w:keepNext/>
            </w:pPr>
            <w:r>
              <w:t>83 Picks pro Person und Tag; keine Investition, flexibel, aber nicht skalierbar</w:t>
            </w:r>
          </w:p>
        </w:tc>
      </w:tr>
      <w:tr w:rsidR="00D806ED" w14:paraId="60FFCDB0" w14:textId="77777777">
        <w:trPr>
          <w:cantSplit/>
        </w:trPr>
        <w:tc>
          <w:tcPr>
            <w:tcW w:w="1599" w:type="dxa"/>
          </w:tcPr>
          <w:p w14:paraId="15CF8A21" w14:textId="77777777" w:rsidR="00D806ED" w:rsidRDefault="00000000">
            <w:pPr>
              <w:pStyle w:val="Tabelleninhalt"/>
              <w:keepNext/>
            </w:pPr>
            <w:r>
              <w:t>K2</w:t>
            </w:r>
          </w:p>
        </w:tc>
        <w:tc>
          <w:tcPr>
            <w:tcW w:w="7471" w:type="dxa"/>
          </w:tcPr>
          <w:p w14:paraId="55F2DC71" w14:textId="77777777" w:rsidR="00D806ED" w:rsidRDefault="00000000">
            <w:pPr>
              <w:pStyle w:val="Tabelleninhalt"/>
              <w:keepNext/>
            </w:pPr>
            <w:r>
              <w:t>500 Picks pro Person und Tag (HWZ, o. J., S. 6); Steuerung im eigenen Regelkreis; hohe, aber budgetierte Investition (S. 5)</w:t>
            </w:r>
          </w:p>
        </w:tc>
      </w:tr>
      <w:tr w:rsidR="00D806ED" w14:paraId="0C15972C" w14:textId="77777777">
        <w:trPr>
          <w:cantSplit/>
        </w:trPr>
        <w:tc>
          <w:tcPr>
            <w:tcW w:w="1599" w:type="dxa"/>
          </w:tcPr>
          <w:p w14:paraId="5082D5B1" w14:textId="77777777" w:rsidR="00D806ED" w:rsidRDefault="00000000">
            <w:pPr>
              <w:pStyle w:val="Tabelleninhalt"/>
              <w:keepNext/>
            </w:pPr>
            <w:r>
              <w:t>K3</w:t>
            </w:r>
          </w:p>
        </w:tc>
        <w:tc>
          <w:tcPr>
            <w:tcW w:w="7471" w:type="dxa"/>
          </w:tcPr>
          <w:p w14:paraId="464CD1B3" w14:textId="77777777" w:rsidR="00D806ED" w:rsidRDefault="00000000">
            <w:pPr>
              <w:pStyle w:val="Tabelleninhalt"/>
              <w:keepNext/>
            </w:pPr>
            <w:r>
              <w:t>gleiche Produktivität, Kapital teils beim Dienstleister; Schnittstelle Lager–Milkrun, Know-how-Verlust (S. 60)</w:t>
            </w:r>
          </w:p>
        </w:tc>
      </w:tr>
    </w:tbl>
    <w:p w14:paraId="33552FFA" w14:textId="77777777" w:rsidR="00D806ED" w:rsidRDefault="00000000">
      <w:pPr>
        <w:pStyle w:val="Quellenangabe"/>
      </w:pPr>
      <w:r>
        <w:t>Quelle: Eigene Darstellung.</w:t>
      </w:r>
    </w:p>
    <w:p w14:paraId="661E5E1D" w14:textId="77777777" w:rsidR="00D806ED" w:rsidRDefault="00000000">
      <w:pPr>
        <w:pStyle w:val="berschrift3"/>
        <w:numPr>
          <w:ilvl w:val="0"/>
          <w:numId w:val="0"/>
        </w:numPr>
      </w:pPr>
      <w:r>
        <w:t>Berechnungen Block 4</w:t>
      </w:r>
    </w:p>
    <w:p w14:paraId="360D65A3" w14:textId="7408FF1E" w:rsidR="00D806ED" w:rsidRDefault="00000000">
      <w:pPr>
        <w:pStyle w:val="Beschriftung"/>
        <w:keepNext/>
      </w:pPr>
      <w:bookmarkStart w:id="131" w:name="_Toc243824233"/>
      <w:r>
        <w:t xml:space="preserve">Tabelle </w:t>
      </w:r>
      <w:fldSimple w:instr=" SEQ Tabelle \* ARABIC ">
        <w:r>
          <w:rPr>
            <w:noProof/>
          </w:rPr>
          <w:t>26</w:t>
        </w:r>
      </w:fldSimple>
      <w:r>
        <w:t>: Berechnungen zu Block 4</w:t>
      </w:r>
      <w:bookmarkEnd w:id="131"/>
    </w:p>
    <w:tbl>
      <w:tblPr>
        <w:tblStyle w:val="Tabellenraster"/>
        <w:tblW w:w="9069" w:type="dxa"/>
        <w:tblInd w:w="113" w:type="dxa"/>
        <w:tblLayout w:type="fixed"/>
        <w:tblLook w:val="0020" w:firstRow="1" w:lastRow="0" w:firstColumn="0" w:lastColumn="0" w:noHBand="0" w:noVBand="0"/>
      </w:tblPr>
      <w:tblGrid>
        <w:gridCol w:w="3507"/>
        <w:gridCol w:w="2961"/>
        <w:gridCol w:w="2601"/>
      </w:tblGrid>
      <w:tr w:rsidR="00D806ED" w14:paraId="70FCFD62" w14:textId="77777777">
        <w:trPr>
          <w:tblHeader/>
        </w:trPr>
        <w:tc>
          <w:tcPr>
            <w:tcW w:w="3507" w:type="dxa"/>
            <w:shd w:val="clear" w:color="auto" w:fill="D9D9D9"/>
          </w:tcPr>
          <w:p w14:paraId="3B00F5A8" w14:textId="77777777" w:rsidR="00D806ED" w:rsidRDefault="00000000">
            <w:pPr>
              <w:pStyle w:val="Tabelleninhalt"/>
              <w:keepNext/>
            </w:pPr>
            <w:r>
              <w:rPr>
                <w:b/>
              </w:rPr>
              <w:t>Grösse</w:t>
            </w:r>
          </w:p>
        </w:tc>
        <w:tc>
          <w:tcPr>
            <w:tcW w:w="2961" w:type="dxa"/>
            <w:shd w:val="clear" w:color="auto" w:fill="D9D9D9"/>
          </w:tcPr>
          <w:p w14:paraId="2EDD06E6" w14:textId="77777777" w:rsidR="00D806ED" w:rsidRDefault="00000000">
            <w:pPr>
              <w:pStyle w:val="Tabelleninhalt"/>
              <w:keepNext/>
            </w:pPr>
            <w:r>
              <w:rPr>
                <w:b/>
              </w:rPr>
              <w:t>Rechnung</w:t>
            </w:r>
          </w:p>
        </w:tc>
        <w:tc>
          <w:tcPr>
            <w:tcW w:w="2601" w:type="dxa"/>
            <w:shd w:val="clear" w:color="auto" w:fill="D9D9D9"/>
          </w:tcPr>
          <w:p w14:paraId="705E695D" w14:textId="77777777" w:rsidR="00D806ED" w:rsidRDefault="00000000">
            <w:pPr>
              <w:pStyle w:val="Tabelleninhalt"/>
              <w:keepNext/>
            </w:pPr>
            <w:r>
              <w:rPr>
                <w:b/>
              </w:rPr>
              <w:t>Ergebnis</w:t>
            </w:r>
          </w:p>
        </w:tc>
      </w:tr>
      <w:tr w:rsidR="00D806ED" w14:paraId="4EE1A4E8" w14:textId="77777777">
        <w:trPr>
          <w:cantSplit/>
        </w:trPr>
        <w:tc>
          <w:tcPr>
            <w:tcW w:w="3507" w:type="dxa"/>
          </w:tcPr>
          <w:p w14:paraId="34918852" w14:textId="77777777" w:rsidR="00D806ED" w:rsidRDefault="00000000">
            <w:pPr>
              <w:pStyle w:val="Tabelleninhalt"/>
              <w:keepNext/>
            </w:pPr>
            <w:r>
              <w:t xml:space="preserve">Kommissionierleistung Ist</w:t>
            </w:r>
          </w:p>
        </w:tc>
        <w:tc>
          <w:tcPr>
            <w:tcW w:w="2961" w:type="dxa"/>
          </w:tcPr>
          <w:p w14:paraId="4E278509" w14:textId="77777777" w:rsidR="00D806ED" w:rsidRDefault="00000000">
            <w:pPr>
              <w:pStyle w:val="Tabelleninhalt"/>
              <w:keepNext/>
            </w:pPr>
            <w:r>
              <w:t>14 Mio. Picks ÷ (600 × 280 AT)</w:t>
            </w:r>
          </w:p>
        </w:tc>
        <w:tc>
          <w:tcPr>
            <w:tcW w:w="2601" w:type="dxa"/>
          </w:tcPr>
          <w:p w14:paraId="5D277C8A" w14:textId="77777777" w:rsidR="00D806ED" w:rsidRDefault="00000000">
            <w:pPr>
              <w:pStyle w:val="Tabelleninhalt"/>
              <w:keepNext/>
            </w:pPr>
            <w:r>
              <w:t>83 Picks/Person/Tag</w:t>
            </w:r>
          </w:p>
        </w:tc>
      </w:tr>
      <w:tr w:rsidR="00D806ED" w14:paraId="76A56D86" w14:textId="77777777">
        <w:trPr>
          <w:cantSplit/>
        </w:trPr>
        <w:tc>
          <w:tcPr>
            <w:tcW w:w="3507" w:type="dxa"/>
          </w:tcPr>
          <w:p w14:paraId="41802BE7" w14:textId="77777777" w:rsidR="00D806ED" w:rsidRDefault="00000000">
            <w:pPr>
              <w:pStyle w:val="Tabelleninhalt"/>
              <w:keepNext/>
            </w:pPr>
            <w:r>
              <w:t>Reichweite Lager 2 Ist</w:t>
            </w:r>
          </w:p>
        </w:tc>
        <w:tc>
          <w:tcPr>
            <w:tcW w:w="2961" w:type="dxa"/>
          </w:tcPr>
          <w:p w14:paraId="6D210BAA" w14:textId="77777777" w:rsidR="00D806ED" w:rsidRDefault="00000000">
            <w:pPr>
              <w:pStyle w:val="Tabelleninhalt"/>
              <w:keepNext/>
            </w:pPr>
            <w:r>
              <w:t>2–4 Wochen × 280/52 (Annahme A1)</w:t>
            </w:r>
          </w:p>
        </w:tc>
        <w:tc>
          <w:tcPr>
            <w:tcW w:w="2601" w:type="dxa"/>
          </w:tcPr>
          <w:p w14:paraId="27C9754A" w14:textId="77777777" w:rsidR="00D806ED" w:rsidRDefault="00000000">
            <w:pPr>
              <w:pStyle w:val="Tabelleninhalt"/>
              <w:keepNext/>
            </w:pPr>
            <w:r>
              <w:t>10,8–21,5 AT</w:t>
            </w:r>
          </w:p>
        </w:tc>
      </w:tr>
      <w:tr w:rsidR="00D806ED" w14:paraId="63254D00" w14:textId="77777777">
        <w:trPr>
          <w:cantSplit/>
        </w:trPr>
        <w:tc>
          <w:tcPr>
            <w:tcW w:w="3507" w:type="dxa"/>
          </w:tcPr>
          <w:p w14:paraId="43679F1F" w14:textId="77777777" w:rsidR="00D806ED" w:rsidRDefault="00000000">
            <w:pPr>
              <w:pStyle w:val="Tabelleninhalt"/>
              <w:keepNext/>
            </w:pPr>
            <w:r>
              <w:t>Umschlag Lager 2 Ist / Soll / Supermarkt</w:t>
            </w:r>
          </w:p>
        </w:tc>
        <w:tc>
          <w:tcPr>
            <w:tcW w:w="2961" w:type="dxa"/>
          </w:tcPr>
          <w:p w14:paraId="79504266" w14:textId="77777777" w:rsidR="00D806ED" w:rsidRDefault="00000000">
            <w:pPr>
              <w:pStyle w:val="Tabelleninhalt"/>
              <w:keepNext/>
            </w:pPr>
            <w:r>
              <w:t>280 ÷ Reichweite</w:t>
            </w:r>
          </w:p>
        </w:tc>
        <w:tc>
          <w:tcPr>
            <w:tcW w:w="2601" w:type="dxa"/>
          </w:tcPr>
          <w:p w14:paraId="1710309A" w14:textId="77777777" w:rsidR="00D806ED" w:rsidRDefault="00000000">
            <w:pPr>
              <w:pStyle w:val="Tabelleninhalt"/>
              <w:keepNext/>
            </w:pPr>
            <w:r>
              <w:t>13–26 / 93 / 280 pro Jahr</w:t>
            </w:r>
          </w:p>
        </w:tc>
      </w:tr>
      <w:tr w:rsidR="00D806ED" w14:paraId="43754C24" w14:textId="77777777">
        <w:trPr>
          <w:cantSplit/>
        </w:trPr>
        <w:tc>
          <w:tcPr>
            <w:tcW w:w="3507" w:type="dxa"/>
          </w:tcPr>
          <w:p w14:paraId="2907D6A9" w14:textId="77777777" w:rsidR="00D806ED" w:rsidRDefault="00000000">
            <w:pPr>
              <w:pStyle w:val="Tabelleninhalt"/>
              <w:keepNext/>
            </w:pPr>
            <w:r>
              <w:t>Bestandssenkung Lager 2 auf 3 AT</w:t>
            </w:r>
          </w:p>
        </w:tc>
        <w:tc>
          <w:tcPr>
            <w:tcW w:w="2961" w:type="dxa"/>
          </w:tcPr>
          <w:p w14:paraId="2CC2ED2F" w14:textId="77777777" w:rsidR="00D806ED" w:rsidRDefault="00000000">
            <w:pPr>
              <w:pStyle w:val="Tabelleninhalt"/>
              <w:keepNext/>
            </w:pPr>
            <w:r>
              <w:t>1 − 3 ÷ (10,8 bzw. 21,5)</w:t>
            </w:r>
          </w:p>
        </w:tc>
        <w:tc>
          <w:tcPr>
            <w:tcW w:w="2601" w:type="dxa"/>
          </w:tcPr>
          <w:p w14:paraId="4D11EB1B" w14:textId="77777777" w:rsidR="00D806ED" w:rsidRDefault="00000000">
            <w:pPr>
              <w:pStyle w:val="Tabelleninhalt"/>
              <w:keepNext/>
            </w:pPr>
            <w:r>
              <w:t>−72 bis −86 %</w:t>
            </w:r>
          </w:p>
        </w:tc>
      </w:tr>
      <w:tr w:rsidR="00D806ED" w14:paraId="7044451E" w14:textId="77777777">
        <w:trPr>
          <w:cantSplit/>
        </w:trPr>
        <w:tc>
          <w:tcPr>
            <w:tcW w:w="3507" w:type="dxa"/>
          </w:tcPr>
          <w:p w14:paraId="05F6D90C" w14:textId="77777777" w:rsidR="00D806ED" w:rsidRDefault="00000000">
            <w:pPr>
              <w:pStyle w:val="Tabelleninhalt"/>
              <w:keepNext/>
            </w:pPr>
            <w:r>
              <w:t>Material-DLZ ab Lager 1</w:t>
            </w:r>
          </w:p>
        </w:tc>
        <w:tc>
          <w:tcPr>
            <w:tcW w:w="2961" w:type="dxa"/>
          </w:tcPr>
          <w:p w14:paraId="69F15E46" w14:textId="77777777" w:rsidR="00D806ED" w:rsidRDefault="00000000">
            <w:pPr>
              <w:pStyle w:val="Tabelleninhalt"/>
              <w:keepNext/>
            </w:pPr>
            <w:r>
              <w:t>2 AT + 10,8–21,5 AT → ≤ 1 AT (Annahme A12)</w:t>
            </w:r>
          </w:p>
        </w:tc>
        <w:tc>
          <w:tcPr>
            <w:tcW w:w="2601" w:type="dxa"/>
          </w:tcPr>
          <w:p w14:paraId="6BBA971E" w14:textId="77777777" w:rsidR="00D806ED" w:rsidRDefault="00000000">
            <w:pPr>
              <w:pStyle w:val="Tabelleninhalt"/>
              <w:keepNext/>
            </w:pPr>
            <w:r>
              <w:t>12,8–23,5 AT → −92 bis −96 %</w:t>
            </w:r>
          </w:p>
        </w:tc>
      </w:tr>
      <w:tr w:rsidR="00D806ED" w14:paraId="3A497EB3" w14:textId="77777777">
        <w:trPr>
          <w:cantSplit/>
        </w:trPr>
        <w:tc>
          <w:tcPr>
            <w:tcW w:w="3507" w:type="dxa"/>
          </w:tcPr>
          <w:p w14:paraId="061C8D68" w14:textId="77777777" w:rsidR="00D806ED" w:rsidRDefault="00000000">
            <w:pPr>
              <w:pStyle w:val="Tabelleninhalt"/>
              <w:keepNext/>
            </w:pPr>
            <w:r>
              <w:rPr>
                <w:shd w:val="clear" w:color="auto" w:fill="DDEBF7"/>
              </w:rPr>
              <w:t xml:space="preserve">Gesamtumschlag Ist / Soll</w:t>
            </w:r>
          </w:p>
        </w:tc>
        <w:tc>
          <w:tcPr>
            <w:tcW w:w="2961" w:type="dxa"/>
          </w:tcPr>
          <w:p w14:paraId="10698BDA" w14:textId="77777777" w:rsidR="00D806ED" w:rsidRDefault="00000000">
            <w:pPr>
              <w:pStyle w:val="Tabelleninhalt"/>
              <w:keepNext/>
            </w:pPr>
            <w:r>
              <w:rPr>
                <w:shd w:val="clear" w:color="auto" w:fill="DDEBF7"/>
              </w:rPr>
              <w:t xml:space="preserve">3,53 × (0,4 bzw. 0,5); Soll: Ist ÷ (1 − 0,30 bzw. 0,41) (Annahme A21)</w:t>
            </w:r>
          </w:p>
        </w:tc>
        <w:tc>
          <w:tcPr>
            <w:tcW w:w="2601" w:type="dxa"/>
          </w:tcPr>
          <w:p w14:paraId="3C26DF18" w14:textId="77777777" w:rsidR="00D806ED" w:rsidRDefault="00000000">
            <w:pPr>
              <w:pStyle w:val="Tabelleninhalt"/>
              <w:keepNext/>
            </w:pPr>
            <w:r>
              <w:rPr>
                <w:shd w:val="clear" w:color="auto" w:fill="DDEBF7"/>
              </w:rPr>
              <w:t xml:space="preserve">1,4–1,8 → 2,0–3,0 pro Jahr</w:t>
            </w:r>
          </w:p>
        </w:tc>
      </w:tr>
      <w:tr w:rsidR="00D806ED" w14:paraId="4EE1A4E8" w14:textId="77777777">
        <w:trPr>
          <w:cantSplit/>
        </w:trPr>
        <w:tc>
          <w:tcPr>
            <w:tcW w:w="3507" w:type="dxa"/>
          </w:tcPr>
          <w:p w14:paraId="34918852" w14:textId="77777777" w:rsidR="00D806ED" w:rsidRDefault="00000000">
            <w:pPr>
              <w:pStyle w:val="Tabelleninhalt"/>
              <w:keepNext/>
            </w:pPr>
            <w:r>
              <w:rPr>
                <w:shd w:val="clear" w:color="auto" w:fill="DDEBF7"/>
              </w:rPr>
              <w:t xml:space="preserve">Personal Kommissionierung Soll</w:t>
            </w:r>
          </w:p>
        </w:tc>
        <w:tc>
          <w:tcPr>
            <w:tcW w:w="2961" w:type="dxa"/>
          </w:tcPr>
          <w:p w14:paraId="4E278509" w14:textId="77777777" w:rsidR="00D806ED" w:rsidRDefault="00000000">
            <w:pPr>
              <w:pStyle w:val="Tabelleninhalt"/>
              <w:keepNext/>
            </w:pPr>
            <w:r>
              <w:rPr>
                <w:shd w:val="clear" w:color="auto" w:fill="DDEBF7"/>
              </w:rPr>
              <w:t xml:space="preserve">1,9 Mio. Picks ÷ 140 000; 12,1 Mio. ÷ (5 bzw. 1) ÷ 140 000 (Annahmen A4, A27)</w:t>
            </w:r>
          </w:p>
        </w:tc>
        <w:tc>
          <w:tcPr>
            <w:tcW w:w="2601" w:type="dxa"/>
          </w:tcPr>
          <w:p w14:paraId="5D277C8A" w14:textId="77777777" w:rsidR="00D806ED" w:rsidRDefault="00000000">
            <w:pPr>
              <w:pStyle w:val="Tabelleninhalt"/>
              <w:keepNext/>
            </w:pPr>
            <w:r>
              <w:rPr>
                <w:shd w:val="clear" w:color="auto" w:fill="DDEBF7"/>
              </w:rPr>
              <w:t xml:space="preserve">14 + 17–86 = 31–100 Personen</w:t>
            </w:r>
          </w:p>
        </w:tc>
      </w:tr>
    </w:tbl>
    <w:p w14:paraId="308E70D8" w14:textId="77777777" w:rsidR="00D806ED" w:rsidRDefault="00000000">
      <w:pPr>
        <w:pStyle w:val="Quellenangabe"/>
      </w:pPr>
      <w:r>
        <w:t xml:space="preserve">Quelle: Eigene Berechnung; Daten aus HWZ (o. J., S. 3–6) und analyse/kennzahlen.csv.</w:t>
      </w:r>
    </w:p>
    <w:p w14:paraId="638BE3CF" w14:textId="77777777" w:rsidR="00D806ED" w:rsidRDefault="00000000">
      <w:pPr>
        <w:pStyle w:val="berschrift3"/>
        <w:numPr>
          <w:ilvl w:val="0"/>
          <w:numId w:val="0"/>
        </w:numPr>
      </w:pPr>
      <w:r>
        <w:t>Risiken des Gesamtkonzepts</w:t>
      </w:r>
    </w:p>
    <w:p w14:paraId="08AF7822" w14:textId="4F1DDA52" w:rsidR="00D806ED" w:rsidRDefault="00000000">
      <w:pPr>
        <w:pStyle w:val="Beschriftung"/>
        <w:keepNext/>
      </w:pPr>
      <w:bookmarkStart w:id="132" w:name="_Toc243824234"/>
      <w:r>
        <w:t xml:space="preserve">Tabelle </w:t>
      </w:r>
      <w:fldSimple w:instr=" SEQ Tabelle \* ARABIC ">
        <w:r>
          <w:rPr>
            <w:noProof/>
          </w:rPr>
          <w:t>27</w:t>
        </w:r>
      </w:fldSimple>
      <w:r>
        <w:t>: Risiken und Gegenmassnahmen</w:t>
      </w:r>
      <w:bookmarkEnd w:id="132"/>
    </w:p>
    <w:tbl>
      <w:tblPr>
        <w:tblStyle w:val="Tabellenraster"/>
        <w:tblW w:w="9069" w:type="dxa"/>
        <w:tblInd w:w="113" w:type="dxa"/>
        <w:tblLayout w:type="fixed"/>
        <w:tblLook w:val="0020" w:firstRow="1" w:lastRow="0" w:firstColumn="0" w:lastColumn="0" w:noHBand="0" w:noVBand="0"/>
      </w:tblPr>
      <w:tblGrid>
        <w:gridCol w:w="2974"/>
        <w:gridCol w:w="2883"/>
        <w:gridCol w:w="3212"/>
      </w:tblGrid>
      <w:tr w:rsidR="00D806ED" w14:paraId="41365BD5" w14:textId="77777777">
        <w:trPr>
          <w:tblHeader/>
        </w:trPr>
        <w:tc>
          <w:tcPr>
            <w:tcW w:w="2974" w:type="dxa"/>
            <w:shd w:val="clear" w:color="auto" w:fill="D9D9D9"/>
          </w:tcPr>
          <w:p w14:paraId="4EA07476" w14:textId="77777777" w:rsidR="00D806ED" w:rsidRDefault="00000000">
            <w:pPr>
              <w:pStyle w:val="Tabelleninhalt"/>
              <w:keepNext/>
            </w:pPr>
            <w:r>
              <w:rPr>
                <w:b/>
              </w:rPr>
              <w:t>Risiko</w:t>
            </w:r>
          </w:p>
        </w:tc>
        <w:tc>
          <w:tcPr>
            <w:tcW w:w="2883" w:type="dxa"/>
            <w:shd w:val="clear" w:color="auto" w:fill="D9D9D9"/>
          </w:tcPr>
          <w:p w14:paraId="7CA0B0F9" w14:textId="77777777" w:rsidR="00D806ED" w:rsidRDefault="00000000">
            <w:pPr>
              <w:pStyle w:val="Tabelleninhalt"/>
              <w:keepNext/>
            </w:pPr>
            <w:r>
              <w:rPr>
                <w:b/>
              </w:rPr>
              <w:t>Wirkung</w:t>
            </w:r>
          </w:p>
        </w:tc>
        <w:tc>
          <w:tcPr>
            <w:tcW w:w="3212" w:type="dxa"/>
            <w:shd w:val="clear" w:color="auto" w:fill="D9D9D9"/>
          </w:tcPr>
          <w:p w14:paraId="3BB2460E" w14:textId="77777777" w:rsidR="00D806ED" w:rsidRDefault="00000000">
            <w:pPr>
              <w:pStyle w:val="Tabelleninhalt"/>
              <w:keepNext/>
            </w:pPr>
            <w:r>
              <w:rPr>
                <w:b/>
              </w:rPr>
              <w:t>Gegenmassnahme</w:t>
            </w:r>
          </w:p>
        </w:tc>
      </w:tr>
      <w:tr w:rsidR="00D806ED" w14:paraId="481F9618" w14:textId="77777777">
        <w:trPr>
          <w:cantSplit/>
        </w:trPr>
        <w:tc>
          <w:tcPr>
            <w:tcW w:w="2974" w:type="dxa"/>
          </w:tcPr>
          <w:p w14:paraId="5D6DBE90" w14:textId="77777777" w:rsidR="00D806ED" w:rsidRDefault="00000000">
            <w:pPr>
              <w:pStyle w:val="Tabelleninhalt"/>
              <w:keepNext/>
            </w:pPr>
            <w:r>
              <w:t>Importroute über Pakistan gesperrt (DGFT, 2025)</w:t>
            </w:r>
          </w:p>
        </w:tc>
        <w:tc>
          <w:tcPr>
            <w:tcW w:w="2883" w:type="dxa"/>
          </w:tcPr>
          <w:p w14:paraId="56347F64" w14:textId="77777777" w:rsidR="00D806ED" w:rsidRDefault="00000000">
            <w:pPr>
              <w:pStyle w:val="Tabelleninhalt"/>
              <w:keepNext/>
            </w:pPr>
            <w:r>
              <w:t>Lager 4 fällt aus</w:t>
            </w:r>
          </w:p>
        </w:tc>
        <w:tc>
          <w:tcPr>
            <w:tcW w:w="3212" w:type="dxa"/>
          </w:tcPr>
          <w:p w14:paraId="3707FA71" w14:textId="77777777" w:rsidR="00D806ED" w:rsidRDefault="00000000">
            <w:pPr>
              <w:pStyle w:val="Tabelleninhalt"/>
              <w:keepNext/>
            </w:pPr>
            <w:r>
              <w:t xml:space="preserve">Bonded Hub Westhafen bzw. Zollverschluss im Werk</w:t>
            </w:r>
          </w:p>
        </w:tc>
      </w:tr>
      <w:tr w:rsidR="00D806ED" w14:paraId="3FC08718" w14:textId="77777777">
        <w:trPr>
          <w:cantSplit/>
        </w:trPr>
        <w:tc>
          <w:tcPr>
            <w:tcW w:w="2974" w:type="dxa"/>
          </w:tcPr>
          <w:p w14:paraId="7ECDF6C6" w14:textId="77777777" w:rsidR="00D806ED" w:rsidRDefault="00000000">
            <w:pPr>
              <w:pStyle w:val="Tabelleninhalt"/>
              <w:keepNext/>
            </w:pPr>
            <w:r>
              <w:t>Kleine Kanban-Puffer (Hutzler &amp; Fuchs, 2021, S. 48)</w:t>
            </w:r>
          </w:p>
        </w:tc>
        <w:tc>
          <w:tcPr>
            <w:tcW w:w="2883" w:type="dxa"/>
          </w:tcPr>
          <w:p w14:paraId="3E8104E3" w14:textId="77777777" w:rsidR="00D806ED" w:rsidRDefault="00000000">
            <w:pPr>
              <w:pStyle w:val="Tabelleninhalt"/>
              <w:keepNext/>
            </w:pPr>
            <w:r>
              <w:t>Stillstand an Inseln oder Linie</w:t>
            </w:r>
          </w:p>
        </w:tc>
        <w:tc>
          <w:tcPr>
            <w:tcW w:w="3212" w:type="dxa"/>
          </w:tcPr>
          <w:p w14:paraId="76A55526" w14:textId="77777777" w:rsidR="00D806ED" w:rsidRDefault="00000000">
            <w:pPr>
              <w:pStyle w:val="Tabelleninhalt"/>
              <w:keepNext/>
            </w:pPr>
            <w:r>
              <w:t>Lager 2 erst nach stabiler Lieferbereitschaft (≥ 98 %) abbauen; Sicherheitsbestand für Z- und Übersee-C-Teile</w:t>
            </w:r>
          </w:p>
        </w:tc>
      </w:tr>
      <w:tr w:rsidR="00D806ED" w14:paraId="1B0C5DAA" w14:textId="77777777">
        <w:trPr>
          <w:cantSplit/>
        </w:trPr>
        <w:tc>
          <w:tcPr>
            <w:tcW w:w="2974" w:type="dxa"/>
          </w:tcPr>
          <w:p w14:paraId="580B79F6" w14:textId="77777777" w:rsidR="00D806ED" w:rsidRDefault="00000000">
            <w:pPr>
              <w:pStyle w:val="Tabelleninhalt"/>
              <w:keepNext/>
            </w:pPr>
            <w:r>
              <w:t>Abhängigkeit von JIT- und Systemlieferanten (S. 36, 38)</w:t>
            </w:r>
          </w:p>
        </w:tc>
        <w:tc>
          <w:tcPr>
            <w:tcW w:w="2883" w:type="dxa"/>
          </w:tcPr>
          <w:p w14:paraId="4B52AED4" w14:textId="77777777" w:rsidR="00D806ED" w:rsidRDefault="00000000">
            <w:pPr>
              <w:pStyle w:val="Tabelleninhalt"/>
              <w:keepNext/>
            </w:pPr>
            <w:r>
              <w:t>Versorgungsausfall</w:t>
            </w:r>
          </w:p>
        </w:tc>
        <w:tc>
          <w:tcPr>
            <w:tcW w:w="3212" w:type="dxa"/>
          </w:tcPr>
          <w:p w14:paraId="3E09DA66" w14:textId="77777777" w:rsidR="00D806ED" w:rsidRDefault="00000000">
            <w:pPr>
              <w:pStyle w:val="Tabelleninhalt"/>
              <w:keepNext/>
            </w:pPr>
            <w:r>
              <w:t>Dual Sourcing für kritische A-Teile (S. 65); Lieferantenbewertung (S. 40)</w:t>
            </w:r>
          </w:p>
        </w:tc>
      </w:tr>
      <w:tr w:rsidR="00D806ED" w14:paraId="3A302ED4" w14:textId="77777777">
        <w:trPr>
          <w:cantSplit/>
        </w:trPr>
        <w:tc>
          <w:tcPr>
            <w:tcW w:w="2974" w:type="dxa"/>
          </w:tcPr>
          <w:p w14:paraId="4471F7BB" w14:textId="77777777" w:rsidR="00D806ED" w:rsidRDefault="00000000">
            <w:pPr>
              <w:pStyle w:val="Tabelleninhalt"/>
              <w:keepNext/>
            </w:pPr>
            <w:r>
              <w:t>Bewilligung des Zollverschlusses verzögert sich</w:t>
            </w:r>
          </w:p>
        </w:tc>
        <w:tc>
          <w:tcPr>
            <w:tcW w:w="2883" w:type="dxa"/>
          </w:tcPr>
          <w:p w14:paraId="6339AAE1" w14:textId="77777777" w:rsidR="00D806ED" w:rsidRDefault="00000000">
            <w:pPr>
              <w:pStyle w:val="Tabelleninhalt"/>
              <w:keepNext/>
            </w:pPr>
            <w:r>
              <w:t>V3 später</w:t>
            </w:r>
          </w:p>
        </w:tc>
        <w:tc>
          <w:tcPr>
            <w:tcW w:w="3212" w:type="dxa"/>
          </w:tcPr>
          <w:p w14:paraId="365D73CC" w14:textId="77777777" w:rsidR="00D806ED" w:rsidRDefault="00000000">
            <w:pPr>
              <w:pStyle w:val="Tabelleninhalt"/>
              <w:keepNext/>
            </w:pPr>
            <w:r>
              <w:t>V2 als Übergang (Annahme A17)</w:t>
            </w:r>
          </w:p>
        </w:tc>
      </w:tr>
      <w:tr w:rsidR="00D806ED" w14:paraId="397F66CA" w14:textId="77777777">
        <w:trPr>
          <w:cantSplit/>
        </w:trPr>
        <w:tc>
          <w:tcPr>
            <w:tcW w:w="2974" w:type="dxa"/>
          </w:tcPr>
          <w:p w14:paraId="65814D0F" w14:textId="77777777" w:rsidR="00D806ED" w:rsidRDefault="00000000">
            <w:pPr>
              <w:pStyle w:val="Tabelleninhalt"/>
              <w:keepNext/>
            </w:pPr>
            <w:r>
              <w:t>Automatisierung läuft schlecht an</w:t>
            </w:r>
          </w:p>
        </w:tc>
        <w:tc>
          <w:tcPr>
            <w:tcW w:w="2883" w:type="dxa"/>
          </w:tcPr>
          <w:p w14:paraId="2C7634AF" w14:textId="77777777" w:rsidR="00D806ED" w:rsidRDefault="00000000">
            <w:pPr>
              <w:pStyle w:val="Tabelleninhalt"/>
              <w:keepNext/>
            </w:pPr>
            <w:r>
              <w:t xml:space="preserve">Kommissionierleistung bricht ein</w:t>
            </w:r>
          </w:p>
        </w:tc>
        <w:tc>
          <w:tcPr>
            <w:tcW w:w="3212" w:type="dxa"/>
          </w:tcPr>
          <w:p w14:paraId="4DCFD732" w14:textId="77777777" w:rsidR="00D806ED" w:rsidRDefault="00000000">
            <w:pPr>
              <w:pStyle w:val="Tabelleninhalt"/>
              <w:keepNext/>
            </w:pPr>
            <w:r>
              <w:t>modularer Ausbau, Parallelbetrieb bis zur Abnahme</w:t>
            </w:r>
          </w:p>
        </w:tc>
      </w:tr>
      <w:tr w:rsidR="00D806ED" w14:paraId="18DD785F" w14:textId="77777777">
        <w:trPr>
          <w:cantSplit/>
        </w:trPr>
        <w:tc>
          <w:tcPr>
            <w:tcW w:w="2974" w:type="dxa"/>
          </w:tcPr>
          <w:p w14:paraId="6797341D" w14:textId="77777777" w:rsidR="00D806ED" w:rsidRDefault="00000000">
            <w:pPr>
              <w:pStyle w:val="Tabelleninhalt"/>
              <w:keepNext/>
            </w:pPr>
            <w:r>
              <w:rPr>
                <w:shd w:val="clear" w:color="auto" w:fill="DDEBF7"/>
              </w:rPr>
              <w:t xml:space="preserve">Abbau von rund 500 Stellen</w:t>
            </w:r>
          </w:p>
        </w:tc>
        <w:tc>
          <w:tcPr>
            <w:tcW w:w="2883" w:type="dxa"/>
          </w:tcPr>
          <w:p w14:paraId="2EB7297B" w14:textId="77777777" w:rsidR="00D806ED" w:rsidRDefault="00000000">
            <w:pPr>
              <w:pStyle w:val="Tabelleninhalt"/>
              <w:keepNext/>
            </w:pPr>
            <w:r>
              <w:rPr/>
              <w:t xml:space="preserve">Widerstand, Know-how-Verlust</w:t>
            </w:r>
            <w:r>
              <w:rPr>
                <w:shd w:val="clear" w:color="auto" w:fill="DDEBF7"/>
              </w:rPr>
              <w:t xml:space="preserve">, Bewilligungspflicht (Industrial Relations Code, 2020, Sec. 77)</w:t>
            </w:r>
          </w:p>
        </w:tc>
        <w:tc>
          <w:tcPr>
            <w:tcW w:w="3212" w:type="dxa"/>
          </w:tcPr>
          <w:p w14:paraId="43BF3192" w14:textId="77777777" w:rsidR="00D806ED" w:rsidRDefault="00000000">
            <w:pPr>
              <w:pStyle w:val="Tabelleninhalt"/>
              <w:keepNext/>
            </w:pPr>
            <w:r>
              <w:t xml:space="preserve">Umschulung für Inseln, Milkrun, Instandhaltung; </w:t>
            </w:r>
            <w:r>
              <w:rPr/>
              <w:t xml:space="preserve">Fluktuation nutzen</w:t>
            </w:r>
            <w:r>
              <w:rPr>
                <w:shd w:val="clear" w:color="auto" w:fill="DDEBF7"/>
              </w:rPr>
              <w:t xml:space="preserve">; Gesuch in Phase 1 einreichen</w:t>
            </w:r>
          </w:p>
        </w:tc>
      </w:tr>
      <w:tr w:rsidR="00D806ED" w14:paraId="376D9F02" w14:textId="77777777">
        <w:trPr>
          <w:cantSplit/>
        </w:trPr>
        <w:tc>
          <w:tcPr>
            <w:tcW w:w="2974" w:type="dxa"/>
          </w:tcPr>
          <w:p w14:paraId="035F8F2F" w14:textId="77777777" w:rsidR="00D806ED" w:rsidRDefault="00000000">
            <w:pPr>
              <w:pStyle w:val="Tabelleninhalt"/>
              <w:keepNext/>
            </w:pPr>
            <w:r>
              <w:t>Datenbasis ohne Zeitreihen, Modellrechnungen</w:t>
            </w:r>
          </w:p>
        </w:tc>
        <w:tc>
          <w:tcPr>
            <w:tcW w:w="2883" w:type="dxa"/>
          </w:tcPr>
          <w:p w14:paraId="0404BA2C" w14:textId="77777777" w:rsidR="00D806ED" w:rsidRDefault="00000000">
            <w:pPr>
              <w:pStyle w:val="Tabelleninhalt"/>
              <w:keepNext/>
            </w:pPr>
            <w:r>
              <w:t>Potenziale falsch eingeschätzt</w:t>
            </w:r>
          </w:p>
        </w:tc>
        <w:tc>
          <w:tcPr>
            <w:tcW w:w="3212" w:type="dxa"/>
          </w:tcPr>
          <w:p w14:paraId="4466D106" w14:textId="77777777" w:rsidR="00D806ED" w:rsidRDefault="00000000">
            <w:pPr>
              <w:pStyle w:val="Tabelleninhalt"/>
              <w:keepNext/>
            </w:pPr>
            <w:r>
              <w:t>Baseline in Phase 1; Zielwerte nach 6 Monaten überprüfen</w:t>
            </w:r>
          </w:p>
        </w:tc>
      </w:tr>
      <w:tr w:rsidR="00D806ED" w14:paraId="451E40DA" w14:textId="77777777">
        <w:trPr>
          <w:cantSplit/>
        </w:trPr>
        <w:tc>
          <w:tcPr>
            <w:tcW w:w="2974" w:type="dxa"/>
          </w:tcPr>
          <w:p w14:paraId="0379E2AD" w14:textId="77777777" w:rsidR="00D806ED" w:rsidRDefault="00000000">
            <w:pPr>
              <w:pStyle w:val="Tabelleninhalt"/>
              <w:keepNext/>
            </w:pPr>
            <w:r>
              <w:t xml:space="preserve">Fehlendes Management Commitment (S. 66)</w:t>
            </w:r>
          </w:p>
        </w:tc>
        <w:tc>
          <w:tcPr>
            <w:tcW w:w="2883" w:type="dxa"/>
          </w:tcPr>
          <w:p w14:paraId="75F9BD3E" w14:textId="77777777" w:rsidR="00D806ED" w:rsidRDefault="00000000">
            <w:pPr>
              <w:pStyle w:val="Tabelleninhalt"/>
              <w:keepNext/>
            </w:pPr>
            <w:r>
              <w:t>Umstellung bleibt Papier</w:t>
            </w:r>
          </w:p>
        </w:tc>
        <w:tc>
          <w:tcPr>
            <w:tcW w:w="3212" w:type="dxa"/>
          </w:tcPr>
          <w:p w14:paraId="08DDEEC9" w14:textId="77777777" w:rsidR="00D806ED" w:rsidRDefault="00000000">
            <w:pPr>
              <w:pStyle w:val="Tabelleninhalt"/>
              <w:keepNext/>
            </w:pPr>
            <w:r>
              <w:t>schnell messbare Erfolge in Phase 1</w:t>
            </w:r>
          </w:p>
        </w:tc>
      </w:tr>
    </w:tbl>
    <w:p w14:paraId="34AACF00" w14:textId="77777777" w:rsidR="00D806ED" w:rsidRDefault="00000000">
      <w:pPr>
        <w:pStyle w:val="Quellenangabe"/>
      </w:pPr>
      <w:r>
        <w:t>Quelle: Eigene Darstellung.</w:t>
        <w:br w:type="page"/>
      </w:r>
    </w:p>
    <w:p w14:paraId="19A8F757" w14:textId="77777777" w:rsidR="00D806ED" w:rsidRDefault="00000000">
      <w:pPr>
        <w:pStyle w:val="berschrift2"/>
        <w:numPr>
          <w:ilvl w:val="0"/>
          <w:numId w:val="0"/>
        </w:numPr>
      </w:pPr>
      <w:r>
        <w:rPr>
          <w:shd w:val="clear" w:color="auto" w:fill="DDEBF7"/>
        </w:rPr>
        <w:t xml:space="preserve">Anhang H: Annahmenverzeichnis</w:t>
      </w:r>
    </w:p>
    <w:p>
      <w:pPr>
        <w:pStyle w:val="Textkrper"/>
      </w:pPr>
      <w:r>
        <w:rPr>
          <w:shd w:val="clear" w:color="auto" w:fill="DDEBF7"/>
        </w:rPr>
        <w:t xml:space="preserve">Das Verzeichnis enthält alle Annahmen, auf die der Text verweist. Jede Annahme ist eine bewusste Setzung, wo die Fallstudie oder die Daten keine Zahl liefern; sie ist in Phase 1 der Roadmap mit Ist-Daten oder Offerten zu überprüfen.</w:t>
      </w:r>
    </w:p>
    <w:p w14:paraId="08AF7822" w14:textId="4F1DDA52" w:rsidR="00D806ED" w:rsidRDefault="00000000">
      <w:pPr>
        <w:pStyle w:val="Beschriftung"/>
        <w:keepNext/>
      </w:pPr>
      <w:r>
        <w:rPr>
          <w:shd w:val="clear" w:color="auto" w:fill="DDEBF7"/>
        </w:rPr>
        <w:t xml:space="preserve">Tabelle 28: Annahmenverzeichnis</w:t>
      </w:r>
    </w:p>
    <w:tbl>
      <w:tblPr>
        <w:tblStyle w:val="Tabellenraster"/>
        <w:tblW w:w="9069" w:type="dxa"/>
        <w:tblInd w:w="113" w:type="dxa"/>
        <w:tblLayout w:type="fixed"/>
        <w:tblLook w:val="0020" w:firstRow="1" w:lastRow="0" w:firstColumn="0" w:lastColumn="0" w:noHBand="0" w:noVBand="0"/>
      </w:tblPr>
      <w:tblGrid>
        <w:gridCol w:w="2974"/>
        <w:gridCol w:w="2883"/>
        <w:gridCol w:w="3212"/>
      </w:tblGrid>
      <w:tr w:rsidR="00D806ED" w14:paraId="41365BD5" w14:textId="77777777">
        <w:trPr>
          <w:tblHeader/>
        </w:trPr>
        <w:tc>
          <w:tcPr>
            <w:tcW w:w="2974" w:type="dxa"/>
            <w:shd w:val="clear" w:color="auto" w:fill="D9D9D9"/>
          </w:tcPr>
          <w:p w14:paraId="4EA07476" w14:textId="77777777" w:rsidR="00D806ED" w:rsidRDefault="00000000">
            <w:pPr>
              <w:pStyle w:val="Tabelleninhalt"/>
            </w:pPr>
            <w:r>
              <w:rPr>
                <w:b/>
                <w:shd w:val="clear" w:color="auto" w:fill="DDEBF7"/>
              </w:rPr>
              <w:t xml:space="preserve">Nr.</w:t>
            </w:r>
          </w:p>
        </w:tc>
        <w:tc>
          <w:tcPr>
            <w:tcW w:w="2883" w:type="dxa"/>
            <w:shd w:val="clear" w:color="auto" w:fill="D9D9D9"/>
          </w:tcPr>
          <w:p w14:paraId="7CA0B0F9" w14:textId="77777777" w:rsidR="00D806ED" w:rsidRDefault="00000000">
            <w:pPr>
              <w:pStyle w:val="Tabelleninhalt"/>
            </w:pPr>
            <w:r>
              <w:rPr>
                <w:b/>
                <w:shd w:val="clear" w:color="auto" w:fill="DDEBF7"/>
              </w:rPr>
              <w:t xml:space="preserve">Annahme</w:t>
            </w:r>
          </w:p>
        </w:tc>
        <w:tc>
          <w:tcPr>
            <w:tcW w:w="3212" w:type="dxa"/>
            <w:shd w:val="clear" w:color="auto" w:fill="D9D9D9"/>
          </w:tcPr>
          <w:p w14:paraId="3BB2460E" w14:textId="77777777" w:rsidR="00D806ED" w:rsidRDefault="00000000">
            <w:pPr>
              <w:pStyle w:val="Tabelleninhalt"/>
            </w:pPr>
            <w:r>
              <w:rPr>
                <w:b/>
                <w:shd w:val="clear" w:color="auto" w:fill="DDEBF7"/>
              </w:rPr>
              <w:t xml:space="preserve">Begründung, Quelle, Verwendung</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A1</w:t>
            </w:r>
          </w:p>
        </w:tc>
        <w:tc>
          <w:tcPr>
            <w:tcW w:w="2883" w:type="dxa"/>
          </w:tcPr>
          <w:p w14:paraId="56347F64" w14:textId="77777777" w:rsidR="00D806ED" w:rsidRDefault="00000000">
            <w:pPr>
              <w:pStyle w:val="Tabelleninhalt"/>
            </w:pPr>
            <w:r>
              <w:rPr>
                <w:shd w:val="clear" w:color="auto" w:fill="DDEBF7"/>
              </w:rPr>
              <w:t xml:space="preserve">Lager 2 hält 2–4 Produktionswochen Bestand (10,8–21,5 AT).</w:t>
            </w:r>
          </w:p>
        </w:tc>
        <w:tc>
          <w:tcPr>
            <w:tcW w:w="3212" w:type="dxa"/>
          </w:tcPr>
          <w:p w14:paraId="3707FA71" w14:textId="77777777" w:rsidR="00D806ED" w:rsidRDefault="00000000">
            <w:pPr>
              <w:pStyle w:val="Tabelleninhalt"/>
            </w:pPr>
            <w:r>
              <w:rPr>
                <w:shd w:val="clear" w:color="auto" w:fill="DDEBF7"/>
              </w:rPr>
              <w:t xml:space="preserve">Fallstudie: «mehrere Produktionswochen» (HWZ, o. J., S. 3). Tabellen 2, 7, 8, 26.</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A2</w:t>
            </w:r>
          </w:p>
        </w:tc>
        <w:tc>
          <w:tcPr>
            <w:tcW w:w="2883" w:type="dxa"/>
          </w:tcPr>
          <w:p w14:paraId="56347F64" w14:textId="77777777" w:rsidR="00D806ED" w:rsidRDefault="00000000">
            <w:pPr>
              <w:pStyle w:val="Tabelleninhalt"/>
            </w:pPr>
            <w:r>
              <w:rPr>
                <w:shd w:val="clear" w:color="auto" w:fill="DDEBF7"/>
              </w:rPr>
              <w:t xml:space="preserve">Weil die Umlagerung 2 der 3 AT Vorlauf beansprucht, lagern die Planer früher ein.</w:t>
            </w:r>
          </w:p>
        </w:tc>
        <w:tc>
          <w:tcPr>
            <w:tcW w:w="3212" w:type="dxa"/>
          </w:tcPr>
          <w:p w14:paraId="3707FA71" w14:textId="77777777" w:rsidR="00D806ED" w:rsidRDefault="00000000">
            <w:pPr>
              <w:pStyle w:val="Tabelleninhalt"/>
            </w:pPr>
            <w:r>
              <w:rPr>
                <w:shd w:val="clear" w:color="auto" w:fill="DDEBF7"/>
              </w:rPr>
              <w:t xml:space="preserve">Eigene Deutung der Fallstudie (S. 3); erklärt das Aufblähen von Lager 2.</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A3</w:t>
            </w:r>
          </w:p>
        </w:tc>
        <w:tc>
          <w:tcPr>
            <w:tcW w:w="2883" w:type="dxa"/>
          </w:tcPr>
          <w:p w14:paraId="56347F64" w14:textId="77777777" w:rsidR="00D806ED" w:rsidRDefault="00000000">
            <w:pPr>
              <w:pStyle w:val="Tabelleninhalt"/>
            </w:pPr>
            <w:r>
              <w:rPr>
                <w:shd w:val="clear" w:color="auto" w:fill="DDEBF7"/>
              </w:rPr>
              <w:t xml:space="preserve">280 Arbeitstage und 52 Wochen pro Jahr, also 5,4 AT je Woche.</w:t>
            </w:r>
          </w:p>
        </w:tc>
        <w:tc>
          <w:tcPr>
            <w:tcW w:w="3212" w:type="dxa"/>
          </w:tcPr>
          <w:p w14:paraId="3707FA71" w14:textId="77777777" w:rsidR="00D806ED" w:rsidRDefault="00000000">
            <w:pPr>
              <w:pStyle w:val="Tabelleninhalt"/>
            </w:pPr>
            <w:r>
              <w:rPr>
                <w:shd w:val="clear" w:color="auto" w:fill="DDEBF7"/>
              </w:rPr>
              <w:t xml:space="preserve">Fallstudie S. 6; Umrechnung Wochen in AT.</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A4</w:t>
            </w:r>
          </w:p>
        </w:tc>
        <w:tc>
          <w:tcPr>
            <w:tcW w:w="2883" w:type="dxa"/>
          </w:tcPr>
          <w:p w14:paraId="56347F64" w14:textId="77777777" w:rsidR="00D806ED" w:rsidRDefault="00000000">
            <w:pPr>
              <w:pStyle w:val="Tabelleninhalt"/>
            </w:pPr>
            <w:r>
              <w:rPr>
                <w:shd w:val="clear" w:color="auto" w:fill="DDEBF7"/>
              </w:rPr>
              <w:t xml:space="preserve">Die Picks verteilen sich proportional zur Stückzahl (Pickfaktor 1 : 1 000 für alle Materialien).</w:t>
            </w:r>
          </w:p>
        </w:tc>
        <w:tc>
          <w:tcPr>
            <w:tcW w:w="3212" w:type="dxa"/>
          </w:tcPr>
          <w:p w14:paraId="3707FA71" w14:textId="77777777" w:rsidR="00D806ED" w:rsidRDefault="00000000">
            <w:pPr>
              <w:pStyle w:val="Tabelleninhalt"/>
            </w:pPr>
            <w:r>
              <w:rPr>
                <w:shd w:val="clear" w:color="auto" w:fill="DDEBF7"/>
              </w:rPr>
              <w:t xml:space="preserve">Fallstudie S. 6 nennt nur den Durchschnitt. Mengengerüst Kommissionierung (Block 4, Tabelle 26).</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A5</w:t>
            </w:r>
          </w:p>
        </w:tc>
        <w:tc>
          <w:tcPr>
            <w:tcW w:w="2883" w:type="dxa"/>
          </w:tcPr>
          <w:p w14:paraId="56347F64" w14:textId="77777777" w:rsidR="00D806ED" w:rsidRDefault="00000000">
            <w:pPr>
              <w:pStyle w:val="Tabelleninhalt"/>
            </w:pPr>
            <w:r>
              <w:rPr>
                <w:shd w:val="clear" w:color="auto" w:fill="DDEBF7"/>
              </w:rPr>
              <w:t xml:space="preserve">Der Milkrun ersetzt den LKW-Shuttle; sein Personal zählt nicht zur Kommissionierung.</w:t>
            </w:r>
          </w:p>
        </w:tc>
        <w:tc>
          <w:tcPr>
            <w:tcW w:w="3212" w:type="dxa"/>
          </w:tcPr>
          <w:p w14:paraId="3707FA71" w14:textId="77777777" w:rsidR="00D806ED" w:rsidRDefault="00000000">
            <w:pPr>
              <w:pStyle w:val="Tabelleninhalt"/>
            </w:pPr>
            <w:r>
              <w:rPr>
                <w:shd w:val="clear" w:color="auto" w:fill="DDEBF7"/>
              </w:rPr>
              <w:t xml:space="preserve">Vergleichbarkeit mit dem Fallstudienwert von 100 Personen.</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A6</w:t>
            </w:r>
          </w:p>
        </w:tc>
        <w:tc>
          <w:tcPr>
            <w:tcW w:w="2883" w:type="dxa"/>
          </w:tcPr>
          <w:p w14:paraId="56347F64" w14:textId="77777777" w:rsidR="00D806ED" w:rsidRDefault="00000000">
            <w:pPr>
              <w:pStyle w:val="Tabelleninhalt"/>
            </w:pPr>
            <w:r>
              <w:rPr>
                <w:shd w:val="clear" w:color="auto" w:fill="DDEBF7"/>
              </w:rPr>
              <w:t xml:space="preserve">Vollkosten je Kommissionierstelle 200 000–250 000 Rupien pro Jahr.</w:t>
            </w:r>
          </w:p>
        </w:tc>
        <w:tc>
          <w:tcPr>
            <w:tcW w:w="3212" w:type="dxa"/>
          </w:tcPr>
          <w:p w14:paraId="3707FA71" w14:textId="77777777" w:rsidR="00D806ED" w:rsidRDefault="00000000">
            <w:pPr>
              <w:pStyle w:val="Tabelleninhalt"/>
            </w:pPr>
            <w:r>
              <w:rPr>
                <w:shd w:val="clear" w:color="auto" w:fill="DDEBF7"/>
              </w:rPr>
              <w:t xml:space="preserve">Grundlohn rund 14 000 Rupien pro Monat (Glassdoor, o. J.) zuzüglich 20–50 % Nebenkosten. Kapitel 9.</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A7</w:t>
            </w:r>
          </w:p>
        </w:tc>
        <w:tc>
          <w:tcPr>
            <w:tcW w:w="2883" w:type="dxa"/>
          </w:tcPr>
          <w:p w14:paraId="56347F64" w14:textId="77777777" w:rsidR="00D806ED" w:rsidRDefault="00000000">
            <w:pPr>
              <w:pStyle w:val="Tabelleninhalt"/>
            </w:pPr>
            <w:r>
              <w:rPr>
                <w:shd w:val="clear" w:color="auto" w:fill="DDEBF7"/>
              </w:rPr>
              <w:t xml:space="preserve">Lizenz für den Zollverschluss inkl. Zoll-IT und Warehouse Keeper liegt innerhalb von 18 Monaten vor.</w:t>
            </w:r>
          </w:p>
        </w:tc>
        <w:tc>
          <w:tcPr>
            <w:tcW w:w="3212" w:type="dxa"/>
          </w:tcPr>
          <w:p w14:paraId="3707FA71" w14:textId="77777777" w:rsidR="00D806ED" w:rsidRDefault="00000000">
            <w:pPr>
              <w:pStyle w:val="Tabelleninhalt"/>
            </w:pPr>
            <w:r>
              <w:rPr>
                <w:shd w:val="clear" w:color="auto" w:fill="DDEBF7"/>
              </w:rPr>
              <w:t xml:space="preserve">Vorsichtige Planung; Verfahren nach Sec. 58/65 Customs Act (Invest India, o. J.). Roadmap Abbildung 4.</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A8</w:t>
            </w:r>
          </w:p>
        </w:tc>
        <w:tc>
          <w:tcPr>
            <w:tcW w:w="2883" w:type="dxa"/>
          </w:tcPr>
          <w:p w14:paraId="56347F64" w14:textId="77777777" w:rsidR="00D806ED" w:rsidRDefault="00000000">
            <w:pPr>
              <w:pStyle w:val="Tabelleninhalt"/>
            </w:pPr>
            <w:r>
              <w:rPr>
                <w:shd w:val="clear" w:color="auto" w:fill="DDEBF7"/>
              </w:rPr>
              <w:t xml:space="preserve">Der Zollverschluss ist ein abgegrenzter Bereich in Lager 1 mit eigenem Lagerort.</w:t>
            </w:r>
          </w:p>
        </w:tc>
        <w:tc>
          <w:tcPr>
            <w:tcW w:w="3212" w:type="dxa"/>
          </w:tcPr>
          <w:p w14:paraId="3707FA71" w14:textId="77777777" w:rsidR="00D806ED" w:rsidRDefault="00000000">
            <w:pPr>
              <w:pStyle w:val="Tabelleninhalt"/>
            </w:pPr>
            <w:r>
              <w:rPr>
                <w:shd w:val="clear" w:color="auto" w:fill="DDEBF7"/>
              </w:rPr>
              <w:t xml:space="preserve">Lager 1 führt zu 97 % Inlandware (Tabelle 12). Block 1.</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A9</w:t>
            </w:r>
          </w:p>
        </w:tc>
        <w:tc>
          <w:tcPr>
            <w:tcW w:w="2883" w:type="dxa"/>
          </w:tcPr>
          <w:p w14:paraId="56347F64" w14:textId="77777777" w:rsidR="00D806ED" w:rsidRDefault="00000000">
            <w:pPr>
              <w:pStyle w:val="Tabelleninhalt"/>
            </w:pPr>
            <w:r>
              <w:rPr>
                <w:shd w:val="clear" w:color="auto" w:fill="DDEBF7"/>
              </w:rPr>
              <w:t xml:space="preserve">Zielwert Umschulungsquote ≥ 80 % der intern weiterbeschäftigten Betroffenen.</w:t>
            </w:r>
          </w:p>
        </w:tc>
        <w:tc>
          <w:tcPr>
            <w:tcW w:w="3212" w:type="dxa"/>
          </w:tcPr>
          <w:p w14:paraId="3707FA71" w14:textId="77777777" w:rsidR="00D806ED" w:rsidRDefault="00000000">
            <w:pPr>
              <w:pStyle w:val="Tabelleninhalt"/>
            </w:pPr>
            <w:r>
              <w:rPr>
                <w:shd w:val="clear" w:color="auto" w:fill="DDEBF7"/>
              </w:rPr>
              <w:t xml:space="preserve">Sozialverträglicher Abbau, Bewilligungspflicht (Industrial Relations Code, 2020, Sec. 77). Tabelle 8.</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A10</w:t>
            </w:r>
          </w:p>
        </w:tc>
        <w:tc>
          <w:tcPr>
            <w:tcW w:w="2883" w:type="dxa"/>
          </w:tcPr>
          <w:p w14:paraId="56347F64" w14:textId="77777777" w:rsidR="00D806ED" w:rsidRDefault="00000000">
            <w:pPr>
              <w:pStyle w:val="Tabelleninhalt"/>
            </w:pPr>
            <w:r>
              <w:rPr>
                <w:shd w:val="clear" w:color="auto" w:fill="DDEBF7"/>
              </w:rPr>
              <w:t xml:space="preserve">Liefertreue im Anlagenbau ≥ 95 % als Zielwert.</w:t>
            </w:r>
          </w:p>
        </w:tc>
        <w:tc>
          <w:tcPr>
            <w:tcW w:w="3212" w:type="dxa"/>
          </w:tcPr>
          <w:p w14:paraId="3707FA71" w14:textId="77777777" w:rsidR="00D806ED" w:rsidRDefault="00000000">
            <w:pPr>
              <w:pStyle w:val="Tabelleninhalt"/>
            </w:pPr>
            <w:r>
              <w:rPr>
                <w:shd w:val="clear" w:color="auto" w:fill="DDEBF7"/>
              </w:rPr>
              <w:t xml:space="preserve">Heute 55 % (HWZ, o. J., S. 6); Zielwert des Projektteams, nach Baseline zu bestätigen.</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A11</w:t>
            </w:r>
          </w:p>
        </w:tc>
        <w:tc>
          <w:tcPr>
            <w:tcW w:w="2883" w:type="dxa"/>
          </w:tcPr>
          <w:p w14:paraId="56347F64" w14:textId="77777777" w:rsidR="00D806ED" w:rsidRDefault="00000000">
            <w:pPr>
              <w:pStyle w:val="Tabelleninhalt"/>
            </w:pPr>
            <w:r>
              <w:rPr>
                <w:shd w:val="clear" w:color="auto" w:fill="DDEBF7"/>
              </w:rPr>
              <w:t xml:space="preserve">Die Montagezelle hält 15 % Kapazitätsreserve für Eilaufträge.</w:t>
            </w:r>
          </w:p>
        </w:tc>
        <w:tc>
          <w:tcPr>
            <w:tcW w:w="3212" w:type="dxa"/>
          </w:tcPr>
          <w:p w14:paraId="3707FA71" w14:textId="77777777" w:rsidR="00D806ED" w:rsidRDefault="00000000">
            <w:pPr>
              <w:pStyle w:val="Tabelleninhalt"/>
            </w:pPr>
            <w:r>
              <w:rPr>
                <w:shd w:val="clear" w:color="auto" w:fill="DDEBF7"/>
              </w:rPr>
              <w:t xml:space="preserve">Puffer gegen Konventionalstrafen; Tabelle 6.</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A12</w:t>
            </w:r>
          </w:p>
        </w:tc>
        <w:tc>
          <w:tcPr>
            <w:tcW w:w="2883" w:type="dxa"/>
          </w:tcPr>
          <w:p w14:paraId="56347F64" w14:textId="77777777" w:rsidR="00D806ED" w:rsidRDefault="00000000">
            <w:pPr>
              <w:pStyle w:val="Tabelleninhalt"/>
            </w:pPr>
            <w:r>
              <w:rPr>
                <w:shd w:val="clear" w:color="auto" w:fill="DDEBF7"/>
              </w:rPr>
              <w:t xml:space="preserve">Reichweite der Supermärkte ≤ 1 AT.</w:t>
            </w:r>
          </w:p>
        </w:tc>
        <w:tc>
          <w:tcPr>
            <w:tcW w:w="3212" w:type="dxa"/>
          </w:tcPr>
          <w:p w14:paraId="3707FA71" w14:textId="77777777" w:rsidR="00D806ED" w:rsidRDefault="00000000">
            <w:pPr>
              <w:pStyle w:val="Tabelleninhalt"/>
            </w:pPr>
            <w:r>
              <w:rPr>
                <w:shd w:val="clear" w:color="auto" w:fill="DDEBF7"/>
              </w:rPr>
              <w:t xml:space="preserve">Kanban mit kleinen Puffern (Hutzler &amp; Fuchs, 2021, S. 48). Tabellen 7, 26.</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A13</w:t>
            </w:r>
          </w:p>
        </w:tc>
        <w:tc>
          <w:tcPr>
            <w:tcW w:w="2883" w:type="dxa"/>
          </w:tcPr>
          <w:p w14:paraId="56347F64" w14:textId="77777777" w:rsidR="00D806ED" w:rsidRDefault="00000000">
            <w:pPr>
              <w:pStyle w:val="Tabelleninhalt"/>
            </w:pPr>
            <w:r>
              <w:rPr>
                <w:shd w:val="clear" w:color="auto" w:fill="DDEBF7"/>
              </w:rPr>
              <w:t xml:space="preserve">Lager 1 bleibt netto etwa gleich gross.</w:t>
            </w:r>
          </w:p>
        </w:tc>
        <w:tc>
          <w:tcPr>
            <w:tcW w:w="3212" w:type="dxa"/>
          </w:tcPr>
          <w:p w14:paraId="3707FA71" w14:textId="77777777" w:rsidR="00D806ED" w:rsidRDefault="00000000">
            <w:pPr>
              <w:pStyle w:val="Tabelleninhalt"/>
            </w:pPr>
            <w:r>
              <w:rPr>
                <w:shd w:val="clear" w:color="auto" w:fill="DDEBF7"/>
              </w:rPr>
              <w:t xml:space="preserve">−30 bis −41 % Bestand, dafür Restbestand aus Lager 2, Zollverschluss und Übersee-C-Teile. Tabelle 7.</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A14</w:t>
            </w:r>
          </w:p>
        </w:tc>
        <w:tc>
          <w:tcPr>
            <w:tcW w:w="2883" w:type="dxa"/>
          </w:tcPr>
          <w:p w14:paraId="56347F64" w14:textId="77777777" w:rsidR="00D806ED" w:rsidRDefault="00000000">
            <w:pPr>
              <w:pStyle w:val="Tabelleninhalt"/>
            </w:pPr>
            <w:r>
              <w:rPr>
                <w:shd w:val="clear" w:color="auto" w:fill="DDEBF7"/>
              </w:rPr>
              <w:t xml:space="preserve">Dock-to-Stock ≤ 1 AT.</w:t>
            </w:r>
          </w:p>
        </w:tc>
        <w:tc>
          <w:tcPr>
            <w:tcW w:w="3212" w:type="dxa"/>
          </w:tcPr>
          <w:p w14:paraId="3707FA71" w14:textId="77777777" w:rsidR="00D806ED" w:rsidRDefault="00000000">
            <w:pPr>
              <w:pStyle w:val="Tabelleninhalt"/>
            </w:pPr>
            <w:r>
              <w:rPr>
                <w:shd w:val="clear" w:color="auto" w:fill="DDEBF7"/>
              </w:rPr>
              <w:t xml:space="preserve">QSV statt Eingangsprüfung, EDI-Lieferavis. Tabellen 7, 8.</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A15</w:t>
            </w:r>
          </w:p>
        </w:tc>
        <w:tc>
          <w:tcPr>
            <w:tcW w:w="2883" w:type="dxa"/>
          </w:tcPr>
          <w:p w14:paraId="56347F64" w14:textId="77777777" w:rsidR="00D806ED" w:rsidRDefault="00000000">
            <w:pPr>
              <w:pStyle w:val="Tabelleninhalt"/>
            </w:pPr>
            <w:r>
              <w:rPr>
                <w:shd w:val="clear" w:color="auto" w:fill="DDEBF7"/>
              </w:rPr>
              <w:t xml:space="preserve">Lieferbereitschaft der Supermärkte ≥ 98 %.</w:t>
            </w:r>
          </w:p>
        </w:tc>
        <w:tc>
          <w:tcPr>
            <w:tcW w:w="3212" w:type="dxa"/>
          </w:tcPr>
          <w:p w14:paraId="3707FA71" w14:textId="77777777" w:rsidR="00D806ED" w:rsidRDefault="00000000">
            <w:pPr>
              <w:pStyle w:val="Tabelleninhalt"/>
            </w:pPr>
            <w:r>
              <w:rPr>
                <w:shd w:val="clear" w:color="auto" w:fill="DDEBF7"/>
              </w:rPr>
              <w:t xml:space="preserve">Nebenbedingung für den Abbau von Lager 2; Tabellen 8, 22.</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A16</w:t>
            </w:r>
          </w:p>
        </w:tc>
        <w:tc>
          <w:tcPr>
            <w:tcW w:w="2883" w:type="dxa"/>
          </w:tcPr>
          <w:p w14:paraId="56347F64" w14:textId="77777777" w:rsidR="00D806ED" w:rsidRDefault="00000000">
            <w:pPr>
              <w:pStyle w:val="Tabelleninhalt"/>
            </w:pPr>
            <w:r>
              <w:rPr>
                <w:shd w:val="clear" w:color="auto" w:fill="DDEBF7"/>
              </w:rPr>
              <w:t xml:space="preserve">Umsetzung in 36 Monaten: Phase 1 Monat 0–6, Phase 2 Monat 6–18, Phase 3 Monat 18–36.</w:t>
            </w:r>
          </w:p>
        </w:tc>
        <w:tc>
          <w:tcPr>
            <w:tcW w:w="3212" w:type="dxa"/>
          </w:tcPr>
          <w:p w14:paraId="3707FA71" w14:textId="77777777" w:rsidR="00D806ED" w:rsidRDefault="00000000">
            <w:pPr>
              <w:pStyle w:val="Tabelleninhalt"/>
            </w:pPr>
            <w:r>
              <w:rPr>
                <w:shd w:val="clear" w:color="auto" w:fill="DDEBF7"/>
              </w:rPr>
              <w:t xml:space="preserve">Erst messen, dann Bestände abbauen, dann automatisieren. Abbildung 4.</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A17</w:t>
            </w:r>
          </w:p>
        </w:tc>
        <w:tc>
          <w:tcPr>
            <w:tcW w:w="2883" w:type="dxa"/>
          </w:tcPr>
          <w:p w14:paraId="56347F64" w14:textId="77777777" w:rsidR="00D806ED" w:rsidRDefault="00000000">
            <w:pPr>
              <w:pStyle w:val="Tabelleninhalt"/>
            </w:pPr>
            <w:r>
              <w:rPr>
                <w:shd w:val="clear" w:color="auto" w:fill="DDEBF7"/>
              </w:rPr>
              <w:t xml:space="preserve">V2 (Hafen-Hub) überbrückt bis zur Lizenz für V3; Karatschi nur, solange erlaubt.</w:t>
            </w:r>
          </w:p>
        </w:tc>
        <w:tc>
          <w:tcPr>
            <w:tcW w:w="3212" w:type="dxa"/>
          </w:tcPr>
          <w:p w14:paraId="3707FA71" w14:textId="77777777" w:rsidR="00D806ED" w:rsidRDefault="00000000">
            <w:pPr>
              <w:pStyle w:val="Tabelleninhalt"/>
            </w:pPr>
            <w:r>
              <w:rPr>
                <w:shd w:val="clear" w:color="auto" w:fill="DDEBF7"/>
              </w:rPr>
              <w:t xml:space="preserve">Abbildung 4, Tabelle 27.</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A18</w:t>
            </w:r>
          </w:p>
        </w:tc>
        <w:tc>
          <w:tcPr>
            <w:tcW w:w="2883" w:type="dxa"/>
          </w:tcPr>
          <w:p w14:paraId="56347F64" w14:textId="77777777" w:rsidR="00D806ED" w:rsidRDefault="00000000">
            <w:pPr>
              <w:pStyle w:val="Tabelleninhalt"/>
            </w:pPr>
            <w:r>
              <w:rPr>
                <w:shd w:val="clear" w:color="auto" w:fill="DDEBF7"/>
              </w:rPr>
              <w:t xml:space="preserve">Prozesszeiten Anlagenbau: Endmontage 2 AT, Luftfracht 2 AT, SFG-Fertigung 3 AT, Material ab Zentrallager im Soll 1 AT.</w:t>
            </w:r>
          </w:p>
        </w:tc>
        <w:tc>
          <w:tcPr>
            <w:tcW w:w="3212" w:type="dxa"/>
          </w:tcPr>
          <w:p w14:paraId="3707FA71" w14:textId="77777777" w:rsidR="00D806ED" w:rsidRDefault="00000000">
            <w:pPr>
              <w:pStyle w:val="Tabelleninhalt"/>
            </w:pPr>
            <w:r>
              <w:rPr>
                <w:shd w:val="clear" w:color="auto" w:fill="DDEBF7"/>
              </w:rPr>
              <w:t xml:space="preserve">Fallstudie nennt keine Prozesszeiten; Grössenordnung. Tabelle 22.</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A19</w:t>
            </w:r>
          </w:p>
        </w:tc>
        <w:tc>
          <w:tcPr>
            <w:tcW w:w="2883" w:type="dxa"/>
          </w:tcPr>
          <w:p w14:paraId="56347F64" w14:textId="77777777" w:rsidR="00D806ED" w:rsidRDefault="00000000">
            <w:pPr>
              <w:pStyle w:val="Tabelleninhalt"/>
            </w:pPr>
            <w:r>
              <w:rPr>
                <w:shd w:val="clear" w:color="auto" w:fill="DDEBF7"/>
              </w:rPr>
              <w:t xml:space="preserve">Ist: 20–45 % der Aufträge warten auf ein fehlendes SFG. Stresstest: 20 % brauchen kundenspezifische SFG.</w:t>
            </w:r>
          </w:p>
        </w:tc>
        <w:tc>
          <w:tcPr>
            <w:tcW w:w="3212" w:type="dxa"/>
          </w:tcPr>
          <w:p w14:paraId="3707FA71" w14:textId="77777777" w:rsidR="00D806ED" w:rsidRDefault="00000000">
            <w:pPr>
              <w:pStyle w:val="Tabelleninhalt"/>
            </w:pPr>
            <w:r>
              <w:rPr>
                <w:shd w:val="clear" w:color="auto" w:fill="DDEBF7"/>
              </w:rPr>
              <w:t xml:space="preserve">45 % = Anteil verspäteter Aufträge als Obergrenze (HWZ, o. J., S. 6), 20 % konservativ. Tabelle 22.</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A20</w:t>
            </w:r>
          </w:p>
        </w:tc>
        <w:tc>
          <w:tcPr>
            <w:tcW w:w="2883" w:type="dxa"/>
          </w:tcPr>
          <w:p w14:paraId="56347F64" w14:textId="77777777" w:rsidR="00D806ED" w:rsidRDefault="00000000">
            <w:pPr>
              <w:pStyle w:val="Tabelleninhalt"/>
            </w:pPr>
            <w:r>
              <w:rPr>
                <w:shd w:val="clear" w:color="auto" w:fill="DDEBF7"/>
              </w:rPr>
              <w:t xml:space="preserve">Losgrössenbestand je Material = Jahreswertanteil ÷ (2 × Anlieferungen); Anlieferungen = Bestellungen p. a.</w:t>
            </w:r>
          </w:p>
        </w:tc>
        <w:tc>
          <w:tcPr>
            <w:tcW w:w="3212" w:type="dxa"/>
          </w:tcPr>
          <w:p w14:paraId="3707FA71" w14:textId="77777777" w:rsidR="00D806ED" w:rsidRDefault="00000000">
            <w:pPr>
              <w:pStyle w:val="Tabelleninhalt"/>
            </w:pPr>
            <w:r>
              <w:rPr>
                <w:shd w:val="clear" w:color="auto" w:fill="DDEBF7"/>
              </w:rPr>
              <w:t xml:space="preserve">Klassisches Sägezahnmodell; Bestände fehlen in den Daten. Tabelle 14.</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A21</w:t>
            </w:r>
          </w:p>
        </w:tc>
        <w:tc>
          <w:tcPr>
            <w:tcW w:w="2883" w:type="dxa"/>
          </w:tcPr>
          <w:p w14:paraId="56347F64" w14:textId="77777777" w:rsidR="00D806ED" w:rsidRDefault="00000000">
            <w:pPr>
              <w:pStyle w:val="Tabelleninhalt"/>
            </w:pPr>
            <w:r>
              <w:rPr>
                <w:shd w:val="clear" w:color="auto" w:fill="DDEBF7"/>
              </w:rPr>
              <w:t xml:space="preserve">Der Losgrössenbestand macht 40–50 % des Gesamtbestands aus (Sensitivität 30–60 %).</w:t>
            </w:r>
          </w:p>
        </w:tc>
        <w:tc>
          <w:tcPr>
            <w:tcW w:w="3212" w:type="dxa"/>
          </w:tcPr>
          <w:p w14:paraId="3707FA71" w14:textId="77777777" w:rsidR="00D806ED" w:rsidRDefault="00000000">
            <w:pPr>
              <w:pStyle w:val="Tabelleninhalt"/>
            </w:pPr>
            <w:r>
              <w:rPr>
                <w:shd w:val="clear" w:color="auto" w:fill="DDEBF7"/>
              </w:rPr>
              <w:t xml:space="preserve">Rest sind Sicherheits- und Pufferbestände (u. a. Lager 2). Tabellen 7, 15, 26.</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A22</w:t>
            </w:r>
          </w:p>
        </w:tc>
        <w:tc>
          <w:tcPr>
            <w:tcW w:w="2883" w:type="dxa"/>
          </w:tcPr>
          <w:p w14:paraId="56347F64" w14:textId="77777777" w:rsidR="00D806ED" w:rsidRDefault="00000000">
            <w:pPr>
              <w:pStyle w:val="Tabelleninhalt"/>
            </w:pPr>
            <w:r>
              <w:rPr>
                <w:shd w:val="clear" w:color="auto" w:fill="DDEBF7"/>
              </w:rPr>
              <w:t xml:space="preserve">Die 400 Sendungen fallen je Arbeitstag (280) bzw. Kalendertag (365) an.</w:t>
            </w:r>
          </w:p>
        </w:tc>
        <w:tc>
          <w:tcPr>
            <w:tcW w:w="3212" w:type="dxa"/>
          </w:tcPr>
          <w:p w14:paraId="3707FA71" w14:textId="77777777" w:rsidR="00D806ED" w:rsidRDefault="00000000">
            <w:pPr>
              <w:pStyle w:val="Tabelleninhalt"/>
            </w:pPr>
            <w:r>
              <w:rPr>
                <w:shd w:val="clear" w:color="auto" w:fill="DDEBF7"/>
              </w:rPr>
              <w:t xml:space="preserve">Fallstudie S. 4 nennt «täglich». Tabelle 2.</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A23</w:t>
            </w:r>
          </w:p>
        </w:tc>
        <w:tc>
          <w:tcPr>
            <w:tcW w:w="2883" w:type="dxa"/>
          </w:tcPr>
          <w:p w14:paraId="56347F64" w14:textId="77777777" w:rsidR="00D806ED" w:rsidRDefault="00000000">
            <w:pPr>
              <w:pStyle w:val="Tabelleninhalt"/>
            </w:pPr>
            <w:r>
              <w:rPr>
                <w:shd w:val="clear" w:color="auto" w:fill="DDEBF7"/>
              </w:rPr>
              <w:t xml:space="preserve">Lieferanten werden ihrer Hauptherkunft zugeordnet.</w:t>
            </w:r>
          </w:p>
        </w:tc>
        <w:tc>
          <w:tcPr>
            <w:tcW w:w="3212" w:type="dxa"/>
          </w:tcPr>
          <w:p w14:paraId="3707FA71" w14:textId="77777777" w:rsidR="00D806ED" w:rsidRDefault="00000000">
            <w:pPr>
              <w:pStyle w:val="Tabelleninhalt"/>
            </w:pPr>
            <w:r>
              <w:rPr>
                <w:shd w:val="clear" w:color="auto" w:fill="DDEBF7"/>
              </w:rPr>
              <w:t xml:space="preserve">Ein Lieferant liefert Local und Overseas. Tabelle 12.</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A24</w:t>
            </w:r>
          </w:p>
        </w:tc>
        <w:tc>
          <w:tcPr>
            <w:tcW w:w="2883" w:type="dxa"/>
          </w:tcPr>
          <w:p w14:paraId="56347F64" w14:textId="77777777" w:rsidR="00D806ED" w:rsidRDefault="00000000">
            <w:pPr>
              <w:pStyle w:val="Tabelleninhalt"/>
            </w:pPr>
            <w:r>
              <w:rPr>
                <w:shd w:val="clear" w:color="auto" w:fill="DDEBF7"/>
              </w:rPr>
              <w:t xml:space="preserve">Das Lieferantenblatt ist massgeblich; die Abweichung zur Neuberechnung aus dem RM-Blatt beruht auf einer anderen Wertbasis.</w:t>
            </w:r>
          </w:p>
        </w:tc>
        <w:tc>
          <w:tcPr>
            <w:tcW w:w="3212" w:type="dxa"/>
          </w:tcPr>
          <w:p w14:paraId="3707FA71" w14:textId="77777777" w:rsidR="00D806ED" w:rsidRDefault="00000000">
            <w:pPr>
              <w:pStyle w:val="Tabelleninhalt"/>
            </w:pPr>
            <w:r>
              <w:rPr>
                <w:shd w:val="clear" w:color="auto" w:fill="DDEBF7"/>
              </w:rPr>
              <w:t xml:space="preserve">591 von 601 Lieferanten weichen &gt; 5 % ab (Tabelle 11). Tabelle 13.</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A25</w:t>
            </w:r>
          </w:p>
        </w:tc>
        <w:tc>
          <w:tcPr>
            <w:tcW w:w="2883" w:type="dxa"/>
          </w:tcPr>
          <w:p w14:paraId="56347F64" w14:textId="77777777" w:rsidR="00D806ED" w:rsidRDefault="00000000">
            <w:pPr>
              <w:pStyle w:val="Tabelleninhalt"/>
            </w:pPr>
            <w:r>
              <w:rPr>
                <w:shd w:val="clear" w:color="auto" w:fill="DDEBF7"/>
              </w:rPr>
              <w:t xml:space="preserve">Bestellhäufigkeit ersetzt die XYZ-Analyse: ≥ 4 Bestellungen p. a. X-ähnlich, 1–3 Y/Z-ähnlich.</w:t>
            </w:r>
          </w:p>
        </w:tc>
        <w:tc>
          <w:tcPr>
            <w:tcW w:w="3212" w:type="dxa"/>
          </w:tcPr>
          <w:p w14:paraId="3707FA71" w14:textId="77777777" w:rsidR="00D806ED" w:rsidRDefault="00000000">
            <w:pPr>
              <w:pStyle w:val="Tabelleninhalt"/>
            </w:pPr>
            <w:r>
              <w:rPr>
                <w:shd w:val="clear" w:color="auto" w:fill="DDEBF7"/>
              </w:rPr>
              <w:t xml:space="preserve">Verbrauchsperioden fehlen. Abbildung 8, Tabelle 19.</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A26</w:t>
            </w:r>
          </w:p>
        </w:tc>
        <w:tc>
          <w:tcPr>
            <w:tcW w:w="2883" w:type="dxa"/>
          </w:tcPr>
          <w:p w14:paraId="56347F64" w14:textId="77777777" w:rsidR="00D806ED" w:rsidRDefault="00000000">
            <w:pPr>
              <w:pStyle w:val="Tabelleninhalt"/>
            </w:pPr>
            <w:r>
              <w:rPr>
                <w:shd w:val="clear" w:color="auto" w:fill="DDEBF7"/>
              </w:rPr>
              <w:t xml:space="preserve">Picks und Wareneingänge entstehen fast nur bei C-Teilen.</w:t>
            </w:r>
          </w:p>
        </w:tc>
        <w:tc>
          <w:tcPr>
            <w:tcW w:w="3212" w:type="dxa"/>
          </w:tcPr>
          <w:p w14:paraId="3707FA71" w14:textId="77777777" w:rsidR="00D806ED" w:rsidRDefault="00000000">
            <w:pPr>
              <w:pStyle w:val="Tabelleninhalt"/>
            </w:pPr>
            <w:r>
              <w:rPr>
                <w:shd w:val="clear" w:color="auto" w:fill="DDEBF7"/>
              </w:rPr>
              <w:t xml:space="preserve">C-Teile = 99,8 % der Stückzahl, 87,7 % der Bestellungen (Tabelle 1).</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A27</w:t>
            </w:r>
          </w:p>
        </w:tc>
        <w:tc>
          <w:tcPr>
            <w:tcW w:w="2883" w:type="dxa"/>
          </w:tcPr>
          <w:p w14:paraId="56347F64" w14:textId="77777777" w:rsidR="00D806ED" w:rsidRDefault="00000000">
            <w:pPr>
              <w:pStyle w:val="Tabelleninhalt"/>
            </w:pPr>
            <w:r>
              <w:rPr>
                <w:shd w:val="clear" w:color="auto" w:fill="DDEBF7"/>
              </w:rPr>
              <w:t xml:space="preserve">Ein Kanban-Behälter des C-Teile-Partners fasst im Mittel fünf Pickmengen (Bandbreite 1–5).</w:t>
            </w:r>
          </w:p>
        </w:tc>
        <w:tc>
          <w:tcPr>
            <w:tcW w:w="3212" w:type="dxa"/>
          </w:tcPr>
          <w:p w14:paraId="3707FA71" w14:textId="77777777" w:rsidR="00D806ED" w:rsidRDefault="00000000">
            <w:pPr>
              <w:pStyle w:val="Tabelleninhalt"/>
            </w:pPr>
            <w:r>
              <w:rPr>
                <w:shd w:val="clear" w:color="auto" w:fill="DDEBF7"/>
              </w:rPr>
              <w:t xml:space="preserve">Behälternachschub statt Einzelpick (Hutzler &amp; Fuchs, 2021, S. 38). Block 4, Tabelle 26.</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A28</w:t>
            </w:r>
          </w:p>
        </w:tc>
        <w:tc>
          <w:tcPr>
            <w:tcW w:w="2883" w:type="dxa"/>
          </w:tcPr>
          <w:p w14:paraId="56347F64" w14:textId="77777777" w:rsidR="00D806ED" w:rsidRDefault="00000000">
            <w:pPr>
              <w:pStyle w:val="Tabelleninhalt"/>
            </w:pPr>
            <w:r>
              <w:rPr>
                <w:shd w:val="clear" w:color="auto" w:fill="DDEBF7"/>
              </w:rPr>
              <w:t xml:space="preserve">Sea-Air ist 30 % günstiger als Luftfracht.</w:t>
            </w:r>
          </w:p>
        </w:tc>
        <w:tc>
          <w:tcPr>
            <w:tcW w:w="3212" w:type="dxa"/>
          </w:tcPr>
          <w:p w14:paraId="3707FA71" w14:textId="77777777" w:rsidR="00D806ED" w:rsidRDefault="00000000">
            <w:pPr>
              <w:pStyle w:val="Tabelleninhalt"/>
            </w:pPr>
            <w:r>
              <w:rPr>
                <w:shd w:val="clear" w:color="auto" w:fill="DDEBF7"/>
              </w:rPr>
              <w:t xml:space="preserve">Anbieterangabe «bis zu 30–40 %» (DSV, o. J.); optimistisch. Distribution.</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A29</w:t>
            </w:r>
          </w:p>
        </w:tc>
        <w:tc>
          <w:tcPr>
            <w:tcW w:w="2883" w:type="dxa"/>
          </w:tcPr>
          <w:p w14:paraId="56347F64" w14:textId="77777777" w:rsidR="00D806ED" w:rsidRDefault="00000000">
            <w:pPr>
              <w:pStyle w:val="Tabelleninhalt"/>
            </w:pPr>
            <w:r>
              <w:rPr>
                <w:shd w:val="clear" w:color="auto" w:fill="DDEBF7"/>
              </w:rPr>
              <w:t xml:space="preserve">Seefracht ist rund 70 % günstiger als Luftfracht.</w:t>
            </w:r>
          </w:p>
        </w:tc>
        <w:tc>
          <w:tcPr>
            <w:tcW w:w="3212" w:type="dxa"/>
          </w:tcPr>
          <w:p w14:paraId="3707FA71" w14:textId="77777777" w:rsidR="00D806ED" w:rsidRDefault="00000000">
            <w:pPr>
              <w:pStyle w:val="Tabelleninhalt"/>
            </w:pPr>
            <w:r>
              <w:rPr>
                <w:shd w:val="clear" w:color="auto" w:fill="DDEBF7"/>
              </w:rPr>
              <w:t xml:space="preserve">Konservative Grössenordnung; mit Frachtofferten zu prüfen. Distribution.</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A30</w:t>
            </w:r>
          </w:p>
        </w:tc>
        <w:tc>
          <w:tcPr>
            <w:tcW w:w="2883" w:type="dxa"/>
          </w:tcPr>
          <w:p w14:paraId="56347F64" w14:textId="77777777" w:rsidR="00D806ED" w:rsidRDefault="00000000">
            <w:pPr>
              <w:pStyle w:val="Tabelleninhalt"/>
            </w:pPr>
            <w:r>
              <w:rPr>
                <w:shd w:val="clear" w:color="auto" w:fill="DDEBF7"/>
              </w:rPr>
              <w:t xml:space="preserve">Landvorlauf Westhafen–Werk rund 1 000–1 300 km, 2–4 Tage per Bahn oder LKW unter Zollverschluss.</w:t>
            </w:r>
          </w:p>
        </w:tc>
        <w:tc>
          <w:tcPr>
            <w:tcW w:w="3212" w:type="dxa"/>
          </w:tcPr>
          <w:p w14:paraId="3707FA71" w14:textId="77777777" w:rsidR="00D806ED" w:rsidRDefault="00000000">
            <w:pPr>
              <w:pStyle w:val="Tabelleninhalt"/>
            </w:pPr>
            <w:r>
              <w:rPr>
                <w:shd w:val="clear" w:color="auto" w:fill="DDEBF7"/>
              </w:rPr>
              <w:t xml:space="preserve">Werk in Nordindien (HWZ, o. J., S. 3); mit Frachtofferten zu prüfen. Tabellen 16, 17.</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A31</w:t>
            </w:r>
          </w:p>
        </w:tc>
        <w:tc>
          <w:tcPr>
            <w:tcW w:w="2883" w:type="dxa"/>
          </w:tcPr>
          <w:p w14:paraId="56347F64" w14:textId="77777777" w:rsidR="00D806ED" w:rsidRDefault="00000000">
            <w:pPr>
              <w:pStyle w:val="Tabelleninhalt"/>
            </w:pPr>
            <w:r>
              <w:rPr>
                <w:shd w:val="clear" w:color="auto" w:fill="DDEBF7"/>
              </w:rPr>
              <w:t xml:space="preserve">C-Teile-Management ersetzt 80 % der 54 973 C-Bestellvorgänge, also rund 44 000.</w:t>
            </w:r>
          </w:p>
        </w:tc>
        <w:tc>
          <w:tcPr>
            <w:tcW w:w="3212" w:type="dxa"/>
          </w:tcPr>
          <w:p w14:paraId="3707FA71" w14:textId="77777777" w:rsidR="00D806ED" w:rsidRDefault="00000000">
            <w:pPr>
              <w:pStyle w:val="Tabelleninhalt"/>
            </w:pPr>
            <w:r>
              <w:rPr>
                <w:shd w:val="clear" w:color="auto" w:fill="DDEBF7"/>
              </w:rPr>
              <w:t xml:space="preserve">Abrechnung nach Verbrauch statt Einzelbestellung (Hutzler &amp; Fuchs, 2021, S. 38). Tabelle 4.</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A32</w:t>
            </w:r>
          </w:p>
        </w:tc>
        <w:tc>
          <w:tcPr>
            <w:tcW w:w="2883" w:type="dxa"/>
          </w:tcPr>
          <w:p w14:paraId="56347F64" w14:textId="77777777" w:rsidR="00D806ED" w:rsidRDefault="00000000">
            <w:pPr>
              <w:pStyle w:val="Tabelleninhalt"/>
            </w:pPr>
            <w:r>
              <w:rPr>
                <w:shd w:val="clear" w:color="auto" w:fill="DDEBF7"/>
              </w:rPr>
              <w:t xml:space="preserve">Lieferantenbasis 150–200: 61 A/B-Lieferanten bleiben, von 540 reinen C-Lieferanten 90–140 für Sonder- und Know-how-Teile, der Rest geht an 2–3 Systemlieferanten.</w:t>
            </w:r>
          </w:p>
        </w:tc>
        <w:tc>
          <w:tcPr>
            <w:tcW w:w="3212" w:type="dxa"/>
          </w:tcPr>
          <w:p w14:paraId="3707FA71" w14:textId="77777777" w:rsidR="00D806ED" w:rsidRDefault="00000000">
            <w:pPr>
              <w:pStyle w:val="Tabelleninhalt"/>
            </w:pPr>
            <w:r>
              <w:rPr>
                <w:shd w:val="clear" w:color="auto" w:fill="DDEBF7"/>
              </w:rPr>
              <w:t xml:space="preserve">Daten-ABC-Analyse-Grofu (o. J.); Tabelle 4.</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A33</w:t>
            </w:r>
          </w:p>
        </w:tc>
        <w:tc>
          <w:tcPr>
            <w:tcW w:w="2883" w:type="dxa"/>
          </w:tcPr>
          <w:p w14:paraId="56347F64" w14:textId="77777777" w:rsidR="00D806ED" w:rsidRDefault="00000000">
            <w:pPr>
              <w:pStyle w:val="Tabelleninhalt"/>
            </w:pPr>
            <w:r>
              <w:rPr>
                <w:shd w:val="clear" w:color="auto" w:fill="DDEBF7"/>
              </w:rPr>
              <w:t xml:space="preserve">OEM-Szenarien: (a) 50 % auf Sea-Air: Frachtkosten −15 %; (b) 60 % Seefracht, 20 % Sea-Air, 20 % Luftfracht: −48 %.</w:t>
            </w:r>
          </w:p>
        </w:tc>
        <w:tc>
          <w:tcPr>
            <w:tcW w:w="3212" w:type="dxa"/>
          </w:tcPr>
          <w:p w14:paraId="3707FA71" w14:textId="77777777" w:rsidR="00D806ED" w:rsidRDefault="00000000">
            <w:pPr>
              <w:pStyle w:val="Tabelleninhalt"/>
            </w:pPr>
            <w:r>
              <w:rPr>
                <w:shd w:val="clear" w:color="auto" w:fill="DDEBF7"/>
              </w:rPr>
              <w:t xml:space="preserve">(b) = 0,6 × 70 % + 0,2 × 30 %; Nettogewinn +0,84 × Ersparnis = +13 % bzw. +40 %. Annahmen A28, A29.</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A34</w:t>
            </w:r>
          </w:p>
        </w:tc>
        <w:tc>
          <w:tcPr>
            <w:tcW w:w="2883" w:type="dxa"/>
          </w:tcPr>
          <w:p w14:paraId="56347F64" w14:textId="77777777" w:rsidR="00D806ED" w:rsidRDefault="00000000">
            <w:pPr>
              <w:pStyle w:val="Tabelleninhalt"/>
            </w:pPr>
            <w:r>
              <w:rPr>
                <w:shd w:val="clear" w:color="auto" w:fill="DDEBF7"/>
              </w:rPr>
              <w:t xml:space="preserve">OEM-Kunden liefern einen rollierenden Forecast per EDI.</w:t>
            </w:r>
          </w:p>
        </w:tc>
        <w:tc>
          <w:tcPr>
            <w:tcW w:w="3212" w:type="dxa"/>
          </w:tcPr>
          <w:p w14:paraId="3707FA71" w14:textId="77777777" w:rsidR="00D806ED" w:rsidRDefault="00000000">
            <w:pPr>
              <w:pStyle w:val="Tabelleninhalt"/>
            </w:pPr>
            <w:r>
              <w:rPr>
                <w:shd w:val="clear" w:color="auto" w:fill="DDEBF7"/>
              </w:rPr>
              <w:t xml:space="preserve">Voraussetzung für Seefracht-Grundlast. Distribution.</w:t>
            </w:r>
          </w:p>
        </w:tc>
      </w:tr>
      <w:tr w:rsidR="00D806ED" w14:paraId="481F9618" w14:textId="77777777">
        <w:trPr>
          <w:cantSplit/>
        </w:trPr>
        <w:tc>
          <w:tcPr>
            <w:tcW w:w="2974" w:type="dxa"/>
          </w:tcPr>
          <w:p w14:paraId="5D6DBE90" w14:textId="77777777" w:rsidR="00D806ED" w:rsidRDefault="00000000">
            <w:pPr>
              <w:pStyle w:val="Tabelleninhalt"/>
            </w:pPr>
            <w:r>
              <w:rPr>
                <w:shd w:val="clear" w:color="auto" w:fill="DDEBF7"/>
              </w:rPr>
              <w:t xml:space="preserve">A35</w:t>
            </w:r>
          </w:p>
        </w:tc>
        <w:tc>
          <w:tcPr>
            <w:tcW w:w="2883" w:type="dxa"/>
          </w:tcPr>
          <w:p w14:paraId="56347F64" w14:textId="77777777" w:rsidR="00D806ED" w:rsidRDefault="00000000">
            <w:pPr>
              <w:pStyle w:val="Tabelleninhalt"/>
            </w:pPr>
            <w:r>
              <w:rPr>
                <w:shd w:val="clear" w:color="auto" w:fill="DDEBF7"/>
              </w:rPr>
              <w:t xml:space="preserve">Der Nahe Osten ist auch für Eigenlabel ein Schwerpunktmarkt.</w:t>
            </w:r>
          </w:p>
        </w:tc>
        <w:tc>
          <w:tcPr>
            <w:tcW w:w="3212" w:type="dxa"/>
          </w:tcPr>
          <w:p w14:paraId="3707FA71" w14:textId="77777777" w:rsidR="00D806ED" w:rsidRDefault="00000000">
            <w:pPr>
              <w:pStyle w:val="Tabelleninhalt"/>
            </w:pPr>
            <w:r>
              <w:rPr>
                <w:shd w:val="clear" w:color="auto" w:fill="DDEBF7"/>
              </w:rPr>
              <w:t xml:space="preserve">Belegt nur für Systemkomponenten (HWZ, o. J., S. 3); Absatzanalyse nötig. Distribution.</w:t>
            </w:r>
          </w:p>
        </w:tc>
      </w:tr>
    </w:tbl>
    <w:p w14:paraId="34AACF00" w14:textId="77777777" w:rsidR="00D806ED" w:rsidRDefault="00000000">
      <w:pPr>
        <w:pStyle w:val="Quellenangabe"/>
      </w:pPr>
      <w:r>
        <w:rPr>
          <w:shd w:val="clear" w:color="auto" w:fill="DDEBF7"/>
        </w:rPr>
        <w:t xml:space="preserve">Quelle: Eigene Darstellung.</w:t>
      </w:r>
    </w:p>
    <w:p w14:paraId="17D40ABE" w14:textId="77777777" w:rsidR="00D806ED" w:rsidRDefault="00000000">
      <w:pPr>
        <w:pStyle w:val="berschrift1"/>
        <w:pageBreakBefore/>
        <w:numPr>
          <w:ilvl w:val="0"/>
          <w:numId w:val="0"/>
        </w:numPr>
      </w:pPr>
      <w:bookmarkStart w:id="133" w:name="_Toc243825067"/>
      <w:r>
        <w:lastRenderedPageBreak/>
        <w:t>Eigenständigkeitserklärung</w:t>
      </w:r>
      <w:bookmarkEnd w:id="133"/>
    </w:p>
    <w:p w14:paraId="63F75D7C" w14:textId="77777777" w:rsidR="002F6369" w:rsidRPr="002F6369" w:rsidRDefault="002F6369" w:rsidP="002F6369">
      <w:pPr>
        <w:pStyle w:val="Compact"/>
      </w:pPr>
      <w:r>
        <w:t>Wir bestätigen hiermit, dass wir</w:t>
      </w:r>
    </w:p>
    <w:p w14:paraId="23CA5C27" w14:textId="77777777" w:rsidR="002F6369" w:rsidRPr="002F6369" w:rsidRDefault="002F6369" w:rsidP="002F6369">
      <w:pPr>
        <w:pStyle w:val="Compact"/>
        <w:numPr>
          <w:ilvl w:val="0"/>
          <w:numId w:val="17"/>
        </w:numPr>
      </w:pPr>
      <w:r>
        <w:t>den vorliegenden Leistungsnachweis selbständig, unter Offenlegung der eingesetzten KI-Hilfsmittel gemäss der Deklaration der KI-Nutzung, und ohne Benützung anderer als der angegebenen Quellen und Hilfsmittel anfertigten,</w:t>
      </w:r>
    </w:p>
    <w:p w14:paraId="253E128C" w14:textId="77777777" w:rsidR="002F6369" w:rsidRPr="002F6369" w:rsidRDefault="002F6369" w:rsidP="002F6369">
      <w:pPr>
        <w:pStyle w:val="Compact"/>
        <w:numPr>
          <w:ilvl w:val="0"/>
          <w:numId w:val="17"/>
        </w:numPr>
      </w:pPr>
      <w:r>
        <w:t>die benutzten Quellen wörtlich oder inhaltlich als solche kenntlich machten,</w:t>
      </w:r>
    </w:p>
    <w:p w14:paraId="595A382F" w14:textId="77777777" w:rsidR="002F6369" w:rsidRPr="002F6369" w:rsidRDefault="002F6369" w:rsidP="002F6369">
      <w:pPr>
        <w:pStyle w:val="Compact"/>
        <w:numPr>
          <w:ilvl w:val="0"/>
          <w:numId w:val="17"/>
        </w:numPr>
      </w:pPr>
      <w:r>
        <w:t>diesen Leistungsnachweis in gleicher oder ähnlicher Form noch an keiner Hochschule zur Bewertung einreichten.</w:t>
      </w:r>
    </w:p>
    <w:p w14:paraId="7A4902EA" w14:textId="77777777" w:rsidR="002F6369" w:rsidRDefault="002F6369" w:rsidP="002F6369">
      <w:pPr>
        <w:pStyle w:val="Compact"/>
      </w:pPr>
    </w:p>
    <w:p w14:paraId="5EE56116" w14:textId="77777777" w:rsidR="008E7E4B" w:rsidRDefault="008E7E4B" w:rsidP="008E7E4B">
      <w:pPr>
        <w:pStyle w:val="Compact"/>
      </w:pPr>
    </w:p>
    <w:p w14:paraId="5364F4EA" w14:textId="00F07E17" w:rsidR="00D806ED" w:rsidRDefault="00295283">
      <w:pPr>
        <w:pStyle w:val="FirstParagraph"/>
      </w:pPr>
      <w:r>
        <w:t xml:space="preserve">Zürich, 13. Januar 2027</w:t>
      </w:r>
    </w:p>
    <w:p w14:paraId="2AD21D4D" w14:textId="772F4BE1" w:rsidR="00D806ED" w:rsidRDefault="00D806ED">
      <w:pPr>
        <w:pStyle w:val="Textkrper"/>
      </w:pPr>
    </w:p>
    <w:p w14:paraId="59BAE458" w14:textId="77777777" w:rsidR="00D806ED" w:rsidRDefault="00000000">
      <w:pPr>
        <w:pStyle w:val="Textkrper"/>
      </w:pPr>
      <w:r>
        <w:t>………………………………………………………………</w:t>
      </w:r>
    </w:p>
    <w:p w14:paraId="71D6E7D8" w14:textId="77777777" w:rsidR="00D806ED" w:rsidRDefault="00000000">
      <w:pPr>
        <w:pStyle w:val="Textkrper"/>
      </w:pPr>
      <w:bookmarkStart w:id="134" w:name="fazit-und-ausblick"/>
      <w:r>
        <w:t>Unterschrift (Vorname Name)</w:t>
      </w:r>
      <w:bookmarkEnd w:id="134"/>
    </w:p>
    <w:p w14:paraId="27D24E69" w14:textId="77777777" w:rsidR="008E7E4B" w:rsidRDefault="008E7E4B" w:rsidP="008E7E4B">
      <w:pPr>
        <w:pStyle w:val="Textkrper"/>
      </w:pPr>
    </w:p>
    <w:p w14:paraId="4A16E35E" w14:textId="77777777" w:rsidR="008E7E4B" w:rsidRDefault="008E7E4B" w:rsidP="008E7E4B">
      <w:pPr>
        <w:pStyle w:val="Textkrper"/>
      </w:pPr>
      <w:r>
        <w:t>………………………………………………………………</w:t>
      </w:r>
    </w:p>
    <w:p w14:paraId="6B1D6317" w14:textId="77777777" w:rsidR="008E7E4B" w:rsidRDefault="008E7E4B" w:rsidP="008E7E4B">
      <w:pPr>
        <w:pStyle w:val="Textkrper"/>
      </w:pPr>
      <w:r>
        <w:t>Unterschrift (Vorname Name)</w:t>
      </w:r>
    </w:p>
    <w:p w14:paraId="5B566A68" w14:textId="77777777" w:rsidR="008E7E4B" w:rsidRDefault="008E7E4B" w:rsidP="008E7E4B">
      <w:pPr>
        <w:pStyle w:val="Textkrper"/>
      </w:pPr>
    </w:p>
    <w:p w14:paraId="1D3D02EE" w14:textId="77777777" w:rsidR="008E7E4B" w:rsidRDefault="008E7E4B" w:rsidP="008E7E4B">
      <w:pPr>
        <w:pStyle w:val="Textkrper"/>
      </w:pPr>
      <w:r>
        <w:t>………………………………………………………………</w:t>
      </w:r>
    </w:p>
    <w:p w14:paraId="48A6348F" w14:textId="77777777" w:rsidR="008E7E4B" w:rsidRDefault="008E7E4B" w:rsidP="008E7E4B">
      <w:pPr>
        <w:pStyle w:val="Textkrper"/>
      </w:pPr>
      <w:r>
        <w:t>Unterschrift (Vorname Name)</w:t>
      </w:r>
    </w:p>
    <w:p w14:paraId="74EAD1A7" w14:textId="77777777" w:rsidR="008E7E4B" w:rsidRDefault="008E7E4B" w:rsidP="008E7E4B">
      <w:pPr>
        <w:pStyle w:val="Textkrper"/>
      </w:pPr>
    </w:p>
    <w:p w14:paraId="6F79E927" w14:textId="77777777" w:rsidR="008E7E4B" w:rsidRDefault="008E7E4B" w:rsidP="008E7E4B">
      <w:pPr>
        <w:pStyle w:val="Textkrper"/>
      </w:pPr>
      <w:r>
        <w:t>………………………………………………………………</w:t>
      </w:r>
    </w:p>
    <w:p w14:paraId="32F2762E" w14:textId="77777777" w:rsidR="008E7E4B" w:rsidRDefault="008E7E4B" w:rsidP="008E7E4B">
      <w:pPr>
        <w:pStyle w:val="Textkrper"/>
      </w:pPr>
      <w:r>
        <w:t>Unterschrift (Vorname Name)</w:t>
      </w:r>
    </w:p>
    <w:p w14:paraId="51E98412" w14:textId="77777777" w:rsidR="008E7E4B" w:rsidRDefault="008E7E4B">
      <w:pPr>
        <w:pStyle w:val="Textkrper"/>
      </w:pPr>
    </w:p>
    <w:sectPr w:rsidR="008E7E4B">
      <w:footerReference w:type="even" r:id="rId21"/>
      <w:footerReference w:type="default" r:id="rId22"/>
      <w:footerReference w:type="first" r:id="rId23"/>
      <w:pgSz w:w="11906" w:h="16838"/>
      <w:pgMar w:top="1418" w:right="1418" w:bottom="1134" w:left="1418" w:header="0" w:footer="709"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B3245" w14:textId="77777777" w:rsidR="00382E3F" w:rsidRDefault="00382E3F">
      <w:pPr>
        <w:spacing w:before="0" w:after="0" w:line="240" w:lineRule="auto"/>
      </w:pPr>
      <w:r>
        <w:separator/>
      </w:r>
    </w:p>
  </w:endnote>
  <w:endnote w:type="continuationSeparator" w:id="0">
    <w:p w14:paraId="1486121A" w14:textId="77777777" w:rsidR="00382E3F" w:rsidRDefault="00382E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1"/>
    <w:family w:val="swiss"/>
    <w:pitch w:val="variable"/>
    <w:sig w:usb0="E1002EFF" w:usb1="C000605B" w:usb2="00000029" w:usb3="00000000" w:csb0="000101FF" w:csb1="00000000"/>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A4376" w14:textId="77777777" w:rsidR="00D806ED" w:rsidRDefault="00D806E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3DF0" w14:textId="65147C89" w:rsidR="00D806ED" w:rsidRDefault="00000000">
    <w:pPr>
      <w:pStyle w:val="Fuzeile"/>
      <w:ind w:right="360"/>
      <w:jc w:val="center"/>
    </w:pPr>
    <w:r>
      <w:tab/>
    </w:r>
    <w:r>
      <w:tab/>
    </w:r>
    <w:r w:rsidR="004E094B">
      <w:rPr>
        <w:noProof/>
      </w:rPr>
      <w:pict w14:anchorId="0525CFE7">
        <v:shapetype id="_x0000_t202" coordsize="21600,21600" o:spt="202" path="m,l,21600r21600,l21600,xe">
          <v:stroke joinstyle="miter"/>
          <v:path gradientshapeok="t" o:connecttype="rect"/>
        </v:shapetype>
        <v:shape id="Frame1" o:spid="_x0000_s1027" type="#_x0000_t202" style="position:absolute;left:0;text-align:left;margin-left:-40.8pt;margin-top:.05pt;width:10.4pt;height:30.65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" o:allowincell="f" stroked="f">
          <v:fill opacity="0"/>
          <v:textbox style="mso-fit-shape-to-text:t" inset="0,0,0,0">
            <w:txbxContent>
              <w:sdt>
                <w:sdtPr>
                  <w:id w:val="-1397662585"/>
                  <w:docPartObj>
                    <w:docPartGallery w:val="Page Numbers (Bottom of Page)"/>
                    <w:docPartUnique/>
                  </w:docPartObj>
                </w:sdtPr>
                <w:sdtContent>
                  <w:p w14:paraId="483872F7" w14:textId="77777777" w:rsidR="00D806ED" w:rsidRDefault="00000000">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t>VI</w:t>
                    </w:r>
                    <w:r>
                      <w:rPr>
                        <w:rStyle w:val="Seitenzahl"/>
                      </w:rPr>
                      <w:fldChar w:fldCharType="end"/>
                    </w:r>
                  </w:p>
                </w:sdtContent>
              </w:sdt>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710B" w14:textId="77777777" w:rsidR="00D806ED" w:rsidRDefault="00D806ED">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216C0" w14:textId="77777777" w:rsidR="00D806ED" w:rsidRDefault="00D806ED">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261DE" w14:textId="5130636B" w:rsidR="00D806ED" w:rsidRDefault="00000000">
    <w:pPr>
      <w:pStyle w:val="Fuzeile"/>
      <w:ind w:right="360"/>
      <w:jc w:val="center"/>
    </w:pPr>
    <w:r>
      <w:tab/>
    </w:r>
    <w:r>
      <w:tab/>
    </w:r>
    <w:r w:rsidR="004E094B">
      <w:rPr>
        <w:noProof/>
      </w:rPr>
      <w:pict w14:anchorId="634DE775">
        <v:shapetype id="_x0000_t202" coordsize="21600,21600" o:spt="202" path="m,l,21600r21600,l21600,xe">
          <v:stroke joinstyle="miter"/>
          <v:path gradientshapeok="t" o:connecttype="rect"/>
        </v:shapetype>
        <v:shape id="Frame2" o:spid="_x0000_s1026" type="#_x0000_t202" style="position:absolute;left:0;text-align:left;margin-left:-38.95pt;margin-top:.05pt;width:12.25pt;height:30.65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" o:allowincell="f" stroked="f">
          <v:fill opacity="0"/>
          <v:textbox style="mso-fit-shape-to-text:t" inset="0,0,0,0">
            <w:txbxContent>
              <w:sdt>
                <w:sdtPr>
                  <w:id w:val="629293855"/>
                  <w:docPartObj>
                    <w:docPartGallery w:val="Page Numbers (Bottom of Page)"/>
                    <w:docPartUnique/>
                  </w:docPartObj>
                </w:sdtPr>
                <w:sdtContent>
                  <w:p w14:paraId="5263F3E2" w14:textId="77777777" w:rsidR="00D806ED" w:rsidRDefault="00000000">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t>35</w:t>
                    </w:r>
                    <w:r>
                      <w:rPr>
                        <w:rStyle w:val="Seitenzahl"/>
                      </w:rPr>
                      <w:fldChar w:fldCharType="end"/>
                    </w:r>
                  </w:p>
                </w:sdtContent>
              </w:sdt>
            </w:txbxContent>
          </v:textbox>
          <w10:wrap anchorx="margin"/>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25F7" w14:textId="4AC7C95D" w:rsidR="00D806ED" w:rsidRDefault="00000000">
    <w:pPr>
      <w:pStyle w:val="Fuzeile"/>
      <w:ind w:right="360"/>
      <w:jc w:val="center"/>
    </w:pPr>
    <w:r>
      <w:tab/>
    </w:r>
    <w:r>
      <w:tab/>
    </w:r>
    <w:r w:rsidR="004E094B">
      <w:rPr>
        <w:noProof/>
      </w:rPr>
      <w:pict w14:anchorId="3BDDEB4F">
        <v:shapetype id="_x0000_t202" coordsize="21600,21600" o:spt="202" path="m,l,21600r21600,l21600,xe">
          <v:stroke joinstyle="miter"/>
          <v:path gradientshapeok="t" o:connecttype="rect"/>
        </v:shapetype>
        <v:shape id="_x0000_s1025" type="#_x0000_t202" style="position:absolute;left:0;text-align:left;margin-left:-38.95pt;margin-top:.05pt;width:12.25pt;height:30.6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" o:allowincell="f" stroked="f">
          <v:fill opacity="0"/>
          <v:textbox style="mso-fit-shape-to-text:t" inset="0,0,0,0">
            <w:txbxContent>
              <w:sdt>
                <w:sdtPr>
                  <w:id w:val="1512483676"/>
                  <w:docPartObj>
                    <w:docPartGallery w:val="Page Numbers (Bottom of Page)"/>
                    <w:docPartUnique/>
                  </w:docPartObj>
                </w:sdtPr>
                <w:sdtContent>
                  <w:p w14:paraId="313180DD" w14:textId="77777777" w:rsidR="00D806ED" w:rsidRDefault="00000000">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t>35</w:t>
                    </w:r>
                    <w:r>
                      <w:rPr>
                        <w:rStyle w:val="Seitenzahl"/>
                      </w:rPr>
                      <w:fldChar w:fldCharType="end"/>
                    </w:r>
                  </w:p>
                </w:sdtContent>
              </w:sdt>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C0C14" w14:textId="77777777" w:rsidR="00382E3F" w:rsidRDefault="00382E3F">
      <w:pPr>
        <w:spacing w:before="0" w:after="0" w:line="240" w:lineRule="auto"/>
      </w:pPr>
      <w:r>
        <w:separator/>
      </w:r>
    </w:p>
  </w:footnote>
  <w:footnote w:type="continuationSeparator" w:id="0">
    <w:p w14:paraId="0EBE5262" w14:textId="77777777" w:rsidR="00382E3F" w:rsidRDefault="00382E3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6F41"/>
    <w:multiLevelType w:val="multilevel"/>
    <w:tmpl w:val="AA68F4A0"/>
    <w:lvl w:ilvl="0">
      <w:start w:val="1"/>
      <w:numFmt w:val="bullet"/>
      <w:pStyle w:val="Aufzhlungszeichen3"/>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58C0C18"/>
    <w:multiLevelType w:val="multilevel"/>
    <w:tmpl w:val="5DE0B3DA"/>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7B14DD6"/>
    <w:multiLevelType w:val="multilevel"/>
    <w:tmpl w:val="A11A0856"/>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5F85DEA"/>
    <w:multiLevelType w:val="multilevel"/>
    <w:tmpl w:val="289AECCE"/>
    <w:lvl w:ilvl="0">
      <w:start w:val="1"/>
      <w:numFmt w:val="decimal"/>
      <w:pStyle w:val="Anhang"/>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E250DE5"/>
    <w:multiLevelType w:val="multilevel"/>
    <w:tmpl w:val="905ECC6C"/>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5" w15:restartNumberingAfterBreak="0">
    <w:nsid w:val="2FB43B16"/>
    <w:multiLevelType w:val="multilevel"/>
    <w:tmpl w:val="F68284F2"/>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33F87FE5"/>
    <w:multiLevelType w:val="multilevel"/>
    <w:tmpl w:val="8C74CCB2"/>
    <w:lvl w:ilvl="0">
      <w:start w:val="1"/>
      <w:numFmt w:val="decimal"/>
      <w:lvlText w:val="%1"/>
      <w:lvlJc w:val="left"/>
      <w:pPr>
        <w:tabs>
          <w:tab w:val="num" w:pos="851"/>
        </w:tabs>
        <w:ind w:left="851" w:hanging="851"/>
      </w:pPr>
    </w:lvl>
    <w:lvl w:ilvl="1">
      <w:start w:val="1"/>
      <w:numFmt w:val="decimal"/>
      <w:lvlText w:val="%1.%2"/>
      <w:lvlJc w:val="left"/>
      <w:pPr>
        <w:tabs>
          <w:tab w:val="num" w:pos="851"/>
        </w:tabs>
        <w:ind w:left="851" w:hanging="851"/>
      </w:pPr>
      <w:rPr>
        <w:lang w:val="de-CH"/>
      </w:r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50F36A2"/>
    <w:multiLevelType w:val="multilevel"/>
    <w:tmpl w:val="63902962"/>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3781038B"/>
    <w:multiLevelType w:val="multilevel"/>
    <w:tmpl w:val="12327F48"/>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3860071D"/>
    <w:multiLevelType w:val="multilevel"/>
    <w:tmpl w:val="2EB6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307C9"/>
    <w:multiLevelType w:val="multilevel"/>
    <w:tmpl w:val="DB5CD2E2"/>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39B878AE"/>
    <w:multiLevelType w:val="multilevel"/>
    <w:tmpl w:val="EC4EFF0C"/>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3D855A5A"/>
    <w:multiLevelType w:val="multilevel"/>
    <w:tmpl w:val="D368D3B0"/>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3" w15:restartNumberingAfterBreak="0">
    <w:nsid w:val="5F0C075D"/>
    <w:multiLevelType w:val="multilevel"/>
    <w:tmpl w:val="44AE3E5C"/>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6AE4711D"/>
    <w:multiLevelType w:val="multilevel"/>
    <w:tmpl w:val="A6A46C3C"/>
    <w:lvl w:ilvl="0">
      <w:start w:val="1"/>
      <w:numFmt w:val="decimal"/>
      <w:pStyle w:val="berschrift1"/>
      <w:lvlText w:val="%1"/>
      <w:lvlJc w:val="left"/>
      <w:pPr>
        <w:tabs>
          <w:tab w:val="num" w:pos="851"/>
        </w:tabs>
        <w:ind w:left="851" w:hanging="851"/>
      </w:pPr>
    </w:lvl>
    <w:lvl w:ilvl="1">
      <w:start w:val="1"/>
      <w:numFmt w:val="decimal"/>
      <w:pStyle w:val="berschrift2"/>
      <w:lvlText w:val="%1.%2"/>
      <w:lvlJc w:val="left"/>
      <w:pPr>
        <w:tabs>
          <w:tab w:val="num" w:pos="851"/>
        </w:tabs>
        <w:ind w:left="851" w:hanging="851"/>
      </w:pPr>
      <w:rPr>
        <w:lang w:val="de-CH"/>
      </w:rPr>
    </w:lvl>
    <w:lvl w:ilvl="2">
      <w:start w:val="1"/>
      <w:numFmt w:val="decimal"/>
      <w:pStyle w:val="berschrift3"/>
      <w:lvlText w:val="%1.%2.%3"/>
      <w:lvlJc w:val="left"/>
      <w:pPr>
        <w:tabs>
          <w:tab w:val="num" w:pos="851"/>
        </w:tabs>
        <w:ind w:left="851" w:hanging="851"/>
      </w:pPr>
    </w:lvl>
    <w:lvl w:ilvl="3">
      <w:start w:val="1"/>
      <w:numFmt w:val="decimal"/>
      <w:pStyle w:val="berschrift4"/>
      <w:lvlText w:val="%1.%2.%3.%4"/>
      <w:lvlJc w:val="left"/>
      <w:pPr>
        <w:tabs>
          <w:tab w:val="num" w:pos="851"/>
        </w:tabs>
        <w:ind w:left="851" w:hanging="851"/>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35622515">
    <w:abstractNumId w:val="14"/>
  </w:num>
  <w:num w:numId="2" w16cid:durableId="1796605027">
    <w:abstractNumId w:val="3"/>
  </w:num>
  <w:num w:numId="3" w16cid:durableId="1276523898">
    <w:abstractNumId w:val="0"/>
  </w:num>
  <w:num w:numId="4" w16cid:durableId="1833983861">
    <w:abstractNumId w:val="7"/>
  </w:num>
  <w:num w:numId="5" w16cid:durableId="1723554447">
    <w:abstractNumId w:val="12"/>
  </w:num>
  <w:num w:numId="6" w16cid:durableId="231695150">
    <w:abstractNumId w:val="11"/>
  </w:num>
  <w:num w:numId="7" w16cid:durableId="549074205">
    <w:abstractNumId w:val="2"/>
  </w:num>
  <w:num w:numId="8" w16cid:durableId="522977965">
    <w:abstractNumId w:val="4"/>
  </w:num>
  <w:num w:numId="9" w16cid:durableId="42601484">
    <w:abstractNumId w:val="8"/>
  </w:num>
  <w:num w:numId="10" w16cid:durableId="320619798">
    <w:abstractNumId w:val="10"/>
  </w:num>
  <w:num w:numId="11" w16cid:durableId="209417837">
    <w:abstractNumId w:val="5"/>
  </w:num>
  <w:num w:numId="12" w16cid:durableId="590240003">
    <w:abstractNumId w:val="13"/>
  </w:num>
  <w:num w:numId="13" w16cid:durableId="1391268820">
    <w:abstractNumId w:val="1"/>
  </w:num>
  <w:num w:numId="14" w16cid:durableId="1981574108">
    <w:abstractNumId w:val="6"/>
  </w:num>
  <w:num w:numId="15" w16cid:durableId="1843011280">
    <w:abstractNumId w:val="12"/>
    <w:lvlOverride w:ilvl="0">
      <w:startOverride w:val="1"/>
    </w:lvlOverride>
  </w:num>
  <w:num w:numId="16" w16cid:durableId="22488404">
    <w:abstractNumId w:val="12"/>
    <w:lvlOverride w:ilvl="0">
      <w:startOverride w:val="1"/>
    </w:lvlOverride>
  </w:num>
  <w:num w:numId="17" w16cid:durableId="19612566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09"/>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806ED"/>
    <w:rsid w:val="000F4A22"/>
    <w:rsid w:val="002011C0"/>
    <w:rsid w:val="00212347"/>
    <w:rsid w:val="00295283"/>
    <w:rsid w:val="002C6413"/>
    <w:rsid w:val="002E3E0A"/>
    <w:rsid w:val="002F6369"/>
    <w:rsid w:val="00382E3F"/>
    <w:rsid w:val="004E094B"/>
    <w:rsid w:val="0059034D"/>
    <w:rsid w:val="005D5CF9"/>
    <w:rsid w:val="00663197"/>
    <w:rsid w:val="00765110"/>
    <w:rsid w:val="0082338D"/>
    <w:rsid w:val="008E7E4B"/>
    <w:rsid w:val="009836B1"/>
    <w:rsid w:val="009B6A77"/>
    <w:rsid w:val="009E7BB2"/>
    <w:rsid w:val="00A40FB6"/>
    <w:rsid w:val="00A92AC7"/>
    <w:rsid w:val="00AE2CD1"/>
    <w:rsid w:val="00BA0CF6"/>
    <w:rsid w:val="00C736D5"/>
    <w:rsid w:val="00C839AD"/>
    <w:rsid w:val="00CC465E"/>
    <w:rsid w:val="00D102EA"/>
    <w:rsid w:val="00D806ED"/>
    <w:rsid w:val="00DB6CAA"/>
    <w:rsid w:val="00DB7970"/>
    <w:rsid w:val="00DC1EB7"/>
    <w:rsid w:val="00EB5B46"/>
    <w:rsid w:val="00EF4603"/>
    <w:rsid w:val="00F14024"/>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E709E"/>
  <w15:docId w15:val="{991ED304-AD8A-4E60-8D33-5DB2C2C20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de-CH" w:eastAsia="en-US" w:bidi="ar-SA"/>
      </w:rPr>
    </w:rPrDefault>
    <w:pPrDefault>
      <w:pPr>
        <w:suppressAutoHyphens/>
      </w:pPr>
    </w:pPrDefault>
  </w:docDefaults>
  <w:latentStyles w:defLockedState="0" w:defUIPriority="0" w:defSemiHidden="0" w:defUnhideWhenUsed="0" w:defQFormat="0" w:count="376">
    <w:lsdException w:name="heading 1" w:uiPriority="99" w:qFormat="1"/>
    <w:lsdException w:name="heading 2" w:uiPriority="99" w:qFormat="1"/>
    <w:lsdException w:name="heading 3" w:uiPriority="99" w:qFormat="1"/>
    <w:lsdException w:name="heading 4" w:uiPriority="99"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9502E"/>
    <w:pPr>
      <w:spacing w:before="360" w:after="240" w:line="276" w:lineRule="auto"/>
    </w:pPr>
    <w:rPr>
      <w:rFonts w:ascii="Arial" w:hAnsi="Arial"/>
    </w:rPr>
  </w:style>
  <w:style w:type="paragraph" w:styleId="berschrift1">
    <w:name w:val="heading 1"/>
    <w:basedOn w:val="Standard"/>
    <w:next w:val="Standard"/>
    <w:link w:val="berschrift1Zchn"/>
    <w:uiPriority w:val="99"/>
    <w:qFormat/>
    <w:rsid w:val="0003041C"/>
    <w:pPr>
      <w:keepNext/>
      <w:numPr>
        <w:numId w:val="1"/>
      </w:numPr>
      <w:pBdr>
        <w:bottom w:val="single" w:sz="4" w:space="1" w:color="000000"/>
      </w:pBdr>
      <w:spacing w:before="480" w:line="240" w:lineRule="auto"/>
      <w:contextualSpacing/>
      <w:outlineLvl w:val="0"/>
    </w:pPr>
    <w:rPr>
      <w:smallCaps/>
      <w:color w:val="365F91"/>
      <w:sz w:val="52"/>
      <w:szCs w:val="36"/>
    </w:rPr>
  </w:style>
  <w:style w:type="paragraph" w:styleId="berschrift2">
    <w:name w:val="heading 2"/>
    <w:basedOn w:val="Standard"/>
    <w:next w:val="Standard"/>
    <w:link w:val="berschrift2Zchn"/>
    <w:uiPriority w:val="99"/>
    <w:unhideWhenUsed/>
    <w:qFormat/>
    <w:rsid w:val="008F20C9"/>
    <w:pPr>
      <w:keepNext/>
      <w:numPr>
        <w:ilvl w:val="1"/>
        <w:numId w:val="1"/>
      </w:numPr>
      <w:spacing w:before="240" w:after="0" w:line="271" w:lineRule="auto"/>
      <w:outlineLvl w:val="1"/>
    </w:pPr>
    <w:rPr>
      <w:smallCaps/>
      <w:color w:val="4F81BD"/>
      <w:sz w:val="32"/>
      <w:szCs w:val="28"/>
    </w:rPr>
  </w:style>
  <w:style w:type="paragraph" w:styleId="berschrift3">
    <w:name w:val="heading 3"/>
    <w:basedOn w:val="Standard"/>
    <w:next w:val="Standard"/>
    <w:link w:val="berschrift3Zchn"/>
    <w:uiPriority w:val="99"/>
    <w:unhideWhenUsed/>
    <w:qFormat/>
    <w:rsid w:val="008F20C9"/>
    <w:pPr>
      <w:keepNext/>
      <w:numPr>
        <w:ilvl w:val="2"/>
        <w:numId w:val="1"/>
      </w:numPr>
      <w:spacing w:before="200" w:after="0" w:line="271" w:lineRule="auto"/>
      <w:outlineLvl w:val="2"/>
    </w:pPr>
    <w:rPr>
      <w:iCs/>
      <w:smallCaps/>
      <w:color w:val="4F81BD"/>
      <w:spacing w:val="5"/>
      <w:sz w:val="28"/>
      <w:szCs w:val="26"/>
    </w:rPr>
  </w:style>
  <w:style w:type="paragraph" w:styleId="berschrift4">
    <w:name w:val="heading 4"/>
    <w:basedOn w:val="Standard"/>
    <w:next w:val="Standard"/>
    <w:link w:val="berschrift4Zchn"/>
    <w:uiPriority w:val="99"/>
    <w:unhideWhenUsed/>
    <w:qFormat/>
    <w:rsid w:val="00E71E14"/>
    <w:pPr>
      <w:keepNext/>
      <w:numPr>
        <w:ilvl w:val="3"/>
        <w:numId w:val="1"/>
      </w:numPr>
      <w:spacing w:before="120" w:after="0" w:line="240" w:lineRule="auto"/>
      <w:outlineLvl w:val="3"/>
    </w:pPr>
    <w:rPr>
      <w:bCs/>
      <w:i/>
      <w:smallCaps/>
      <w:color w:val="4F81BD"/>
      <w:spacing w:val="5"/>
      <w:szCs w:val="24"/>
    </w:rPr>
  </w:style>
  <w:style w:type="paragraph" w:styleId="berschrift5">
    <w:name w:val="heading 5"/>
    <w:basedOn w:val="Standard"/>
    <w:next w:val="Standard"/>
    <w:link w:val="berschrift5Zchn"/>
    <w:uiPriority w:val="9"/>
    <w:unhideWhenUsed/>
    <w:qFormat/>
    <w:rsid w:val="00EF5001"/>
    <w:pPr>
      <w:spacing w:line="271" w:lineRule="auto"/>
      <w:outlineLvl w:val="4"/>
    </w:pPr>
    <w:rPr>
      <w:i/>
      <w:iCs/>
      <w:szCs w:val="24"/>
    </w:rPr>
  </w:style>
  <w:style w:type="paragraph" w:styleId="berschrift6">
    <w:name w:val="heading 6"/>
    <w:basedOn w:val="Standard"/>
    <w:next w:val="Standard"/>
    <w:link w:val="berschrift6Zchn"/>
    <w:uiPriority w:val="9"/>
    <w:unhideWhenUsed/>
    <w:qFormat/>
    <w:rsid w:val="00EF5001"/>
    <w:pPr>
      <w:shd w:val="clear" w:color="auto" w:fill="FFFFFF" w:themeFill="background1"/>
      <w:spacing w:line="271" w:lineRule="auto"/>
      <w:outlineLvl w:val="5"/>
    </w:pPr>
    <w:rPr>
      <w:b/>
      <w:bCs/>
      <w:color w:val="595959" w:themeColor="text1" w:themeTint="A6"/>
      <w:spacing w:val="5"/>
    </w:rPr>
  </w:style>
  <w:style w:type="paragraph" w:styleId="berschrift7">
    <w:name w:val="heading 7"/>
    <w:basedOn w:val="Standard"/>
    <w:next w:val="Standard"/>
    <w:link w:val="berschrift7Zchn"/>
    <w:uiPriority w:val="9"/>
    <w:semiHidden/>
    <w:unhideWhenUsed/>
    <w:qFormat/>
    <w:rsid w:val="00EF5001"/>
    <w:pPr>
      <w:outlineLvl w:val="6"/>
    </w:pPr>
    <w:rPr>
      <w:b/>
      <w:bCs/>
      <w:i/>
      <w:iCs/>
      <w:color w:val="5A5A5A" w:themeColor="text1" w:themeTint="A5"/>
      <w:sz w:val="20"/>
      <w:szCs w:val="20"/>
    </w:rPr>
  </w:style>
  <w:style w:type="paragraph" w:styleId="berschrift8">
    <w:name w:val="heading 8"/>
    <w:basedOn w:val="Standard"/>
    <w:next w:val="Standard"/>
    <w:link w:val="berschrift8Zchn"/>
    <w:uiPriority w:val="9"/>
    <w:semiHidden/>
    <w:unhideWhenUsed/>
    <w:qFormat/>
    <w:rsid w:val="00EF5001"/>
    <w:pPr>
      <w:outlineLvl w:val="7"/>
    </w:pPr>
    <w:rPr>
      <w:b/>
      <w:bCs/>
      <w:color w:val="7F7F7F" w:themeColor="text1" w:themeTint="80"/>
      <w:sz w:val="20"/>
      <w:szCs w:val="20"/>
    </w:rPr>
  </w:style>
  <w:style w:type="paragraph" w:styleId="berschrift9">
    <w:name w:val="heading 9"/>
    <w:basedOn w:val="berschrift1"/>
    <w:next w:val="Standard"/>
    <w:link w:val="berschrift9Zchn"/>
    <w:uiPriority w:val="9"/>
    <w:semiHidden/>
    <w:qFormat/>
    <w:rsid w:val="004B194A"/>
    <w:pPr>
      <w:outlineLvl w:val="8"/>
    </w:p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9"/>
    <w:qFormat/>
    <w:rsid w:val="0003041C"/>
    <w:rPr>
      <w:rFonts w:asciiTheme="minorHAnsi" w:hAnsiTheme="minorHAnsi"/>
      <w:smallCaps/>
      <w:color w:val="365F91"/>
      <w:sz w:val="52"/>
      <w:szCs w:val="36"/>
      <w:lang w:val="de-CH"/>
    </w:rPr>
  </w:style>
  <w:style w:type="character" w:customStyle="1" w:styleId="berschrift2Zchn">
    <w:name w:val="Überschrift 2 Zchn"/>
    <w:basedOn w:val="Absatz-Standardschriftart"/>
    <w:link w:val="berschrift2"/>
    <w:uiPriority w:val="99"/>
    <w:qFormat/>
    <w:rsid w:val="008F20C9"/>
    <w:rPr>
      <w:rFonts w:asciiTheme="minorHAnsi" w:hAnsiTheme="minorHAnsi"/>
      <w:smallCaps/>
      <w:color w:val="4F81BD"/>
      <w:sz w:val="32"/>
      <w:szCs w:val="28"/>
      <w:lang w:val="de-CH"/>
    </w:rPr>
  </w:style>
  <w:style w:type="character" w:customStyle="1" w:styleId="berschrift3Zchn">
    <w:name w:val="Überschrift 3 Zchn"/>
    <w:basedOn w:val="Absatz-Standardschriftart"/>
    <w:link w:val="berschrift3"/>
    <w:uiPriority w:val="99"/>
    <w:qFormat/>
    <w:rsid w:val="008F20C9"/>
    <w:rPr>
      <w:rFonts w:asciiTheme="minorHAnsi" w:hAnsiTheme="minorHAnsi"/>
      <w:iCs/>
      <w:smallCaps/>
      <w:color w:val="4F81BD"/>
      <w:spacing w:val="5"/>
      <w:sz w:val="28"/>
      <w:szCs w:val="26"/>
      <w:lang w:val="de-CH"/>
    </w:rPr>
  </w:style>
  <w:style w:type="character" w:customStyle="1" w:styleId="berschrift4Zchn">
    <w:name w:val="Überschrift 4 Zchn"/>
    <w:basedOn w:val="Absatz-Standardschriftart"/>
    <w:link w:val="berschrift4"/>
    <w:uiPriority w:val="99"/>
    <w:qFormat/>
    <w:rsid w:val="00E71E14"/>
    <w:rPr>
      <w:rFonts w:asciiTheme="minorHAnsi" w:hAnsiTheme="minorHAnsi"/>
      <w:bCs/>
      <w:i/>
      <w:smallCaps/>
      <w:color w:val="4F81BD"/>
      <w:spacing w:val="5"/>
      <w:sz w:val="23"/>
      <w:szCs w:val="24"/>
      <w:lang w:val="de-CH"/>
    </w:rPr>
  </w:style>
  <w:style w:type="character" w:customStyle="1" w:styleId="berschrift5Zchn">
    <w:name w:val="Überschrift 5 Zchn"/>
    <w:basedOn w:val="Absatz-Standardschriftart"/>
    <w:link w:val="berschrift5"/>
    <w:uiPriority w:val="9"/>
    <w:qFormat/>
    <w:rsid w:val="00EF5001"/>
    <w:rPr>
      <w:i/>
      <w:iCs/>
      <w:sz w:val="24"/>
      <w:szCs w:val="24"/>
    </w:rPr>
  </w:style>
  <w:style w:type="character" w:customStyle="1" w:styleId="berschrift6Zchn">
    <w:name w:val="Überschrift 6 Zchn"/>
    <w:basedOn w:val="Absatz-Standardschriftart"/>
    <w:link w:val="berschrift6"/>
    <w:uiPriority w:val="9"/>
    <w:qFormat/>
    <w:rsid w:val="00EF5001"/>
    <w:rPr>
      <w:b/>
      <w:bCs/>
      <w:color w:val="595959" w:themeColor="text1" w:themeTint="A6"/>
      <w:spacing w:val="5"/>
      <w:shd w:val="clear" w:color="auto" w:fill="FFFFFF"/>
    </w:rPr>
  </w:style>
  <w:style w:type="character" w:customStyle="1" w:styleId="berschrift7Zchn">
    <w:name w:val="Überschrift 7 Zchn"/>
    <w:basedOn w:val="Absatz-Standardschriftart"/>
    <w:link w:val="berschrift7"/>
    <w:uiPriority w:val="9"/>
    <w:semiHidden/>
    <w:qFormat/>
    <w:rsid w:val="00EF5001"/>
    <w:rPr>
      <w:b/>
      <w:bCs/>
      <w:i/>
      <w:iCs/>
      <w:color w:val="5A5A5A" w:themeColor="text1" w:themeTint="A5"/>
      <w:sz w:val="20"/>
      <w:szCs w:val="20"/>
    </w:rPr>
  </w:style>
  <w:style w:type="character" w:customStyle="1" w:styleId="berschrift8Zchn">
    <w:name w:val="Überschrift 8 Zchn"/>
    <w:basedOn w:val="Absatz-Standardschriftart"/>
    <w:link w:val="berschrift8"/>
    <w:uiPriority w:val="9"/>
    <w:semiHidden/>
    <w:qFormat/>
    <w:rsid w:val="00EF5001"/>
    <w:rPr>
      <w:b/>
      <w:bCs/>
      <w:color w:val="7F7F7F" w:themeColor="text1" w:themeTint="80"/>
      <w:sz w:val="20"/>
      <w:szCs w:val="20"/>
    </w:rPr>
  </w:style>
  <w:style w:type="character" w:customStyle="1" w:styleId="berschrift9Zchn">
    <w:name w:val="Überschrift 9 Zchn"/>
    <w:basedOn w:val="Absatz-Standardschriftart"/>
    <w:link w:val="berschrift9"/>
    <w:uiPriority w:val="9"/>
    <w:semiHidden/>
    <w:qFormat/>
    <w:rsid w:val="004B194A"/>
    <w:rPr>
      <w:rFonts w:asciiTheme="minorHAnsi" w:hAnsiTheme="minorHAnsi"/>
      <w:smallCaps/>
      <w:sz w:val="52"/>
      <w:szCs w:val="36"/>
      <w:lang w:val="de-CH"/>
    </w:rPr>
  </w:style>
  <w:style w:type="character" w:customStyle="1" w:styleId="TitelZchn">
    <w:name w:val="Titel Zchn"/>
    <w:basedOn w:val="Absatz-Standardschriftart"/>
    <w:link w:val="Titel"/>
    <w:uiPriority w:val="10"/>
    <w:qFormat/>
    <w:rsid w:val="00854B4F"/>
    <w:rPr>
      <w:rFonts w:asciiTheme="minorHAnsi" w:hAnsiTheme="minorHAnsi"/>
      <w:smallCaps/>
      <w:sz w:val="52"/>
      <w:szCs w:val="52"/>
    </w:rPr>
  </w:style>
  <w:style w:type="character" w:customStyle="1" w:styleId="UntertitelZchn">
    <w:name w:val="Untertitel Zchn"/>
    <w:basedOn w:val="Absatz-Standardschriftart"/>
    <w:link w:val="Untertitel"/>
    <w:uiPriority w:val="11"/>
    <w:qFormat/>
    <w:rsid w:val="004B6500"/>
    <w:rPr>
      <w:rFonts w:ascii="Times New Roman" w:hAnsi="Times New Roman"/>
      <w:iCs/>
      <w:smallCaps/>
      <w:sz w:val="36"/>
      <w:szCs w:val="28"/>
    </w:rPr>
  </w:style>
  <w:style w:type="character" w:styleId="Fett">
    <w:name w:val="Strong"/>
    <w:uiPriority w:val="22"/>
    <w:qFormat/>
    <w:rsid w:val="00EF5001"/>
    <w:rPr>
      <w:b/>
      <w:bCs/>
    </w:rPr>
  </w:style>
  <w:style w:type="character" w:styleId="Hervorhebung">
    <w:name w:val="Emphasis"/>
    <w:uiPriority w:val="20"/>
    <w:qFormat/>
    <w:rsid w:val="00EF5001"/>
    <w:rPr>
      <w:b/>
      <w:bCs/>
      <w:i/>
      <w:iCs/>
      <w:spacing w:val="10"/>
    </w:rPr>
  </w:style>
  <w:style w:type="character" w:customStyle="1" w:styleId="ZitatZchn">
    <w:name w:val="Zitat Zchn"/>
    <w:basedOn w:val="Absatz-Standardschriftart"/>
    <w:link w:val="Zitat"/>
    <w:uiPriority w:val="29"/>
    <w:qFormat/>
    <w:rsid w:val="00EF5001"/>
    <w:rPr>
      <w:i/>
      <w:iCs/>
    </w:rPr>
  </w:style>
  <w:style w:type="character" w:customStyle="1" w:styleId="IntensivesZitatZchn">
    <w:name w:val="Intensives Zitat Zchn"/>
    <w:basedOn w:val="Absatz-Standardschriftart"/>
    <w:link w:val="IntensivesZitat"/>
    <w:uiPriority w:val="30"/>
    <w:qFormat/>
    <w:rsid w:val="009423E1"/>
    <w:rPr>
      <w:rFonts w:ascii="Courier New" w:hAnsi="Courier New"/>
      <w:iCs/>
      <w:sz w:val="16"/>
    </w:rPr>
  </w:style>
  <w:style w:type="character" w:styleId="SchwacheHervorhebung">
    <w:name w:val="Subtle Emphasis"/>
    <w:uiPriority w:val="19"/>
    <w:qFormat/>
    <w:rsid w:val="00EF5001"/>
    <w:rPr>
      <w:i/>
      <w:iCs/>
    </w:rPr>
  </w:style>
  <w:style w:type="character" w:styleId="IntensiveHervorhebung">
    <w:name w:val="Intense Emphasis"/>
    <w:uiPriority w:val="21"/>
    <w:qFormat/>
    <w:rsid w:val="00EF5001"/>
    <w:rPr>
      <w:b/>
      <w:bCs/>
      <w:i/>
      <w:iCs/>
    </w:rPr>
  </w:style>
  <w:style w:type="character" w:styleId="SchwacherVerweis">
    <w:name w:val="Subtle Reference"/>
    <w:basedOn w:val="Absatz-Standardschriftart"/>
    <w:uiPriority w:val="31"/>
    <w:qFormat/>
    <w:rsid w:val="00EF5001"/>
    <w:rPr>
      <w:smallCaps/>
    </w:rPr>
  </w:style>
  <w:style w:type="character" w:styleId="IntensiverVerweis">
    <w:name w:val="Intense Reference"/>
    <w:uiPriority w:val="32"/>
    <w:qFormat/>
    <w:rsid w:val="00EF5001"/>
    <w:rPr>
      <w:b/>
      <w:bCs/>
      <w:smallCaps/>
    </w:rPr>
  </w:style>
  <w:style w:type="character" w:styleId="Buchtitel">
    <w:name w:val="Book Title"/>
    <w:basedOn w:val="Absatz-Standardschriftart"/>
    <w:uiPriority w:val="33"/>
    <w:qFormat/>
    <w:rsid w:val="00EF5001"/>
    <w:rPr>
      <w:i/>
      <w:iCs/>
      <w:smallCaps/>
      <w:spacing w:val="5"/>
    </w:rPr>
  </w:style>
  <w:style w:type="character" w:styleId="Hyperlink">
    <w:name w:val="Hyperlink"/>
    <w:basedOn w:val="Absatz-Standardschriftart"/>
    <w:uiPriority w:val="99"/>
    <w:unhideWhenUsed/>
    <w:rsid w:val="00EF5001"/>
    <w:rPr>
      <w:color w:val="0000FF" w:themeColor="hyperlink"/>
      <w:u w:val="single"/>
    </w:rPr>
  </w:style>
  <w:style w:type="character" w:customStyle="1" w:styleId="SprechblasentextZchn">
    <w:name w:val="Sprechblasentext Zchn"/>
    <w:basedOn w:val="Absatz-Standardschriftart"/>
    <w:link w:val="Sprechblasentext"/>
    <w:uiPriority w:val="99"/>
    <w:semiHidden/>
    <w:qFormat/>
    <w:rsid w:val="00EF5001"/>
    <w:rPr>
      <w:rFonts w:ascii="Tahoma" w:hAnsi="Tahoma" w:cs="Tahoma"/>
      <w:sz w:val="16"/>
      <w:szCs w:val="16"/>
    </w:rPr>
  </w:style>
  <w:style w:type="character" w:customStyle="1" w:styleId="KeinLeerraumZchn">
    <w:name w:val="Kein Leerraum Zchn"/>
    <w:basedOn w:val="Absatz-Standardschriftart"/>
    <w:link w:val="KeinLeerraum"/>
    <w:uiPriority w:val="1"/>
    <w:qFormat/>
    <w:rsid w:val="00854B4F"/>
    <w:rPr>
      <w:rFonts w:asciiTheme="minorHAnsi" w:hAnsiTheme="minorHAnsi"/>
      <w:sz w:val="24"/>
    </w:rPr>
  </w:style>
  <w:style w:type="character" w:customStyle="1" w:styleId="KopfzeileZchn">
    <w:name w:val="Kopfzeile Zchn"/>
    <w:basedOn w:val="Absatz-Standardschriftart"/>
    <w:link w:val="Kopfzeile"/>
    <w:uiPriority w:val="99"/>
    <w:qFormat/>
    <w:rsid w:val="00C4414A"/>
  </w:style>
  <w:style w:type="character" w:customStyle="1" w:styleId="FuzeileZchn">
    <w:name w:val="Fußzeile Zchn"/>
    <w:basedOn w:val="Absatz-Standardschriftart"/>
    <w:link w:val="Fuzeile"/>
    <w:uiPriority w:val="99"/>
    <w:qFormat/>
    <w:rsid w:val="00C4414A"/>
  </w:style>
  <w:style w:type="character" w:customStyle="1" w:styleId="DokumentstrukturZchn">
    <w:name w:val="Dokumentstruktur Zchn"/>
    <w:basedOn w:val="Absatz-Standardschriftart"/>
    <w:link w:val="Dokumentstruktur"/>
    <w:uiPriority w:val="99"/>
    <w:semiHidden/>
    <w:qFormat/>
    <w:rsid w:val="00B17277"/>
    <w:rPr>
      <w:rFonts w:ascii="Tahoma" w:hAnsi="Tahoma" w:cs="Tahoma"/>
      <w:sz w:val="16"/>
      <w:szCs w:val="16"/>
    </w:rPr>
  </w:style>
  <w:style w:type="character" w:styleId="Kommentarzeichen">
    <w:name w:val="annotation reference"/>
    <w:basedOn w:val="Absatz-Standardschriftart"/>
    <w:uiPriority w:val="99"/>
    <w:semiHidden/>
    <w:unhideWhenUsed/>
    <w:qFormat/>
    <w:rsid w:val="00400A86"/>
    <w:rPr>
      <w:sz w:val="16"/>
      <w:szCs w:val="16"/>
    </w:rPr>
  </w:style>
  <w:style w:type="character" w:customStyle="1" w:styleId="KommentartextZchn">
    <w:name w:val="Kommentartext Zchn"/>
    <w:basedOn w:val="Absatz-Standardschriftart"/>
    <w:link w:val="Kommentartext"/>
    <w:uiPriority w:val="99"/>
    <w:semiHidden/>
    <w:qFormat/>
    <w:rsid w:val="00400A86"/>
    <w:rPr>
      <w:sz w:val="20"/>
      <w:szCs w:val="20"/>
    </w:rPr>
  </w:style>
  <w:style w:type="character" w:customStyle="1" w:styleId="KommentarthemaZchn">
    <w:name w:val="Kommentarthema Zchn"/>
    <w:basedOn w:val="KommentartextZchn"/>
    <w:link w:val="Kommentarthema"/>
    <w:uiPriority w:val="99"/>
    <w:semiHidden/>
    <w:qFormat/>
    <w:rsid w:val="00400A86"/>
    <w:rPr>
      <w:b/>
      <w:bCs/>
      <w:sz w:val="20"/>
      <w:szCs w:val="20"/>
    </w:rPr>
  </w:style>
  <w:style w:type="character" w:customStyle="1" w:styleId="EndnotentextZchn">
    <w:name w:val="Endnotentext Zchn"/>
    <w:basedOn w:val="Absatz-Standardschriftart"/>
    <w:link w:val="Endnotentext"/>
    <w:uiPriority w:val="99"/>
    <w:semiHidden/>
    <w:qFormat/>
    <w:rsid w:val="001D77EF"/>
    <w:rPr>
      <w:rFonts w:ascii="Times New Roman" w:hAnsi="Times New Roman"/>
      <w:sz w:val="20"/>
      <w:szCs w:val="20"/>
    </w:rPr>
  </w:style>
  <w:style w:type="character" w:customStyle="1" w:styleId="EndnoteCharacters">
    <w:name w:val="Endnote Characters"/>
    <w:basedOn w:val="Absatz-Standardschriftart"/>
    <w:uiPriority w:val="99"/>
    <w:semiHidden/>
    <w:unhideWhenUsed/>
    <w:qFormat/>
    <w:rsid w:val="001D77EF"/>
    <w:rPr>
      <w:vertAlign w:val="superscript"/>
    </w:rPr>
  </w:style>
  <w:style w:type="character" w:styleId="Endnotenzeichen">
    <w:name w:val="endnote reference"/>
    <w:rPr>
      <w:vertAlign w:val="superscript"/>
    </w:rPr>
  </w:style>
  <w:style w:type="character" w:customStyle="1" w:styleId="FunotentextZchn">
    <w:name w:val="Fußnotentext Zchn"/>
    <w:basedOn w:val="Absatz-Standardschriftart"/>
    <w:link w:val="Funotentext"/>
    <w:uiPriority w:val="99"/>
    <w:semiHidden/>
    <w:qFormat/>
    <w:rsid w:val="00B50CD7"/>
    <w:rPr>
      <w:rFonts w:asciiTheme="minorHAnsi" w:hAnsiTheme="minorHAnsi"/>
      <w:sz w:val="20"/>
      <w:szCs w:val="20"/>
      <w:lang w:val="de-CH"/>
    </w:rPr>
  </w:style>
  <w:style w:type="character" w:customStyle="1" w:styleId="FootnoteCharacters">
    <w:name w:val="Footnote Characters"/>
    <w:basedOn w:val="Absatz-Standardschriftart"/>
    <w:uiPriority w:val="99"/>
    <w:semiHidden/>
    <w:unhideWhenUsed/>
    <w:qFormat/>
    <w:rsid w:val="005C6180"/>
    <w:rPr>
      <w:vertAlign w:val="superscript"/>
    </w:rPr>
  </w:style>
  <w:style w:type="character" w:styleId="Funotenzeichen">
    <w:name w:val="footnote reference"/>
    <w:rPr>
      <w:vertAlign w:val="superscript"/>
    </w:rPr>
  </w:style>
  <w:style w:type="character" w:styleId="Platzhaltertext">
    <w:name w:val="Placeholder Text"/>
    <w:basedOn w:val="Absatz-Standardschriftart"/>
    <w:uiPriority w:val="99"/>
    <w:semiHidden/>
    <w:qFormat/>
    <w:rsid w:val="00422615"/>
    <w:rPr>
      <w:color w:val="808080"/>
    </w:rPr>
  </w:style>
  <w:style w:type="character" w:styleId="BesuchterLink">
    <w:name w:val="FollowedHyperlink"/>
    <w:basedOn w:val="Absatz-Standardschriftart"/>
    <w:uiPriority w:val="99"/>
    <w:semiHidden/>
    <w:unhideWhenUsed/>
    <w:rsid w:val="003104AC"/>
    <w:rPr>
      <w:color w:val="800080" w:themeColor="followedHyperlink"/>
      <w:u w:val="single"/>
    </w:rPr>
  </w:style>
  <w:style w:type="character" w:customStyle="1" w:styleId="bc">
    <w:name w:val="bc"/>
    <w:basedOn w:val="Absatz-Standardschriftart"/>
    <w:qFormat/>
    <w:rsid w:val="008D2975"/>
  </w:style>
  <w:style w:type="character" w:customStyle="1" w:styleId="BodyTextChar">
    <w:name w:val="Body Text Char"/>
    <w:basedOn w:val="Absatz-Standardschriftart"/>
    <w:semiHidden/>
    <w:qFormat/>
    <w:rsid w:val="00572598"/>
    <w:rPr>
      <w:rFonts w:asciiTheme="minorHAnsi" w:hAnsiTheme="minorHAnsi"/>
      <w:sz w:val="23"/>
      <w:lang w:val="de-CH"/>
    </w:rPr>
  </w:style>
  <w:style w:type="character" w:customStyle="1" w:styleId="Textkrper-ErstzeileneinzugZchn">
    <w:name w:val="Textkörper-Erstzeileneinzug Zchn"/>
    <w:basedOn w:val="BodyTextChar"/>
    <w:link w:val="Textkrper-Erstzeileneinzug"/>
    <w:qFormat/>
    <w:rsid w:val="00572598"/>
    <w:rPr>
      <w:rFonts w:asciiTheme="minorHAnsi" w:hAnsiTheme="minorHAnsi"/>
      <w:sz w:val="23"/>
      <w:lang w:val="de-CH"/>
    </w:rPr>
  </w:style>
  <w:style w:type="character" w:styleId="Seitenzahl">
    <w:name w:val="page number"/>
    <w:basedOn w:val="Absatz-Standardschriftart"/>
    <w:semiHidden/>
    <w:unhideWhenUsed/>
    <w:rsid w:val="008F7869"/>
  </w:style>
  <w:style w:type="character" w:customStyle="1" w:styleId="apple-converted-space">
    <w:name w:val="apple-converted-space"/>
    <w:basedOn w:val="Absatz-Standardschriftart"/>
    <w:qFormat/>
    <w:rsid w:val="002C3479"/>
  </w:style>
  <w:style w:type="character" w:styleId="NichtaufgelsteErwhnung">
    <w:name w:val="Unresolved Mention"/>
    <w:basedOn w:val="Absatz-Standardschriftart"/>
    <w:uiPriority w:val="99"/>
    <w:semiHidden/>
    <w:unhideWhenUsed/>
    <w:qFormat/>
    <w:rsid w:val="007D444E"/>
    <w:rPr>
      <w:color w:val="605E5C"/>
      <w:shd w:val="clear" w:color="auto" w:fill="E1DFDD"/>
    </w:rPr>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 w:type="character" w:customStyle="1" w:styleId="IndexLink">
    <w:name w:val="Index Link"/>
    <w:qFormat/>
  </w:style>
  <w:style w:type="paragraph" w:customStyle="1" w:styleId="Heading">
    <w:name w:val="Heading"/>
    <w:basedOn w:val="Standard"/>
    <w:next w:val="Textkrper"/>
    <w:qFormat/>
    <w:pPr>
      <w:keepNext/>
      <w:spacing w:before="240" w:after="120"/>
    </w:pPr>
    <w:rPr>
      <w:rFonts w:ascii="Liberation Sans" w:eastAsia="Noto Sans" w:hAnsi="Liberation Sans" w:cs="Noto Sans"/>
      <w:sz w:val="28"/>
      <w:szCs w:val="28"/>
    </w:rPr>
  </w:style>
  <w:style w:type="paragraph" w:styleId="Textkrper">
    <w:name w:val="Body Text"/>
    <w:basedOn w:val="Standard"/>
    <w:link w:val="TextkrperZchn"/>
    <w:qFormat/>
    <w:pPr>
      <w:spacing w:before="0" w:after="160" w:line="288" w:lineRule="auto"/>
      <w:jc w:val="both"/>
    </w:pPr>
  </w:style>
  <w:style w:type="paragraph" w:styleId="Liste">
    <w:name w:val="List"/>
    <w:basedOn w:val="Textkrper"/>
  </w:style>
  <w:style w:type="paragraph" w:styleId="Beschriftung">
    <w:name w:val="caption"/>
    <w:basedOn w:val="Standard"/>
    <w:next w:val="Standard"/>
    <w:uiPriority w:val="35"/>
    <w:unhideWhenUsed/>
    <w:qFormat/>
    <w:rsid w:val="00282183"/>
    <w:pPr>
      <w:spacing w:before="120"/>
    </w:pPr>
    <w:rPr>
      <w:b/>
      <w:bCs/>
      <w:color w:val="000000" w:themeColor="text1"/>
      <w:sz w:val="18"/>
      <w:szCs w:val="18"/>
    </w:rPr>
  </w:style>
  <w:style w:type="paragraph" w:customStyle="1" w:styleId="Index">
    <w:name w:val="Index"/>
    <w:basedOn w:val="Standard"/>
    <w:qFormat/>
    <w:pPr>
      <w:suppressLineNumbers/>
    </w:pPr>
  </w:style>
  <w:style w:type="paragraph" w:styleId="Titel">
    <w:name w:val="Title"/>
    <w:basedOn w:val="Standard"/>
    <w:next w:val="Standard"/>
    <w:link w:val="TitelZchn"/>
    <w:uiPriority w:val="10"/>
    <w:qFormat/>
    <w:rsid w:val="00854B4F"/>
    <w:pPr>
      <w:spacing w:after="360"/>
      <w:contextualSpacing/>
    </w:pPr>
    <w:rPr>
      <w:smallCaps/>
      <w:sz w:val="52"/>
      <w:szCs w:val="52"/>
    </w:rPr>
  </w:style>
  <w:style w:type="paragraph" w:styleId="Untertitel">
    <w:name w:val="Subtitle"/>
    <w:basedOn w:val="Titel"/>
    <w:next w:val="Standard"/>
    <w:link w:val="UntertitelZchn"/>
    <w:uiPriority w:val="11"/>
    <w:qFormat/>
    <w:rsid w:val="004B6500"/>
    <w:pPr>
      <w:spacing w:after="120"/>
    </w:pPr>
    <w:rPr>
      <w:iCs/>
      <w:sz w:val="36"/>
      <w:szCs w:val="28"/>
    </w:rPr>
  </w:style>
  <w:style w:type="paragraph" w:styleId="KeinLeerraum">
    <w:name w:val="No Spacing"/>
    <w:basedOn w:val="Standard"/>
    <w:link w:val="KeinLeerraumZchn"/>
    <w:uiPriority w:val="1"/>
    <w:qFormat/>
    <w:rsid w:val="00854B4F"/>
  </w:style>
  <w:style w:type="paragraph" w:styleId="Listenabsatz">
    <w:name w:val="List Paragraph"/>
    <w:basedOn w:val="Standard"/>
    <w:uiPriority w:val="34"/>
    <w:qFormat/>
    <w:rsid w:val="00EF5001"/>
    <w:pPr>
      <w:ind w:left="720"/>
      <w:contextualSpacing/>
    </w:pPr>
  </w:style>
  <w:style w:type="paragraph" w:styleId="Zitat">
    <w:name w:val="Quote"/>
    <w:basedOn w:val="Standard"/>
    <w:next w:val="Standard"/>
    <w:link w:val="ZitatZchn"/>
    <w:uiPriority w:val="29"/>
    <w:qFormat/>
    <w:rsid w:val="00EF5001"/>
    <w:rPr>
      <w:i/>
      <w:iCs/>
    </w:rPr>
  </w:style>
  <w:style w:type="paragraph" w:styleId="IntensivesZitat">
    <w:name w:val="Intense Quote"/>
    <w:basedOn w:val="Standard"/>
    <w:next w:val="Standard"/>
    <w:link w:val="IntensivesZitatZchn"/>
    <w:uiPriority w:val="30"/>
    <w:qFormat/>
    <w:rsid w:val="009423E1"/>
    <w:pPr>
      <w:pBdr>
        <w:top w:val="single" w:sz="4" w:space="10" w:color="000000" w:themeColor="dark1"/>
        <w:left w:val="single" w:sz="4" w:space="0" w:color="000000" w:themeColor="dark1"/>
        <w:bottom w:val="single" w:sz="4" w:space="10" w:color="000000" w:themeColor="dark1"/>
        <w:right w:val="single" w:sz="4" w:space="0" w:color="000000" w:themeColor="dark1"/>
      </w:pBdr>
      <w:spacing w:before="60" w:after="60"/>
      <w:ind w:left="851" w:right="851"/>
    </w:pPr>
    <w:rPr>
      <w:rFonts w:ascii="Courier New" w:hAnsi="Courier New"/>
      <w:iCs/>
      <w:sz w:val="16"/>
    </w:rPr>
  </w:style>
  <w:style w:type="paragraph" w:styleId="Indexberschrift">
    <w:name w:val="index heading"/>
    <w:basedOn w:val="Heading"/>
  </w:style>
  <w:style w:type="paragraph" w:styleId="Inhaltsverzeichnisberschrift">
    <w:name w:val="TOC Heading"/>
    <w:basedOn w:val="berschrift1"/>
    <w:next w:val="Standard"/>
    <w:uiPriority w:val="39"/>
    <w:unhideWhenUsed/>
    <w:qFormat/>
    <w:rsid w:val="002F5E7D"/>
    <w:pPr>
      <w:numPr>
        <w:numId w:val="0"/>
      </w:numPr>
      <w:outlineLvl w:val="9"/>
    </w:pPr>
    <w:rPr>
      <w:lang w:bidi="en-US"/>
    </w:rPr>
  </w:style>
  <w:style w:type="paragraph" w:styleId="Verzeichnis1">
    <w:name w:val="toc 1"/>
    <w:basedOn w:val="Standard"/>
    <w:next w:val="Standard"/>
    <w:autoRedefine/>
    <w:uiPriority w:val="39"/>
    <w:unhideWhenUsed/>
    <w:qFormat/>
    <w:rsid w:val="00DA6808"/>
    <w:pPr>
      <w:tabs>
        <w:tab w:val="left" w:pos="442"/>
        <w:tab w:val="right" w:leader="dot" w:pos="9072"/>
      </w:tabs>
      <w:spacing w:before="20" w:after="20" w:line="240" w:lineRule="auto"/>
    </w:pPr>
    <w:rPr>
      <w:rFonts w:cstheme="minorHAnsi"/>
      <w:b/>
      <w:bCs/>
      <w:smallCaps/>
      <w:sz w:val="20"/>
      <w:szCs w:val="20"/>
    </w:rPr>
  </w:style>
  <w:style w:type="paragraph" w:styleId="Verzeichnis2">
    <w:name w:val="toc 2"/>
    <w:basedOn w:val="Standard"/>
    <w:next w:val="Standard"/>
    <w:autoRedefine/>
    <w:uiPriority w:val="39"/>
    <w:unhideWhenUsed/>
    <w:qFormat/>
    <w:rsid w:val="00FF4C29"/>
    <w:pPr>
      <w:spacing w:before="20" w:after="20" w:line="240" w:lineRule="auto"/>
      <w:ind w:left="221"/>
    </w:pPr>
    <w:rPr>
      <w:rFonts w:cstheme="minorHAnsi"/>
      <w:sz w:val="20"/>
      <w:szCs w:val="20"/>
    </w:rPr>
  </w:style>
  <w:style w:type="paragraph" w:styleId="Verzeichnis3">
    <w:name w:val="toc 3"/>
    <w:basedOn w:val="Standard"/>
    <w:next w:val="Standard"/>
    <w:autoRedefine/>
    <w:uiPriority w:val="39"/>
    <w:unhideWhenUsed/>
    <w:qFormat/>
    <w:rsid w:val="00221C54"/>
    <w:pPr>
      <w:tabs>
        <w:tab w:val="left" w:pos="1100"/>
        <w:tab w:val="right" w:leader="dot" w:pos="10206"/>
      </w:tabs>
      <w:spacing w:before="20" w:after="20" w:line="240" w:lineRule="auto"/>
      <w:ind w:left="442"/>
    </w:pPr>
    <w:rPr>
      <w:rFonts w:cstheme="minorHAnsi"/>
      <w:iCs/>
      <w:sz w:val="20"/>
      <w:szCs w:val="20"/>
    </w:rPr>
  </w:style>
  <w:style w:type="paragraph" w:styleId="Sprechblasentext">
    <w:name w:val="Balloon Text"/>
    <w:basedOn w:val="Standard"/>
    <w:link w:val="SprechblasentextZchn"/>
    <w:uiPriority w:val="99"/>
    <w:semiHidden/>
    <w:unhideWhenUsed/>
    <w:qFormat/>
    <w:rsid w:val="00EF5001"/>
    <w:rPr>
      <w:rFonts w:ascii="Tahoma" w:hAnsi="Tahoma" w:cs="Tahoma"/>
      <w:sz w:val="16"/>
      <w:szCs w:val="16"/>
    </w:rPr>
  </w:style>
  <w:style w:type="paragraph" w:customStyle="1" w:styleId="HeaderandFooter">
    <w:name w:val="Header and Footer"/>
    <w:basedOn w:val="Standard"/>
    <w:qFormat/>
  </w:style>
  <w:style w:type="paragraph" w:styleId="Kopfzeile">
    <w:name w:val="header"/>
    <w:basedOn w:val="Standard"/>
    <w:link w:val="KopfzeileZchn"/>
    <w:uiPriority w:val="99"/>
    <w:unhideWhenUsed/>
    <w:rsid w:val="00C4414A"/>
    <w:pPr>
      <w:tabs>
        <w:tab w:val="center" w:pos="4703"/>
        <w:tab w:val="right" w:pos="9406"/>
      </w:tabs>
    </w:pPr>
  </w:style>
  <w:style w:type="paragraph" w:styleId="Fuzeile">
    <w:name w:val="footer"/>
    <w:basedOn w:val="Standard"/>
    <w:link w:val="FuzeileZchn"/>
    <w:uiPriority w:val="99"/>
    <w:unhideWhenUsed/>
    <w:rsid w:val="00C4414A"/>
    <w:pPr>
      <w:tabs>
        <w:tab w:val="center" w:pos="4703"/>
        <w:tab w:val="right" w:pos="9406"/>
      </w:tabs>
    </w:pPr>
  </w:style>
  <w:style w:type="paragraph" w:styleId="Verzeichnis4">
    <w:name w:val="toc 4"/>
    <w:basedOn w:val="Standard"/>
    <w:next w:val="Standard"/>
    <w:autoRedefine/>
    <w:uiPriority w:val="39"/>
    <w:unhideWhenUsed/>
    <w:rsid w:val="00854B4F"/>
    <w:pPr>
      <w:spacing w:before="60"/>
      <w:ind w:left="658"/>
    </w:pPr>
    <w:rPr>
      <w:rFonts w:cstheme="minorHAnsi"/>
      <w:sz w:val="20"/>
      <w:szCs w:val="18"/>
    </w:rPr>
  </w:style>
  <w:style w:type="paragraph" w:styleId="Verzeichnis5">
    <w:name w:val="toc 5"/>
    <w:basedOn w:val="Standard"/>
    <w:next w:val="Standard"/>
    <w:autoRedefine/>
    <w:uiPriority w:val="39"/>
    <w:unhideWhenUsed/>
    <w:rsid w:val="003D7E2B"/>
    <w:pPr>
      <w:ind w:left="880"/>
    </w:pPr>
    <w:rPr>
      <w:rFonts w:cstheme="minorHAnsi"/>
      <w:sz w:val="18"/>
      <w:szCs w:val="18"/>
    </w:rPr>
  </w:style>
  <w:style w:type="paragraph" w:styleId="Verzeichnis6">
    <w:name w:val="toc 6"/>
    <w:basedOn w:val="Standard"/>
    <w:next w:val="Standard"/>
    <w:autoRedefine/>
    <w:uiPriority w:val="39"/>
    <w:unhideWhenUsed/>
    <w:rsid w:val="003D7E2B"/>
    <w:pPr>
      <w:ind w:left="1100"/>
    </w:pPr>
    <w:rPr>
      <w:rFonts w:cstheme="minorHAnsi"/>
      <w:sz w:val="18"/>
      <w:szCs w:val="18"/>
    </w:rPr>
  </w:style>
  <w:style w:type="paragraph" w:styleId="Verzeichnis7">
    <w:name w:val="toc 7"/>
    <w:basedOn w:val="Standard"/>
    <w:next w:val="Standard"/>
    <w:autoRedefine/>
    <w:uiPriority w:val="39"/>
    <w:unhideWhenUsed/>
    <w:rsid w:val="003D7E2B"/>
    <w:pPr>
      <w:ind w:left="1320"/>
    </w:pPr>
    <w:rPr>
      <w:rFonts w:cstheme="minorHAnsi"/>
      <w:sz w:val="18"/>
      <w:szCs w:val="18"/>
    </w:rPr>
  </w:style>
  <w:style w:type="paragraph" w:styleId="Verzeichnis8">
    <w:name w:val="toc 8"/>
    <w:basedOn w:val="Standard"/>
    <w:next w:val="Standard"/>
    <w:autoRedefine/>
    <w:uiPriority w:val="39"/>
    <w:unhideWhenUsed/>
    <w:rsid w:val="003D7E2B"/>
    <w:pPr>
      <w:ind w:left="1540"/>
    </w:pPr>
    <w:rPr>
      <w:rFonts w:cstheme="minorHAnsi"/>
      <w:sz w:val="18"/>
      <w:szCs w:val="18"/>
    </w:rPr>
  </w:style>
  <w:style w:type="paragraph" w:styleId="Verzeichnis9">
    <w:name w:val="toc 9"/>
    <w:basedOn w:val="Standard"/>
    <w:next w:val="Standard"/>
    <w:autoRedefine/>
    <w:uiPriority w:val="39"/>
    <w:unhideWhenUsed/>
    <w:rsid w:val="003D7E2B"/>
    <w:pPr>
      <w:ind w:left="1760"/>
    </w:pPr>
    <w:rPr>
      <w:rFonts w:cstheme="minorHAnsi"/>
      <w:sz w:val="18"/>
      <w:szCs w:val="18"/>
    </w:rPr>
  </w:style>
  <w:style w:type="paragraph" w:styleId="Dokumentstruktur">
    <w:name w:val="Document Map"/>
    <w:basedOn w:val="Standard"/>
    <w:link w:val="DokumentstrukturZchn"/>
    <w:uiPriority w:val="99"/>
    <w:semiHidden/>
    <w:unhideWhenUsed/>
    <w:qFormat/>
    <w:rsid w:val="00B17277"/>
    <w:rPr>
      <w:rFonts w:ascii="Tahoma" w:hAnsi="Tahoma" w:cs="Tahoma"/>
      <w:sz w:val="16"/>
      <w:szCs w:val="16"/>
    </w:rPr>
  </w:style>
  <w:style w:type="paragraph" w:styleId="Abbildungsverzeichnis">
    <w:name w:val="table of figures"/>
    <w:basedOn w:val="Standard"/>
    <w:next w:val="Standard"/>
    <w:uiPriority w:val="99"/>
    <w:unhideWhenUsed/>
    <w:rsid w:val="00ED75E0"/>
    <w:pPr>
      <w:spacing w:before="20" w:after="20" w:line="240" w:lineRule="auto"/>
    </w:pPr>
    <w:rPr>
      <w:sz w:val="20"/>
    </w:rPr>
  </w:style>
  <w:style w:type="paragraph" w:styleId="Literaturverzeichnis">
    <w:name w:val="Bibliography"/>
    <w:basedOn w:val="Standard"/>
    <w:next w:val="Standard"/>
    <w:uiPriority w:val="37"/>
    <w:unhideWhenUsed/>
    <w:qFormat/>
    <w:rsid w:val="002C4F42"/>
  </w:style>
  <w:style w:type="paragraph" w:styleId="Kommentartext">
    <w:name w:val="annotation text"/>
    <w:basedOn w:val="Standard"/>
    <w:link w:val="KommentartextZchn"/>
    <w:uiPriority w:val="99"/>
    <w:semiHidden/>
    <w:unhideWhenUsed/>
    <w:rsid w:val="00400A86"/>
    <w:rPr>
      <w:sz w:val="20"/>
      <w:szCs w:val="20"/>
    </w:rPr>
  </w:style>
  <w:style w:type="paragraph" w:styleId="Kommentarthema">
    <w:name w:val="annotation subject"/>
    <w:basedOn w:val="Kommentartext"/>
    <w:next w:val="Kommentartext"/>
    <w:link w:val="KommentarthemaZchn"/>
    <w:uiPriority w:val="99"/>
    <w:semiHidden/>
    <w:unhideWhenUsed/>
    <w:qFormat/>
    <w:rsid w:val="00400A86"/>
    <w:rPr>
      <w:b/>
      <w:bCs/>
    </w:rPr>
  </w:style>
  <w:style w:type="paragraph" w:styleId="Rechtsgrundlagenverzeichnis">
    <w:name w:val="table of authorities"/>
    <w:basedOn w:val="Standard"/>
    <w:next w:val="Standard"/>
    <w:uiPriority w:val="99"/>
    <w:semiHidden/>
    <w:unhideWhenUsed/>
    <w:rsid w:val="00963712"/>
    <w:pPr>
      <w:ind w:left="220" w:hanging="220"/>
    </w:pPr>
  </w:style>
  <w:style w:type="paragraph" w:styleId="RGV-berschrift">
    <w:name w:val="toa heading"/>
    <w:basedOn w:val="Standard"/>
    <w:next w:val="Standard"/>
    <w:uiPriority w:val="99"/>
    <w:unhideWhenUsed/>
    <w:qFormat/>
    <w:rsid w:val="00963712"/>
    <w:pPr>
      <w:spacing w:before="120"/>
    </w:pPr>
    <w:rPr>
      <w:b/>
      <w:bCs/>
      <w:szCs w:val="24"/>
    </w:rPr>
  </w:style>
  <w:style w:type="paragraph" w:styleId="Endnotentext">
    <w:name w:val="endnote text"/>
    <w:basedOn w:val="Standard"/>
    <w:link w:val="EndnotentextZchn"/>
    <w:uiPriority w:val="99"/>
    <w:semiHidden/>
    <w:unhideWhenUsed/>
    <w:rsid w:val="001D77EF"/>
    <w:rPr>
      <w:sz w:val="20"/>
      <w:szCs w:val="20"/>
    </w:rPr>
  </w:style>
  <w:style w:type="paragraph" w:styleId="Funotentext">
    <w:name w:val="footnote text"/>
    <w:basedOn w:val="Standard"/>
    <w:link w:val="FunotentextZchn"/>
    <w:uiPriority w:val="99"/>
    <w:semiHidden/>
    <w:unhideWhenUsed/>
    <w:rsid w:val="00B50CD7"/>
    <w:pPr>
      <w:spacing w:before="120"/>
      <w:contextualSpacing/>
    </w:pPr>
    <w:rPr>
      <w:sz w:val="20"/>
      <w:szCs w:val="20"/>
    </w:rPr>
  </w:style>
  <w:style w:type="paragraph" w:styleId="Index1">
    <w:name w:val="index 1"/>
    <w:basedOn w:val="Standard"/>
    <w:next w:val="Standard"/>
    <w:autoRedefine/>
    <w:uiPriority w:val="99"/>
    <w:unhideWhenUsed/>
    <w:rsid w:val="00CF5221"/>
    <w:pPr>
      <w:ind w:left="240" w:hanging="240"/>
    </w:pPr>
  </w:style>
  <w:style w:type="paragraph" w:styleId="Index2">
    <w:name w:val="index 2"/>
    <w:basedOn w:val="Standard"/>
    <w:next w:val="Standard"/>
    <w:autoRedefine/>
    <w:uiPriority w:val="99"/>
    <w:semiHidden/>
    <w:unhideWhenUsed/>
    <w:rsid w:val="00CF5221"/>
    <w:pPr>
      <w:ind w:left="480" w:hanging="240"/>
    </w:pPr>
  </w:style>
  <w:style w:type="paragraph" w:customStyle="1" w:styleId="KapitelEinfhrung">
    <w:name w:val="Kapitel Einführung"/>
    <w:basedOn w:val="Standard"/>
    <w:next w:val="Standard"/>
    <w:qFormat/>
    <w:rsid w:val="003F72C8"/>
    <w:pPr>
      <w:spacing w:before="480" w:after="720"/>
      <w:jc w:val="center"/>
    </w:pPr>
    <w:rPr>
      <w:i/>
    </w:rPr>
  </w:style>
  <w:style w:type="paragraph" w:customStyle="1" w:styleId="Anhang">
    <w:name w:val="Anhang"/>
    <w:next w:val="Standard"/>
    <w:qFormat/>
    <w:rsid w:val="00B36DB0"/>
    <w:pPr>
      <w:pageBreakBefore/>
      <w:numPr>
        <w:numId w:val="2"/>
      </w:numPr>
      <w:spacing w:before="360"/>
      <w:ind w:left="357" w:hanging="357"/>
      <w:outlineLvl w:val="5"/>
    </w:pPr>
    <w:rPr>
      <w:rFonts w:asciiTheme="minorHAnsi" w:hAnsiTheme="minorHAnsi"/>
      <w:sz w:val="24"/>
    </w:rPr>
  </w:style>
  <w:style w:type="paragraph" w:styleId="berarbeitung">
    <w:name w:val="Revision"/>
    <w:uiPriority w:val="99"/>
    <w:semiHidden/>
    <w:qFormat/>
    <w:rsid w:val="00A41F8D"/>
    <w:pPr>
      <w:spacing w:before="360"/>
    </w:pPr>
    <w:rPr>
      <w:rFonts w:asciiTheme="minorHAnsi" w:hAnsiTheme="minorHAnsi"/>
      <w:sz w:val="24"/>
    </w:rPr>
  </w:style>
  <w:style w:type="paragraph" w:styleId="StandardWeb">
    <w:name w:val="Normal (Web)"/>
    <w:basedOn w:val="Standard"/>
    <w:uiPriority w:val="99"/>
    <w:unhideWhenUsed/>
    <w:qFormat/>
    <w:rsid w:val="00786854"/>
    <w:pPr>
      <w:spacing w:beforeAutospacing="1" w:afterAutospacing="1"/>
    </w:pPr>
    <w:rPr>
      <w:rFonts w:ascii="Times New Roman" w:eastAsia="Times New Roman" w:hAnsi="Times New Roman" w:cs="Times New Roman"/>
      <w:szCs w:val="24"/>
      <w:lang w:eastAsia="de-CH"/>
    </w:rPr>
  </w:style>
  <w:style w:type="paragraph" w:styleId="Aufzhlungszeichen3">
    <w:name w:val="List Bullet 3"/>
    <w:basedOn w:val="Standard"/>
    <w:autoRedefine/>
    <w:rsid w:val="002511AD"/>
    <w:pPr>
      <w:numPr>
        <w:numId w:val="3"/>
      </w:numPr>
    </w:pPr>
    <w:rPr>
      <w:rFonts w:eastAsia="Calibri" w:cs="Helvetica"/>
      <w:color w:val="FF0000"/>
      <w:kern w:val="2"/>
    </w:rPr>
  </w:style>
  <w:style w:type="paragraph" w:styleId="Textkrper-Erstzeileneinzug">
    <w:name w:val="Body Text First Indent"/>
    <w:basedOn w:val="Textkrper"/>
    <w:link w:val="Textkrper-ErstzeileneinzugZchn"/>
    <w:rsid w:val="00572598"/>
    <w:pPr>
      <w:spacing w:after="240"/>
      <w:ind w:firstLine="360"/>
    </w:pPr>
  </w:style>
  <w:style w:type="paragraph" w:customStyle="1" w:styleId="SourceCode">
    <w:name w:val="Source Code"/>
    <w:basedOn w:val="Standard"/>
    <w:qFormat/>
  </w:style>
  <w:style w:type="paragraph" w:customStyle="1" w:styleId="FirstParagraph">
    <w:name w:val="First Paragraph"/>
    <w:basedOn w:val="Standard"/>
    <w:qFormat/>
    <w:pPr>
      <w:spacing w:before="0" w:after="160" w:line="288" w:lineRule="auto"/>
      <w:jc w:val="both"/>
    </w:pPr>
  </w:style>
  <w:style w:type="paragraph" w:customStyle="1" w:styleId="Compact">
    <w:name w:val="Compact"/>
    <w:basedOn w:val="Standard"/>
    <w:qFormat/>
    <w:pPr>
      <w:spacing w:before="0" w:after="60"/>
    </w:pPr>
  </w:style>
  <w:style w:type="paragraph" w:customStyle="1" w:styleId="Tabelleninhalt">
    <w:name w:val="Tabelleninhalt"/>
    <w:basedOn w:val="Standard"/>
    <w:qFormat/>
    <w:pPr>
      <w:spacing w:before="20" w:after="20" w:line="240" w:lineRule="auto"/>
    </w:pPr>
    <w:rPr>
      <w:sz w:val="18"/>
      <w:szCs w:val="18"/>
    </w:rPr>
  </w:style>
  <w:style w:type="paragraph" w:customStyle="1" w:styleId="Tabelleninhaltklein">
    <w:name w:val="Tabelleninhalt klein"/>
    <w:basedOn w:val="Tabelleninhalt"/>
    <w:qFormat/>
    <w:rPr>
      <w:sz w:val="16"/>
      <w:szCs w:val="16"/>
    </w:rPr>
  </w:style>
  <w:style w:type="paragraph" w:customStyle="1" w:styleId="Quellenangabe">
    <w:name w:val="Quellenangabe"/>
    <w:basedOn w:val="Standard"/>
    <w:next w:val="Textkrper"/>
    <w:qFormat/>
    <w:pPr>
      <w:spacing w:before="40" w:line="240" w:lineRule="auto"/>
    </w:pPr>
    <w:rPr>
      <w:sz w:val="16"/>
      <w:szCs w:val="16"/>
    </w:rPr>
  </w:style>
  <w:style w:type="paragraph" w:customStyle="1" w:styleId="Abbildung">
    <w:name w:val="Abbildung"/>
    <w:basedOn w:val="Standard"/>
    <w:next w:val="Beschriftung"/>
    <w:qFormat/>
    <w:pPr>
      <w:keepNext/>
      <w:spacing w:before="240" w:after="0"/>
      <w:jc w:val="center"/>
    </w:pPr>
  </w:style>
  <w:style w:type="paragraph" w:customStyle="1" w:styleId="Literatur">
    <w:name w:val="Literatur"/>
    <w:basedOn w:val="Standard"/>
    <w:qFormat/>
    <w:pPr>
      <w:spacing w:before="0" w:after="160" w:line="264" w:lineRule="auto"/>
      <w:ind w:left="567" w:hanging="567"/>
    </w:pPr>
  </w:style>
  <w:style w:type="paragraph" w:customStyle="1" w:styleId="FrameContents">
    <w:name w:val="Frame Contents"/>
    <w:basedOn w:val="Standard"/>
    <w:qFormat/>
  </w:style>
  <w:style w:type="table" w:styleId="Tabellenraster">
    <w:name w:val="Table Grid"/>
    <w:basedOn w:val="NormaleTabelle"/>
    <w:uiPriority w:val="59"/>
    <w:rsid w:val="001864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List1">
    <w:name w:val="Light List1"/>
    <w:basedOn w:val="NormaleTabelle"/>
    <w:uiPriority w:val="61"/>
    <w:rsid w:val="000349B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NormaleTabelle"/>
    <w:uiPriority w:val="65"/>
    <w:rsid w:val="006037C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D9D9D9" w:themeFill="background1" w:themeFillShade="D9"/>
      </w:tcPr>
    </w:tblStylePr>
  </w:style>
  <w:style w:type="table" w:customStyle="1" w:styleId="MediumGrid31">
    <w:name w:val="Medium Grid 31"/>
    <w:basedOn w:val="NormaleTabelle"/>
    <w:uiPriority w:val="69"/>
    <w:rsid w:val="000349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21">
    <w:name w:val="Medium List 21"/>
    <w:basedOn w:val="NormaleTabelle"/>
    <w:uiPriority w:val="66"/>
    <w:rsid w:val="000349B5"/>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ghtShading1">
    <w:name w:val="Light Shading1"/>
    <w:basedOn w:val="NormaleTabelle"/>
    <w:uiPriority w:val="60"/>
    <w:rsid w:val="005B63F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pPr>
        <w:wordWrap/>
        <w:spacing w:beforeLines="0" w:afterLines="0" w:line="240" w:lineRule="auto"/>
      </w:pPr>
      <w:tblPr/>
      <w:tcPr>
        <w:tcBorders>
          <w:left w:val="nil"/>
          <w:right w:val="nil"/>
          <w:insideH w:val="nil"/>
          <w:insideV w:val="nil"/>
        </w:tcBorders>
        <w:shd w:val="clear" w:color="auto" w:fill="C0C0C0" w:themeFill="text1" w:themeFillTint="3F"/>
      </w:tcPr>
    </w:tblStylePr>
  </w:style>
  <w:style w:type="table" w:customStyle="1" w:styleId="ThesisFinal">
    <w:name w:val="Thesis Final"/>
    <w:basedOn w:val="TabelleRaster1"/>
    <w:uiPriority w:val="99"/>
    <w:rsid w:val="003528C7"/>
    <w:rPr>
      <w:rFonts w:asciiTheme="minorHAnsi" w:hAnsiTheme="minorHAnsi"/>
      <w:sz w:val="20"/>
      <w:szCs w:val="20"/>
      <w:lang w:eastAsia="de-D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none" w:sz="0" w:space="0" w:color="auto"/>
        <w:insideV w:val="none" w:sz="0" w:space="0" w:color="auto"/>
      </w:tblBorders>
      <w:tblCellMar>
        <w:top w:w="57" w:type="dxa"/>
        <w:left w:w="170" w:type="dxa"/>
        <w:bottom w:w="28" w:type="dxa"/>
        <w:right w:w="170" w:type="dxa"/>
      </w:tblCellMar>
    </w:tblPr>
    <w:tcPr>
      <w:shd w:val="clear" w:color="auto" w:fill="D9D9D9" w:themeFill="background1" w:themeFillShade="D9"/>
    </w:tcPr>
    <w:tblStylePr w:type="firstRow">
      <w:pPr>
        <w:wordWrap/>
        <w:spacing w:beforeLines="0" w:afterLines="0" w:line="240" w:lineRule="auto"/>
        <w:ind w:rightChars="0" w:right="0"/>
        <w:jc w:val="both"/>
      </w:pPr>
      <w:rPr>
        <w:rFonts w:asciiTheme="minorHAnsi" w:hAnsiTheme="minorHAnsi"/>
        <w:b/>
        <w:color w:val="F2F2F2" w:themeColor="background1" w:themeShade="F2"/>
        <w:sz w:val="22"/>
      </w:rPr>
      <w:tblPr/>
      <w:trPr>
        <w:tblHeader/>
      </w:trPr>
      <w:tcPr>
        <w:shd w:val="clear" w:color="auto" w:fill="F79646" w:themeFill="accent6"/>
      </w:tcPr>
    </w:tblStylePr>
    <w:tblStylePr w:type="lastRow">
      <w:pPr>
        <w:wordWrap/>
        <w:spacing w:beforeLines="0" w:afterLines="0" w:line="240" w:lineRule="auto"/>
        <w:ind w:rightChars="0" w:right="0"/>
        <w:jc w:val="both"/>
      </w:pPr>
      <w:rPr>
        <w:rFonts w:asciiTheme="minorHAnsi" w:hAnsiTheme="minorHAnsi"/>
        <w:i w:val="0"/>
        <w:sz w:val="22"/>
      </w:rPr>
      <w:tblPr/>
      <w:tcPr>
        <w:tcBorders>
          <w:tl2br w:val="none" w:sz="0" w:space="0" w:color="auto"/>
          <w:tr2bl w:val="none" w:sz="0" w:space="0" w:color="auto"/>
        </w:tcBorders>
        <w:shd w:val="clear" w:color="auto" w:fill="FABF8F" w:themeFill="accent6" w:themeFillTint="99"/>
      </w:tcPr>
    </w:tblStylePr>
    <w:tblStylePr w:type="firstCol">
      <w:pPr>
        <w:wordWrap/>
        <w:spacing w:beforeLines="0" w:afterLines="0" w:line="240" w:lineRule="auto"/>
        <w:ind w:rightChars="0" w:right="0"/>
        <w:jc w:val="both"/>
      </w:pPr>
      <w:rPr>
        <w:rFonts w:asciiTheme="minorHAnsi" w:hAnsiTheme="minorHAnsi"/>
        <w:b w:val="0"/>
        <w:sz w:val="22"/>
      </w:rPr>
    </w:tblStylePr>
    <w:tblStylePr w:type="lastCol">
      <w:rPr>
        <w:rFonts w:asciiTheme="minorHAnsi" w:hAnsiTheme="minorHAnsi"/>
        <w:i/>
        <w:sz w:val="22"/>
      </w:rPr>
      <w:tblPr/>
      <w:tcPr>
        <w:tcBorders>
          <w:tl2br w:val="none" w:sz="0" w:space="0" w:color="auto"/>
          <w:tr2bl w:val="none" w:sz="0" w:space="0" w:color="auto"/>
        </w:tcBorders>
      </w:tcPr>
    </w:tblStylePr>
    <w:tblStylePr w:type="band1Vert">
      <w:rPr>
        <w:rFonts w:asciiTheme="minorHAnsi" w:hAnsiTheme="minorHAnsi"/>
        <w:sz w:val="22"/>
      </w:rPr>
    </w:tblStylePr>
    <w:tblStylePr w:type="band2Vert">
      <w:rPr>
        <w:rFonts w:asciiTheme="minorHAnsi" w:hAnsiTheme="minorHAnsi"/>
        <w:sz w:val="22"/>
      </w:rPr>
    </w:tblStylePr>
    <w:tblStylePr w:type="band1Horz">
      <w:pPr>
        <w:wordWrap/>
        <w:spacing w:beforeLines="0" w:afterLines="0" w:line="240" w:lineRule="auto"/>
        <w:ind w:rightChars="0" w:right="0"/>
        <w:jc w:val="both"/>
      </w:pPr>
      <w:rPr>
        <w:rFonts w:asciiTheme="minorHAnsi" w:hAnsiTheme="minorHAnsi"/>
        <w:sz w:val="22"/>
      </w:rPr>
      <w:tblPr/>
      <w:tcPr>
        <w:shd w:val="clear" w:color="auto" w:fill="FFFFFF" w:themeFill="background1"/>
      </w:tcPr>
    </w:tblStylePr>
    <w:tblStylePr w:type="band2Horz">
      <w:pPr>
        <w:wordWrap/>
        <w:spacing w:beforeLines="0" w:afterLines="0" w:line="240" w:lineRule="auto"/>
        <w:ind w:rightChars="0" w:right="0"/>
        <w:jc w:val="both"/>
      </w:pPr>
      <w:rPr>
        <w:rFonts w:asciiTheme="minorHAnsi" w:hAnsiTheme="minorHAnsi"/>
        <w:sz w:val="22"/>
      </w:rPr>
      <w:tblPr/>
      <w:tcPr>
        <w:shd w:val="clear" w:color="auto" w:fill="FDE9D9" w:themeFill="accent6" w:themeFillTint="33"/>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styleId="TabelleRaster1">
    <w:name w:val="Table Grid 1"/>
    <w:basedOn w:val="NormaleTabelle"/>
    <w:uiPriority w:val="99"/>
    <w:semiHidden/>
    <w:unhideWhenUsed/>
    <w:rsid w:val="00876E46"/>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MittlereListe2-Akzent1">
    <w:name w:val="Medium List 2 Accent 1"/>
    <w:basedOn w:val="NormaleTabelle"/>
    <w:uiPriority w:val="66"/>
    <w:rsid w:val="00830FD3"/>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11">
    <w:name w:val="Medium List 1 - Accent 11"/>
    <w:basedOn w:val="NormaleTabelle"/>
    <w:uiPriority w:val="65"/>
    <w:rsid w:val="00BB383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HelleSchattierung1">
    <w:name w:val="Helle Schattierung1"/>
    <w:basedOn w:val="NormaleTabelle"/>
    <w:uiPriority w:val="60"/>
    <w:rsid w:val="00873400"/>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pPr>
        <w:wordWrap/>
        <w:spacing w:beforeLines="0" w:afterLines="0" w:line="240" w:lineRule="auto"/>
      </w:pPr>
      <w:tblPr/>
      <w:tcPr>
        <w:tcBorders>
          <w:left w:val="nil"/>
          <w:right w:val="nil"/>
          <w:insideH w:val="nil"/>
          <w:insideV w:val="nil"/>
        </w:tcBorders>
        <w:shd w:val="clear" w:color="auto" w:fill="C0C0C0"/>
      </w:tcPr>
    </w:tblStylePr>
  </w:style>
  <w:style w:type="table" w:styleId="HelleSchattierung">
    <w:name w:val="Light Shading"/>
    <w:basedOn w:val="NormaleTabelle"/>
    <w:rsid w:val="0087340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extkrperZchn">
    <w:name w:val="Textkörper Zchn"/>
    <w:basedOn w:val="Absatz-Standardschriftart"/>
    <w:link w:val="Textkrper"/>
    <w:rsid w:val="008E7E4B"/>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6.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12323</Words>
  <Characters>77640</Characters>
  <Application>Microsoft Office Word</Application>
  <DocSecurity>0</DocSecurity>
  <Lines>647</Lines>
  <Paragraphs>179</Paragraphs>
  <ScaleCrop>false</ScaleCrop>
  <Company/>
  <LinksUpToDate>false</LinksUpToDate>
  <CharactersWithSpaces>89784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n djelmo</cp:lastModifiedBy>
  <cp:revision>32</cp:revision>
  <dcterms:created xsi:type="dcterms:W3CDTF">2026-10-15T18:36:00Z</dcterms:created>
  <dcterms:modified xsi:type="dcterms:W3CDTF">2026-10-25T11:50:00Z</dcterms:modified>
  <dc:language>de-CH</dc:language>
</cp:coreProperties>
</file>