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47810" w14:textId="77777777" w:rsidR="00F21F84" w:rsidRPr="00F21F84" w:rsidRDefault="00F21F84" w:rsidP="00F21F84">
      <w:pPr>
        <w:pBdr>
          <w:top w:val="single" w:sz="2" w:space="0" w:color="D9D9E3"/>
          <w:left w:val="single" w:sz="2" w:space="0" w:color="D9D9E3"/>
          <w:bottom w:val="single" w:sz="2" w:space="0" w:color="D9D9E3"/>
          <w:right w:val="single" w:sz="2" w:space="0" w:color="D9D9E3"/>
        </w:pBdr>
        <w:spacing w:before="100" w:beforeAutospacing="1" w:after="100" w:afterAutospacing="1"/>
        <w:outlineLvl w:val="2"/>
        <w:rPr>
          <w:rFonts w:ascii="Segoe UI" w:eastAsia="Times New Roman" w:hAnsi="Segoe UI" w:cs="Segoe UI"/>
          <w:b/>
          <w:bCs/>
          <w:sz w:val="30"/>
          <w:szCs w:val="30"/>
        </w:rPr>
      </w:pPr>
      <w:r w:rsidRPr="00F21F84">
        <w:rPr>
          <w:rFonts w:ascii="Segoe UI" w:eastAsia="Times New Roman" w:hAnsi="Segoe UI" w:cs="Segoe UI"/>
          <w:b/>
          <w:bCs/>
          <w:sz w:val="30"/>
          <w:szCs w:val="30"/>
        </w:rPr>
        <w:t>Abstract</w:t>
      </w:r>
    </w:p>
    <w:p w14:paraId="34EEDD92" w14:textId="77777777" w:rsidR="00F21F84" w:rsidRPr="00F21F84" w:rsidRDefault="00F21F84" w:rsidP="00F21F84">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color w:val="374151"/>
        </w:rPr>
      </w:pPr>
      <w:r w:rsidRPr="00F21F84">
        <w:rPr>
          <w:rFonts w:ascii="Segoe UI" w:eastAsia="Times New Roman" w:hAnsi="Segoe UI" w:cs="Segoe UI"/>
          <w:color w:val="374151"/>
        </w:rPr>
        <w:t>This follow-up study evaluates the robustness of the original CHIP (Computational Hierarchical Information Processing) value computation, initially proposed to anchor currency to the global average of one hour of unskilled work. Recognizing the potential influence of Information and Communication Technology (ICT) by country, this research integrates ICT analysis into the CHIP computation method. The study aims to determine the impact of ICT inclusion on the previously established CHIP value.</w:t>
      </w:r>
    </w:p>
    <w:p w14:paraId="4AB7091F" w14:textId="77777777" w:rsidR="00F21F84" w:rsidRPr="00F21F84" w:rsidRDefault="00F21F84" w:rsidP="00F21F84">
      <w:pPr>
        <w:pBdr>
          <w:top w:val="single" w:sz="2" w:space="0" w:color="D9D9E3"/>
          <w:left w:val="single" w:sz="2" w:space="0" w:color="D9D9E3"/>
          <w:bottom w:val="single" w:sz="2" w:space="0" w:color="D9D9E3"/>
          <w:right w:val="single" w:sz="2" w:space="0" w:color="D9D9E3"/>
        </w:pBdr>
        <w:spacing w:before="100" w:beforeAutospacing="1" w:after="100" w:afterAutospacing="1"/>
        <w:outlineLvl w:val="2"/>
        <w:rPr>
          <w:rFonts w:ascii="Segoe UI" w:eastAsia="Times New Roman" w:hAnsi="Segoe UI" w:cs="Segoe UI"/>
          <w:b/>
          <w:bCs/>
          <w:sz w:val="30"/>
          <w:szCs w:val="30"/>
        </w:rPr>
      </w:pPr>
      <w:r w:rsidRPr="00F21F84">
        <w:rPr>
          <w:rFonts w:ascii="Segoe UI" w:eastAsia="Times New Roman" w:hAnsi="Segoe UI" w:cs="Segoe UI"/>
          <w:b/>
          <w:bCs/>
          <w:sz w:val="30"/>
          <w:szCs w:val="30"/>
        </w:rPr>
        <w:t>Introduction</w:t>
      </w:r>
    </w:p>
    <w:p w14:paraId="6AE5D75B" w14:textId="6D34FEA3" w:rsidR="00F21F84" w:rsidRPr="00F21F84" w:rsidRDefault="00F21F84" w:rsidP="00F21F84">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color w:val="374151"/>
        </w:rPr>
      </w:pPr>
      <w:r w:rsidRPr="00F21F84">
        <w:rPr>
          <w:rFonts w:ascii="Segoe UI" w:eastAsia="Times New Roman" w:hAnsi="Segoe UI" w:cs="Segoe UI"/>
          <w:color w:val="374151"/>
        </w:rPr>
        <w:t>The original research presented a novel framework for quantifying the CHIP value, based on econometric estimates from global data. Given the rapid evolution of ICT and its uneven distribution across countries, this follow-up study investigates whether the initial exclusion of ICT analysis may have led to a significant misestimation of the CHIP value. By incorporating ICT data</w:t>
      </w:r>
      <w:r w:rsidR="008767E9">
        <w:rPr>
          <w:rFonts w:ascii="Segoe UI" w:eastAsia="Times New Roman" w:hAnsi="Segoe UI" w:cs="Segoe UI"/>
          <w:color w:val="374151"/>
        </w:rPr>
        <w:t xml:space="preserve"> for the subset of 30 developed economies that has witnessed the highest penetration of ICT in recent decades,</w:t>
      </w:r>
      <w:r w:rsidRPr="00F21F84">
        <w:rPr>
          <w:rFonts w:ascii="Segoe UI" w:eastAsia="Times New Roman" w:hAnsi="Segoe UI" w:cs="Segoe UI"/>
          <w:color w:val="374151"/>
        </w:rPr>
        <w:t xml:space="preserve"> this</w:t>
      </w:r>
      <w:r w:rsidR="008767E9">
        <w:rPr>
          <w:rFonts w:ascii="Segoe UI" w:eastAsia="Times New Roman" w:hAnsi="Segoe UI" w:cs="Segoe UI"/>
          <w:color w:val="374151"/>
        </w:rPr>
        <w:t xml:space="preserve"> follow-up</w:t>
      </w:r>
      <w:r w:rsidRPr="00F21F84">
        <w:rPr>
          <w:rFonts w:ascii="Segoe UI" w:eastAsia="Times New Roman" w:hAnsi="Segoe UI" w:cs="Segoe UI"/>
          <w:color w:val="374151"/>
        </w:rPr>
        <w:t xml:space="preserve"> </w:t>
      </w:r>
      <w:r w:rsidR="008767E9">
        <w:rPr>
          <w:rFonts w:ascii="Segoe UI" w:eastAsia="Times New Roman" w:hAnsi="Segoe UI" w:cs="Segoe UI"/>
          <w:color w:val="374151"/>
        </w:rPr>
        <w:t>study</w:t>
      </w:r>
      <w:r w:rsidRPr="00F21F84">
        <w:rPr>
          <w:rFonts w:ascii="Segoe UI" w:eastAsia="Times New Roman" w:hAnsi="Segoe UI" w:cs="Segoe UI"/>
          <w:color w:val="374151"/>
        </w:rPr>
        <w:t xml:space="preserve"> seeks to provide a more accurate and comprehensive evaluation of the CHIP's foundational computation.</w:t>
      </w:r>
    </w:p>
    <w:p w14:paraId="0E83A9E2" w14:textId="77777777" w:rsidR="00F21F84" w:rsidRPr="00F21F84" w:rsidRDefault="00F21F84" w:rsidP="00F21F84">
      <w:pPr>
        <w:pBdr>
          <w:top w:val="single" w:sz="2" w:space="0" w:color="D9D9E3"/>
          <w:left w:val="single" w:sz="2" w:space="0" w:color="D9D9E3"/>
          <w:bottom w:val="single" w:sz="2" w:space="0" w:color="D9D9E3"/>
          <w:right w:val="single" w:sz="2" w:space="0" w:color="D9D9E3"/>
        </w:pBdr>
        <w:spacing w:before="100" w:beforeAutospacing="1" w:after="100" w:afterAutospacing="1"/>
        <w:outlineLvl w:val="2"/>
        <w:rPr>
          <w:rFonts w:ascii="Segoe UI" w:eastAsia="Times New Roman" w:hAnsi="Segoe UI" w:cs="Segoe UI"/>
          <w:b/>
          <w:bCs/>
          <w:sz w:val="30"/>
          <w:szCs w:val="30"/>
        </w:rPr>
      </w:pPr>
      <w:r w:rsidRPr="00F21F84">
        <w:rPr>
          <w:rFonts w:ascii="Segoe UI" w:eastAsia="Times New Roman" w:hAnsi="Segoe UI" w:cs="Segoe UI"/>
          <w:b/>
          <w:bCs/>
          <w:sz w:val="30"/>
          <w:szCs w:val="30"/>
        </w:rPr>
        <w:t>Results</w:t>
      </w:r>
    </w:p>
    <w:p w14:paraId="6C190543" w14:textId="466B23B7" w:rsidR="00F21F84" w:rsidRPr="00F21F84" w:rsidRDefault="00F21F84" w:rsidP="00F21F84">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color w:val="374151"/>
        </w:rPr>
      </w:pPr>
      <w:r w:rsidRPr="00F21F84">
        <w:rPr>
          <w:rFonts w:ascii="Segoe UI" w:eastAsia="Times New Roman" w:hAnsi="Segoe UI" w:cs="Segoe UI"/>
          <w:color w:val="374151"/>
        </w:rPr>
        <w:t>Utilizing an extensive</w:t>
      </w:r>
      <w:r w:rsidR="008767E9">
        <w:rPr>
          <w:rFonts w:ascii="Segoe UI" w:eastAsia="Times New Roman" w:hAnsi="Segoe UI" w:cs="Segoe UI"/>
          <w:color w:val="374151"/>
        </w:rPr>
        <w:t xml:space="preserve"> novel</w:t>
      </w:r>
      <w:r w:rsidRPr="00F21F84">
        <w:rPr>
          <w:rFonts w:ascii="Segoe UI" w:eastAsia="Times New Roman" w:hAnsi="Segoe UI" w:cs="Segoe UI"/>
          <w:color w:val="374151"/>
        </w:rPr>
        <w:t xml:space="preserve"> dataset</w:t>
      </w:r>
      <w:r w:rsidR="008767E9">
        <w:rPr>
          <w:rFonts w:ascii="Segoe UI" w:eastAsia="Times New Roman" w:hAnsi="Segoe UI" w:cs="Segoe UI"/>
          <w:color w:val="374151"/>
        </w:rPr>
        <w:t xml:space="preserve"> integrating the EU KLEMS and OECD </w:t>
      </w:r>
      <w:proofErr w:type="gramStart"/>
      <w:r w:rsidR="008767E9">
        <w:rPr>
          <w:rFonts w:ascii="Segoe UI" w:eastAsia="Times New Roman" w:hAnsi="Segoe UI" w:cs="Segoe UI"/>
          <w:color w:val="374151"/>
        </w:rPr>
        <w:t>databases,</w:t>
      </w:r>
      <w:r w:rsidRPr="00F21F84">
        <w:rPr>
          <w:rFonts w:ascii="Segoe UI" w:eastAsia="Times New Roman" w:hAnsi="Segoe UI" w:cs="Segoe UI"/>
          <w:color w:val="374151"/>
        </w:rPr>
        <w:t xml:space="preserve"> and</w:t>
      </w:r>
      <w:proofErr w:type="gramEnd"/>
      <w:r w:rsidRPr="00F21F84">
        <w:rPr>
          <w:rFonts w:ascii="Segoe UI" w:eastAsia="Times New Roman" w:hAnsi="Segoe UI" w:cs="Segoe UI"/>
          <w:color w:val="374151"/>
        </w:rPr>
        <w:t xml:space="preserve"> applying</w:t>
      </w:r>
      <w:r w:rsidR="008767E9">
        <w:rPr>
          <w:rFonts w:ascii="Segoe UI" w:eastAsia="Times New Roman" w:hAnsi="Segoe UI" w:cs="Segoe UI"/>
          <w:color w:val="374151"/>
        </w:rPr>
        <w:t xml:space="preserve"> more</w:t>
      </w:r>
      <w:r w:rsidRPr="00F21F84">
        <w:rPr>
          <w:rFonts w:ascii="Segoe UI" w:eastAsia="Times New Roman" w:hAnsi="Segoe UI" w:cs="Segoe UI"/>
          <w:color w:val="374151"/>
        </w:rPr>
        <w:t xml:space="preserve"> refined econometric techniques</w:t>
      </w:r>
      <w:r w:rsidR="008767E9">
        <w:rPr>
          <w:rFonts w:ascii="Segoe UI" w:eastAsia="Times New Roman" w:hAnsi="Segoe UI" w:cs="Segoe UI"/>
          <w:color w:val="374151"/>
        </w:rPr>
        <w:t xml:space="preserve"> that explicitly account for ICT capital in estimating economies’ production functions and implied labor productivity,</w:t>
      </w:r>
      <w:r w:rsidRPr="00F21F84">
        <w:rPr>
          <w:rFonts w:ascii="Segoe UI" w:eastAsia="Times New Roman" w:hAnsi="Segoe UI" w:cs="Segoe UI"/>
          <w:color w:val="374151"/>
        </w:rPr>
        <w:t xml:space="preserve"> the</w:t>
      </w:r>
      <w:r w:rsidR="008767E9">
        <w:rPr>
          <w:rFonts w:ascii="Segoe UI" w:eastAsia="Times New Roman" w:hAnsi="Segoe UI" w:cs="Segoe UI"/>
          <w:color w:val="374151"/>
        </w:rPr>
        <w:t xml:space="preserve"> follow-up</w:t>
      </w:r>
      <w:r w:rsidRPr="00F21F84">
        <w:rPr>
          <w:rFonts w:ascii="Segoe UI" w:eastAsia="Times New Roman" w:hAnsi="Segoe UI" w:cs="Segoe UI"/>
          <w:color w:val="374151"/>
        </w:rPr>
        <w:t xml:space="preserve"> study recalculates the CHIP value with the inclusion of ICT factors. The results are meticulously documented in an accompanying spreadsheet, highlighting the revised CHIP values alongside the original computations for comparative analysis. Additionally, a</w:t>
      </w:r>
      <w:r w:rsidR="008767E9">
        <w:rPr>
          <w:rFonts w:ascii="Segoe UI" w:eastAsia="Times New Roman" w:hAnsi="Segoe UI" w:cs="Segoe UI"/>
          <w:color w:val="374151"/>
        </w:rPr>
        <w:t xml:space="preserve"> rigorously documented</w:t>
      </w:r>
      <w:r w:rsidRPr="00F21F84">
        <w:rPr>
          <w:rFonts w:ascii="Segoe UI" w:eastAsia="Times New Roman" w:hAnsi="Segoe UI" w:cs="Segoe UI"/>
          <w:color w:val="374151"/>
        </w:rPr>
        <w:t xml:space="preserve"> R-</w:t>
      </w:r>
      <w:r w:rsidR="008767E9" w:rsidRPr="00F21F84">
        <w:rPr>
          <w:rFonts w:ascii="Segoe UI" w:eastAsia="Times New Roman" w:hAnsi="Segoe UI" w:cs="Segoe UI"/>
          <w:color w:val="374151"/>
        </w:rPr>
        <w:t xml:space="preserve">code </w:t>
      </w:r>
      <w:r w:rsidR="008767E9">
        <w:rPr>
          <w:rFonts w:ascii="Segoe UI" w:eastAsia="Times New Roman" w:hAnsi="Segoe UI" w:cs="Segoe UI"/>
          <w:color w:val="374151"/>
        </w:rPr>
        <w:t>and supplementary datasets are</w:t>
      </w:r>
      <w:r w:rsidRPr="00F21F84">
        <w:rPr>
          <w:rFonts w:ascii="Segoe UI" w:eastAsia="Times New Roman" w:hAnsi="Segoe UI" w:cs="Segoe UI"/>
          <w:color w:val="374151"/>
        </w:rPr>
        <w:t xml:space="preserve"> provided, encapsulating the methodological approach and computational procedures employed in this analysis.</w:t>
      </w:r>
    </w:p>
    <w:p w14:paraId="16EBC418" w14:textId="77777777" w:rsidR="00F21F84" w:rsidRPr="00F21F84" w:rsidRDefault="00F21F84" w:rsidP="00F21F84">
      <w:pPr>
        <w:pBdr>
          <w:top w:val="single" w:sz="2" w:space="0" w:color="D9D9E3"/>
          <w:left w:val="single" w:sz="2" w:space="0" w:color="D9D9E3"/>
          <w:bottom w:val="single" w:sz="2" w:space="0" w:color="D9D9E3"/>
          <w:right w:val="single" w:sz="2" w:space="0" w:color="D9D9E3"/>
        </w:pBdr>
        <w:spacing w:before="100" w:beforeAutospacing="1" w:after="100" w:afterAutospacing="1"/>
        <w:outlineLvl w:val="2"/>
        <w:rPr>
          <w:rFonts w:ascii="Segoe UI" w:eastAsia="Times New Roman" w:hAnsi="Segoe UI" w:cs="Segoe UI"/>
          <w:b/>
          <w:bCs/>
          <w:sz w:val="30"/>
          <w:szCs w:val="30"/>
        </w:rPr>
      </w:pPr>
      <w:r w:rsidRPr="00F21F84">
        <w:rPr>
          <w:rFonts w:ascii="Segoe UI" w:eastAsia="Times New Roman" w:hAnsi="Segoe UI" w:cs="Segoe UI"/>
          <w:b/>
          <w:bCs/>
          <w:sz w:val="30"/>
          <w:szCs w:val="30"/>
        </w:rPr>
        <w:t>Conclusion</w:t>
      </w:r>
    </w:p>
    <w:p w14:paraId="1C4148BB" w14:textId="228CE503" w:rsidR="00AB2D7B" w:rsidRDefault="00F21F84">
      <w:r>
        <w:rPr>
          <w:rFonts w:ascii="Segoe UI" w:hAnsi="Segoe UI" w:cs="Segoe UI"/>
          <w:color w:val="374151"/>
        </w:rPr>
        <w:t>The study's findings underscore that the higher wages prevalent in more industrialized countries, such as the United States, are not significantly influenced by better access to</w:t>
      </w:r>
      <w:r w:rsidR="008767E9">
        <w:rPr>
          <w:rFonts w:ascii="Segoe UI" w:hAnsi="Segoe UI" w:cs="Segoe UI"/>
          <w:color w:val="374151"/>
        </w:rPr>
        <w:t xml:space="preserve"> modern technologies, such</w:t>
      </w:r>
      <w:r>
        <w:rPr>
          <w:rFonts w:ascii="Segoe UI" w:hAnsi="Segoe UI" w:cs="Segoe UI"/>
          <w:color w:val="374151"/>
        </w:rPr>
        <w:t xml:space="preserve"> </w:t>
      </w:r>
      <w:r w:rsidR="008767E9">
        <w:rPr>
          <w:rFonts w:ascii="Segoe UI" w:hAnsi="Segoe UI" w:cs="Segoe UI"/>
          <w:color w:val="374151"/>
        </w:rPr>
        <w:t xml:space="preserve">as </w:t>
      </w:r>
      <w:r>
        <w:rPr>
          <w:rFonts w:ascii="Segoe UI" w:hAnsi="Segoe UI" w:cs="Segoe UI"/>
          <w:color w:val="374151"/>
        </w:rPr>
        <w:t xml:space="preserve">ICT capital. This observation leads to the conclusion that wage disparities across borders may instead be attributed to factors such as government regulations, tariffs, and other forms of governmental intervention. The minimal impact of ICT on the CHIP value adjustment reinforces the notion that discrepancies in wages are more a result of policy-driven distortions rather than </w:t>
      </w:r>
      <w:r>
        <w:rPr>
          <w:rFonts w:ascii="Segoe UI" w:hAnsi="Segoe UI" w:cs="Segoe UI"/>
          <w:color w:val="374151"/>
        </w:rPr>
        <w:lastRenderedPageBreak/>
        <w:t>technological infrastructure disparities. This insight encourages a broader exploration of economic policies and their effects on wage standards, suggesting that the pursuit of equitable wage determinations might require addressing these governmental barriers directly.</w:t>
      </w:r>
    </w:p>
    <w:sectPr w:rsidR="00AB2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F84"/>
    <w:rsid w:val="00437126"/>
    <w:rsid w:val="008767E9"/>
    <w:rsid w:val="00D84C59"/>
    <w:rsid w:val="00F21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2931EF"/>
  <w15:chartTrackingRefBased/>
  <w15:docId w15:val="{EB91685C-C1EE-7149-9689-8FB2D0B9E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21F84"/>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1F8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21F8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0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370</Words>
  <Characters>2323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Jevgenijs Steinbuks</cp:lastModifiedBy>
  <cp:revision>2</cp:revision>
  <dcterms:created xsi:type="dcterms:W3CDTF">2024-02-02T18:15:00Z</dcterms:created>
  <dcterms:modified xsi:type="dcterms:W3CDTF">2024-02-02T18:23:00Z</dcterms:modified>
  <cp:category/>
</cp:coreProperties>
</file>