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A3572" w14:textId="77777777" w:rsidR="00CE7625" w:rsidRPr="00CE7625" w:rsidRDefault="00CE7625" w:rsidP="00CE7625">
      <w:pPr>
        <w:rPr>
          <w:b/>
          <w:bCs/>
        </w:rPr>
      </w:pPr>
      <w:r w:rsidRPr="00CE7625">
        <w:rPr>
          <w:b/>
          <w:bCs/>
        </w:rPr>
        <w:t>Analys om den äldre befolkningen</w:t>
      </w:r>
    </w:p>
    <w:p w14:paraId="24500640" w14:textId="77777777" w:rsidR="00E8725D" w:rsidRPr="00E8725D" w:rsidRDefault="00E8725D" w:rsidP="00E8725D">
      <w:r w:rsidRPr="00E8725D">
        <w:t>Den äldre befolkningen förväntas öka snabbt under de kommande åren, både nationellt och i Göteborg. Mot den bakgrunden har vi fördjupat oss i gruppen för att besvara frågor om vad som driver ökningen, hur äldre bor i dag och i vilka delar av staden ökningen väntas bli störst.</w:t>
      </w:r>
    </w:p>
    <w:p w14:paraId="2D0C8F6E" w14:textId="77777777" w:rsidR="00E8725D" w:rsidRPr="00E8725D" w:rsidRDefault="00E8725D" w:rsidP="00E8725D">
      <w:r w:rsidRPr="00E8725D">
        <w:t>Gränsen mellan yrkesverksam ålder och pension har blivit allt mer flytande. I den här rapporten sätter vi åldersgränsen till 65 år och äldre. För att tydliggöra skillnader inom gruppen delar vi även in den i flera åldersintervall.</w:t>
      </w:r>
    </w:p>
    <w:p w14:paraId="55E7420E" w14:textId="77777777" w:rsidR="00E8725D" w:rsidRPr="00E8725D" w:rsidRDefault="00E8725D" w:rsidP="00E8725D">
      <w:r w:rsidRPr="00E8725D">
        <w:t xml:space="preserve">Delar av statistiken i den här rapporten kommer från Statistiska centralbyråns (SCB) offentliga databas. Från och med 2025 och framåt har SCB infört en ny metod för röjandekontroll som kallas för Cell </w:t>
      </w:r>
      <w:proofErr w:type="spellStart"/>
      <w:r w:rsidRPr="00E8725D">
        <w:t>Key</w:t>
      </w:r>
      <w:proofErr w:type="spellEnd"/>
      <w:r w:rsidRPr="00E8725D">
        <w:t xml:space="preserve"> </w:t>
      </w:r>
      <w:proofErr w:type="spellStart"/>
      <w:r w:rsidRPr="00E8725D">
        <w:t>Method</w:t>
      </w:r>
      <w:proofErr w:type="spellEnd"/>
      <w:r w:rsidRPr="00E8725D">
        <w:t xml:space="preserve"> (CKM). Det innebär att en liten kontrollerad slumpmässig osäkerhet införs i samtliga redovisade uppgifter. Osäkerheten tillförs för att skydda enskilda personer så att ingen riskerar att röjas i statistiken. Till följd av detta så är inte alltid de redovisade totalerna lika med summan av deras redovisade delar. Om statistiken adderas för att skapa nya totaler så adderas även osäkerheten. Metoden är dock konstruerad för att i genomsnitt inte påverka nivåer eller utveckling över tid. För små populationer och korta tidsperioder kan dock avvikelserna vara något större. Införande av denna metod innebär också att statistiken som redovisas från SCB och även i denna rapport, skiljer sig marginellt från officiella siffrorna kring folkmängden. År 2025 är den officiella folkmängden för Göteborg 613 276 och i SCB:s redovisade uppgifter är det 613 274, alltså en skillnad på två personer.</w:t>
      </w:r>
    </w:p>
    <w:p w14:paraId="2176AB67" w14:textId="77777777" w:rsidR="00CE7625" w:rsidRPr="00CE7625" w:rsidRDefault="00CE7625" w:rsidP="00CE7625">
      <w:pPr>
        <w:rPr>
          <w:b/>
          <w:bCs/>
        </w:rPr>
      </w:pPr>
      <w:r w:rsidRPr="00CE7625">
        <w:rPr>
          <w:b/>
          <w:bCs/>
        </w:rPr>
        <w:t>Såhär använder du rapporten</w:t>
      </w:r>
    </w:p>
    <w:p w14:paraId="609A4171" w14:textId="77777777" w:rsidR="00CE7625" w:rsidRPr="00CE7625" w:rsidRDefault="00CE7625" w:rsidP="00CE7625">
      <w:pPr>
        <w:numPr>
          <w:ilvl w:val="0"/>
          <w:numId w:val="1"/>
        </w:numPr>
      </w:pPr>
      <w:r w:rsidRPr="00CE7625">
        <w:t>Samtliga diagram i denna rapport är interaktiva. Genom att placera muspekaren över staplarna eller punkterna får du upp dataetiketter med detaljerad statistik.</w:t>
      </w:r>
    </w:p>
    <w:p w14:paraId="18CD80A4" w14:textId="1F7E5380" w:rsidR="00CE7625" w:rsidRPr="00CE7625" w:rsidRDefault="00CE7625" w:rsidP="00CE7625">
      <w:pPr>
        <w:numPr>
          <w:ilvl w:val="0"/>
          <w:numId w:val="1"/>
        </w:numPr>
      </w:pPr>
      <w:r w:rsidRPr="00CE7625">
        <w:t xml:space="preserve">Du kan ladda ner både diagrammet och data som ligger till grund för diagrammet genom att klicka på denna symbol </w:t>
      </w:r>
      <w:r w:rsidRPr="00CE7625">
        <w:rPr>
          <w:noProof/>
        </w:rPr>
        <mc:AlternateContent>
          <mc:Choice Requires="wps">
            <w:drawing>
              <wp:inline distT="0" distB="0" distL="0" distR="0" wp14:anchorId="4D994C67" wp14:editId="0056DD8E">
                <wp:extent cx="352425" cy="352425"/>
                <wp:effectExtent l="0" t="0" r="0" b="0"/>
                <wp:docPr id="1135307994" name="Rektangel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2425"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95C5B" id="Rektangel 4" o:spid="_x0000_s1026" style="width:27.75pt;height:2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" filled="f" stroked="f">
                <o:lock v:ext="edit" aspectratio="t"/>
                <w10:anchorlock/>
              </v:rect>
            </w:pict>
          </mc:Fallback>
        </mc:AlternateContent>
      </w:r>
      <w:r w:rsidRPr="00CE7625">
        <w:t>.</w:t>
      </w:r>
    </w:p>
    <w:p w14:paraId="1ECCDF55" w14:textId="0E231BC9" w:rsidR="00CE7625" w:rsidRPr="00CE7625" w:rsidRDefault="00CE7625" w:rsidP="00CE7625">
      <w:pPr>
        <w:numPr>
          <w:ilvl w:val="0"/>
          <w:numId w:val="1"/>
        </w:numPr>
      </w:pPr>
      <w:r w:rsidRPr="00CE7625">
        <w:t xml:space="preserve">Du kan med hjälp av denna symbol </w:t>
      </w:r>
      <w:r w:rsidRPr="00CE7625">
        <w:rPr>
          <w:noProof/>
        </w:rPr>
        <mc:AlternateContent>
          <mc:Choice Requires="wps">
            <w:drawing>
              <wp:inline distT="0" distB="0" distL="0" distR="0" wp14:anchorId="0D14EF3A" wp14:editId="774ADD92">
                <wp:extent cx="171450" cy="161925"/>
                <wp:effectExtent l="0" t="0" r="0" b="0"/>
                <wp:docPr id="173213240" name="Rektangel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CDA6AF" id="Rektangel 3" o:spid="_x0000_s1026" style="width:13.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" filled="f" stroked="f">
                <o:lock v:ext="edit" aspectratio="t"/>
                <w10:anchorlock/>
              </v:rect>
            </w:pict>
          </mc:Fallback>
        </mc:AlternateContent>
      </w:r>
      <w:r w:rsidRPr="00CE7625">
        <w:t xml:space="preserve">få upp diagrammet på helskärm för en </w:t>
      </w:r>
      <w:proofErr w:type="spellStart"/>
      <w:r w:rsidRPr="00CE7625">
        <w:t>tydliggare</w:t>
      </w:r>
      <w:proofErr w:type="spellEnd"/>
      <w:r w:rsidRPr="00CE7625">
        <w:t xml:space="preserve"> visualisering. Observera dock att dataetiketterna inte fungerar i det här läget</w:t>
      </w:r>
    </w:p>
    <w:p w14:paraId="34A08BDB" w14:textId="77777777" w:rsidR="00CE7625" w:rsidRPr="00CE7625" w:rsidRDefault="00CE7625" w:rsidP="00CE7625">
      <w:pPr>
        <w:numPr>
          <w:ilvl w:val="0"/>
          <w:numId w:val="1"/>
        </w:numPr>
      </w:pPr>
      <w:r w:rsidRPr="00CE7625">
        <w:t>Innehållsförteckningen till höger är också klickbar. Genom att klicka på en rubrik så kommer du direkt till det valda avsnittet</w:t>
      </w:r>
    </w:p>
    <w:p w14:paraId="0E223172" w14:textId="77777777" w:rsidR="00CE7625" w:rsidRPr="00CE7625" w:rsidRDefault="00CE7625" w:rsidP="00CE7625">
      <w:pPr>
        <w:rPr>
          <w:b/>
          <w:bCs/>
        </w:rPr>
      </w:pPr>
      <w:r w:rsidRPr="00CE7625">
        <w:rPr>
          <w:b/>
          <w:bCs/>
        </w:rPr>
        <w:t>Sammanfattning</w:t>
      </w:r>
    </w:p>
    <w:p w14:paraId="6EE627E8" w14:textId="1BB20C48" w:rsidR="00697B6C" w:rsidRPr="00697B6C" w:rsidRDefault="00697B6C" w:rsidP="00697B6C">
      <w:r w:rsidRPr="00697B6C">
        <w:t>I detta avsnitt ger vi en kort sammanfattning av de huvudsakliga dragen i rapporten:</w:t>
      </w:r>
    </w:p>
    <w:p w14:paraId="0E95DFE7" w14:textId="27A55F82" w:rsidR="00697B6C" w:rsidRPr="00697B6C" w:rsidRDefault="00697B6C" w:rsidP="00697B6C">
      <w:pPr>
        <w:numPr>
          <w:ilvl w:val="0"/>
          <w:numId w:val="3"/>
        </w:numPr>
      </w:pPr>
      <w:r w:rsidRPr="00697B6C">
        <w:rPr>
          <w:b/>
          <w:bCs/>
        </w:rPr>
        <w:t>Antalet äldre ökar snabbt</w:t>
      </w:r>
      <w:r w:rsidRPr="00697B6C">
        <w:t>: Både i riket och i Göteborg kommer antalet äldre öka snabbt d</w:t>
      </w:r>
      <w:r w:rsidR="00524B47">
        <w:t>e</w:t>
      </w:r>
      <w:r w:rsidRPr="00697B6C">
        <w:t xml:space="preserve"> kommande åren. Enligt den senaste prognosen väntas antalet personer som är 65 år och äldre i Göteborg öka från cirka 99 200 i dag till omkring 141 000 år 2050. Ökningen som andel av befolkningen blir dock mindre, eftersom Göteborg – liksom andra storstäder – har en kontinuerlig inflyttning av yngre personer som bidrar till att balansera åldersstrukturen.</w:t>
      </w:r>
    </w:p>
    <w:p w14:paraId="26BB54B2" w14:textId="0E4DCAF5" w:rsidR="00697B6C" w:rsidRPr="00697B6C" w:rsidRDefault="00697B6C" w:rsidP="00697B6C">
      <w:pPr>
        <w:numPr>
          <w:ilvl w:val="0"/>
          <w:numId w:val="3"/>
        </w:numPr>
      </w:pPr>
      <w:r w:rsidRPr="00697B6C">
        <w:rPr>
          <w:b/>
          <w:bCs/>
        </w:rPr>
        <w:t>Demografisk fö</w:t>
      </w:r>
      <w:r w:rsidR="00524B47">
        <w:rPr>
          <w:b/>
          <w:bCs/>
        </w:rPr>
        <w:t>r</w:t>
      </w:r>
      <w:r w:rsidRPr="00697B6C">
        <w:rPr>
          <w:b/>
          <w:bCs/>
        </w:rPr>
        <w:t>sörjningskvot:</w:t>
      </w:r>
      <w:r w:rsidRPr="00697B6C">
        <w:t> Göteborg har i dag en relativt låg demografisk försörjningskvot. Faktum är att endast två kommuner i Sverige har en lägre kvot. Försörjningskvoten förväntas däremot att öka under prognosperioden: från cirka 58,8 i dag till 64,7 år 2050</w:t>
      </w:r>
    </w:p>
    <w:p w14:paraId="7BACF7D8" w14:textId="77777777" w:rsidR="00697B6C" w:rsidRPr="00697B6C" w:rsidRDefault="00697B6C" w:rsidP="00697B6C">
      <w:pPr>
        <w:numPr>
          <w:ilvl w:val="0"/>
          <w:numId w:val="3"/>
        </w:numPr>
      </w:pPr>
      <w:r w:rsidRPr="00697B6C">
        <w:rPr>
          <w:b/>
          <w:bCs/>
        </w:rPr>
        <w:lastRenderedPageBreak/>
        <w:t>Ökad medellivslängd och stora födelsekullar:</w:t>
      </w:r>
      <w:r w:rsidRPr="00697B6C">
        <w:t> Ökningen av antalet personer 65 år och äldre förklaras av två huvudsakliga faktorer. För det första börjar de stora födelsekullarna från 1940- och 1960-talet nu nå högre åldrar. För det andra ökar medellivslängden i Sverige. Enligt Statistiska Centralbyråns (SCB) senaste prognos väntas även dödligheten fortsätta minska, särskilt i de yngre åldrarna.</w:t>
      </w:r>
    </w:p>
    <w:p w14:paraId="35AD08BD" w14:textId="77777777" w:rsidR="00697B6C" w:rsidRPr="00697B6C" w:rsidRDefault="00697B6C" w:rsidP="00697B6C">
      <w:pPr>
        <w:numPr>
          <w:ilvl w:val="0"/>
          <w:numId w:val="3"/>
        </w:numPr>
      </w:pPr>
      <w:r w:rsidRPr="00697B6C">
        <w:rPr>
          <w:b/>
          <w:bCs/>
        </w:rPr>
        <w:t>Flyttbenägenheten:</w:t>
      </w:r>
      <w:r w:rsidRPr="00697B6C">
        <w:t> Vi ser en viss tendens till ökad flyttbenägenhet i åldersgruppen både mätt som antal flyttar och hur stor andel av åldersgruppen som flyttar. Vi ser framförallt en ökad trend när vi analyserar åldersgruppen innan 65 år och över, vilket kan betyda att allt fler anpassar sin boendesituation före sin pensionsålder.</w:t>
      </w:r>
    </w:p>
    <w:p w14:paraId="4A350A75" w14:textId="77777777" w:rsidR="00697B6C" w:rsidRPr="00697B6C" w:rsidRDefault="00697B6C" w:rsidP="00697B6C">
      <w:pPr>
        <w:numPr>
          <w:ilvl w:val="0"/>
          <w:numId w:val="3"/>
        </w:numPr>
      </w:pPr>
      <w:r w:rsidRPr="00697B6C">
        <w:rPr>
          <w:b/>
          <w:bCs/>
        </w:rPr>
        <w:t>Boendesituationen:</w:t>
      </w:r>
      <w:r w:rsidRPr="00697B6C">
        <w:t> Boendeformerna bland äldre har varit relativt stabila över tid. Det finns dock en svag trend att fler i den yngre delen av gruppen (65–74 år) bor i flerbostadshus, medan andelen i flerbostadshus minskar något i de äldsta grupperna. Vi ser även mönster inom staden som är starkt kopplat till hur bostadsbeståndet är fördelat.</w:t>
      </w:r>
    </w:p>
    <w:p w14:paraId="6FDF1580" w14:textId="77777777" w:rsidR="00697B6C" w:rsidRPr="00697B6C" w:rsidRDefault="00697B6C" w:rsidP="00697B6C">
      <w:pPr>
        <w:numPr>
          <w:ilvl w:val="0"/>
          <w:numId w:val="3"/>
        </w:numPr>
      </w:pPr>
      <w:r w:rsidRPr="00697B6C">
        <w:rPr>
          <w:b/>
          <w:bCs/>
        </w:rPr>
        <w:t>Utvecklingen inom Göteborg:</w:t>
      </w:r>
      <w:r w:rsidRPr="00697B6C">
        <w:t xml:space="preserve"> Det sista avsnittet analyserar vilka områden i Göteborg som kommer att se den största ökningen av åldersgruppen framöver samt i vilka områden som åldersgruppen bor i dagsläget. Vi ser en blandning av områden där åldersgruppen förväntas öka, i vissa beror det i stora drag på det har skett ett ökat byggande de senaste åren (Norra </w:t>
      </w:r>
      <w:proofErr w:type="spellStart"/>
      <w:r w:rsidRPr="00697B6C">
        <w:t>Älvsstranden</w:t>
      </w:r>
      <w:proofErr w:type="spellEnd"/>
      <w:r w:rsidRPr="00697B6C">
        <w:t xml:space="preserve"> och Kungsladugård-sanna) medans de i vissa områden beror på åldrande befolkningen (Björlanda och Södra Torslanda).</w:t>
      </w:r>
    </w:p>
    <w:p w14:paraId="2EDFDF92" w14:textId="77777777" w:rsidR="00CE7625" w:rsidRPr="00CE7625" w:rsidRDefault="00CE7625" w:rsidP="00CE7625">
      <w:pPr>
        <w:rPr>
          <w:b/>
          <w:bCs/>
        </w:rPr>
      </w:pPr>
      <w:r w:rsidRPr="00CE7625">
        <w:rPr>
          <w:b/>
          <w:bCs/>
        </w:rPr>
        <w:t>Den äldre befolkningens utveckling</w:t>
      </w:r>
    </w:p>
    <w:p w14:paraId="63EDFD27" w14:textId="77777777" w:rsidR="007917C7" w:rsidRPr="00697B6C" w:rsidRDefault="007917C7" w:rsidP="007917C7">
      <w:r>
        <w:t>Ända sedan början av 2000-talet har antalet äldre ökat i de tre storstäderna. År 2006 bodde cirka 72 200 äldre i Göteborg. År 2025 hade antalet ökat till cirka 99 200 personer, vilket motsvarar en ökning med omkring 27 000 personer eller 37 procent. Enligt vår prognos kommer den äldre befolkningen att fortsätta öka. År 2050 beräknas antalet äldre uppgå till cirka 141 000 personer, vilket innebär en ökning på omkring 41 800 mot dagens nivå och en nästan fördubbling jämfört med gruppens storlek år 2006.</w:t>
      </w:r>
    </w:p>
    <w:p w14:paraId="3C15C03F" w14:textId="77777777" w:rsidR="007917C7" w:rsidRPr="00697B6C" w:rsidRDefault="007917C7" w:rsidP="007917C7">
      <w:r>
        <w:t>Tittar vi på hur utvecklingen kommer att se ut uppdelat på åldersgrupper så ser vi även här en ökande trend. Åldersgruppen 65-79 år kommer att växa från cirka 71 700 till 92 100 vid prognosperiodens slut, en ökning med 28 procent eller 20 400 personer. Den äldsta åldersgruppen kommer också att öka till prognosperiodens slut från cirka 27 500 till 48 900, en ökning med 79 procent eller 21 400 personer.</w:t>
      </w:r>
    </w:p>
    <w:p w14:paraId="297D0D20" w14:textId="77777777" w:rsidR="007917C7" w:rsidRPr="00697B6C" w:rsidRDefault="007917C7" w:rsidP="007917C7">
      <w:r>
        <w:t>Sett till andelen av den totala befolkningen är ökningen mindre. Det beror framför allt på att Göteborg, liksom de andra storstäderna, har en stor inflyttning av yngre personer, vilket bidrar till att balansera åldersstrukturen. Trots detta har andelen äldre i Göteborg ökat något sedan början av 2000-talet, från 14,7 procent till cirka 16,2 procent år 2025. Den tydliga ”puckeln” i mitten av 1970-talet i storstädernas åldersstruktur har en klar förklaring. Under denna period byggdes omfattande villaområden i kranskommunerna, vilket lockade barnfamiljer att flytta från storstäderna och därmed förändrade storstädernas befolkningsstruktur.</w:t>
      </w:r>
    </w:p>
    <w:p w14:paraId="3D6D4F1B" w14:textId="77777777" w:rsidR="007917C7" w:rsidRPr="00697B6C" w:rsidRDefault="007917C7" w:rsidP="007917C7">
      <w:r>
        <w:t xml:space="preserve">Enligt prognosen kommer den äldre befolkningen att utgöra en större andel av befolkningen både i riket och i storstäderna. Göteborg förväntas ha den lägsta andelen äldre i slutet av prognosperioden i denna jämförelse. I riket beräknas den äldre befolkningen utgöra cirka en </w:t>
      </w:r>
      <w:r>
        <w:lastRenderedPageBreak/>
        <w:t>fjärdedel av den totala befolkningen, medan motsvarande andel i Göteborg väntas uppgå till omkring 20 procent.</w:t>
      </w:r>
    </w:p>
    <w:p w14:paraId="2580876B" w14:textId="77777777" w:rsidR="007917C7" w:rsidRPr="00697B6C" w:rsidRDefault="007917C7" w:rsidP="007917C7">
      <w:r>
        <w:t>Jämför vi också Göteborgs utveckling med kommunerna i vårt närområde kan vi se att det råder stora skillnader. Göteborg kommer att ha den lägsta andelen i åldersgruppen i jämförelse med resterande kommuner i slutet av prognosperioden. Öckerö och Tjörn kommer att ha den högsta andelen på 33–35 procent av den totala befolkningen</w:t>
      </w:r>
    </w:p>
    <w:p w14:paraId="01A2BD2D" w14:textId="55B57F43" w:rsidR="001A294E" w:rsidRDefault="00CE7625">
      <w:pPr>
        <w:rPr>
          <w:b/>
          <w:bCs/>
        </w:rPr>
      </w:pPr>
      <w:r>
        <w:rPr>
          <w:b/>
          <w:bCs/>
        </w:rPr>
        <w:t>Folkökning</w:t>
      </w:r>
    </w:p>
    <w:p w14:paraId="4EBD68DE" w14:textId="77777777" w:rsidR="007917C7" w:rsidRPr="00697B6C" w:rsidRDefault="007917C7" w:rsidP="007917C7">
      <w:r>
        <w:t>Diagrammen nedan visar den historiska folkökningen och den förväntade utvecklingen enligt prognosen. Folkökningen beräknas som förändringen i antalet personer i en viss åldersgrupp jämfört med föregående år.</w:t>
      </w:r>
    </w:p>
    <w:p w14:paraId="536CDB19" w14:textId="77777777" w:rsidR="007917C7" w:rsidRPr="00697B6C" w:rsidRDefault="007917C7" w:rsidP="007917C7">
      <w:r>
        <w:t>I åldersgruppen 65–79 år har den största folkökningen redan inträffat, då 1940-talisterna under början av 2000-talet började träda in i åldersgruppen. Under början av 2010-talet, när nästan hela 1940-talistkullen ingick i gruppen, uppgick folkökningen till mellan 1 500 och 2 000 personer per år. Den tydliga minskningen under början av 1990-talet till början av 2000-talet berodde på att kullen född på 1930-talet var relativt liten i jämförelse med den större kullen född på 1920-talet. En lika kraftig ökning i denna åldersgrupp förväntas inte upprepas enligt prognosen. Däremot väntas en årlig folkökning på omkring 1 000 personer de kommande åren när 1960-talisterna börjar träda in i åldersgruppen.</w:t>
      </w:r>
    </w:p>
    <w:p w14:paraId="121E2EBE" w14:textId="77777777" w:rsidR="007917C7" w:rsidRPr="00697B6C" w:rsidRDefault="007917C7" w:rsidP="007917C7">
      <w:r>
        <w:t>Diagrammet till höger visar folkökningen i åldersgruppen 80 år och äldre, både historiskt och enligt prognosen. Gruppen har börjat öka under de senaste åren i takt med att 1940-talisterna har börjat träda in i åldersgruppen. År 2020 fyllde de första 1940-talisterna 80 år, och utvecklingen visar att gruppen kommer att öka snabbare de kommande åren när allt fler ur denna generation når åldern 80 år. Under stora delar av 2000-talet minskade gruppen eller ökade endast med omkring 100–200 personer per år, men under de senaste tre åren har ökningen uppgått till omkring 1 000 personer per år. Denna utveckling väntas fortsätta även under de närmaste åren.</w:t>
      </w:r>
    </w:p>
    <w:p w14:paraId="2EF26919" w14:textId="77777777" w:rsidR="007917C7" w:rsidRPr="00CE7625" w:rsidRDefault="007917C7" w:rsidP="007917C7">
      <w:pPr>
        <w:rPr>
          <w:b/>
          <w:bCs/>
        </w:rPr>
      </w:pPr>
      <w:r>
        <w:rPr>
          <w:b/>
          <w:bCs/>
        </w:rPr>
        <w:t>Demografisk försörjningskvot</w:t>
      </w:r>
    </w:p>
    <w:p w14:paraId="24B69E4E" w14:textId="77777777" w:rsidR="007917C7" w:rsidRPr="00697B6C" w:rsidRDefault="007917C7" w:rsidP="007917C7">
      <w:r>
        <w:t>Den demografiska försörjningskvoten visar förhållandet mellan den icke-arbetsföra och den arbetsföra befolkningen och används för att beskriva den ekonomiska försörjningsbördan. Den arbetsföra befolkningen avser personer i åldern 20–64 år, medan den icke-arbetsföra befolkningen avser personer som är yngre eller äldre än denna åldersgrupp. En kvot på 80 innebär exempelvis att det finns 80 försörjda personer per 100 potentiellt arbetsföra. Ju högre kvot, desto större är den ekonomiska bördan för den arbetsföra befolkningen att finansiera barn, unga och pensionärer genom skatter och välfärdssystem. Det ska dock tilläggas att försörjningskvoten är ett rent demografiskt mått och tar inte hänsyn till hur sysselsättningsgraden ser ut i respektive kommun.</w:t>
      </w:r>
    </w:p>
    <w:p w14:paraId="0CE3CEFC" w14:textId="77777777" w:rsidR="007917C7" w:rsidRPr="00697B6C" w:rsidRDefault="007917C7" w:rsidP="007917C7">
      <w:r>
        <w:t>År 2025 hade 58 av Sveriges totalt 290 kommuner en försörjningskvot över 100, dessa kommuner har alltså fler personer i den icke-arbetsföra befolkningen än i den arbetsföra. Ytterligare 109 kommuner har en försörjningskvot på över 90 vilket innebär att många av Sveriges kommuner står inför en demografisk utmaning både nu och de kommande åren.</w:t>
      </w:r>
    </w:p>
    <w:p w14:paraId="1A885950" w14:textId="77777777" w:rsidR="007917C7" w:rsidRPr="00697B6C" w:rsidRDefault="007917C7" w:rsidP="007917C7">
      <w:r>
        <w:t xml:space="preserve">Göteborg har en lägre försörjningskvot än både riket och de andra storstäderna. Det är endast två kommuner i Sverige som har en lägre försörjningskvot än Göteborg, dessa är Solna och Sundbyberg. År 2025 uppgår Göteborgs försörjningskvot till 58,8, medan motsvarande siffra för </w:t>
      </w:r>
      <w:r>
        <w:lastRenderedPageBreak/>
        <w:t>riket är 77. Enligt de senaste prognoserna förväntas Göteborg även fortsättningsvis ha en lägre försörjningskvot än riket och de andra storstäderna, och ökningen bedöms bli mindre. Trots att antalet äldre kommer att öka under de kommande åren väntas försörjningskvoten inte stiga i samma takt. Detta beror delvis på minskat barnafödande, vilket innebär att antalet personer under arbetsför ålder inte ökar i samma omfattning.</w:t>
      </w:r>
    </w:p>
    <w:p w14:paraId="7BD71BA4" w14:textId="77777777" w:rsidR="007917C7" w:rsidRPr="00CE7625" w:rsidRDefault="007917C7" w:rsidP="007917C7">
      <w:pPr>
        <w:rPr>
          <w:b/>
          <w:bCs/>
        </w:rPr>
      </w:pPr>
      <w:r>
        <w:rPr>
          <w:b/>
          <w:bCs/>
        </w:rPr>
        <w:t>Varför ökar den äldre befolkningen?</w:t>
      </w:r>
    </w:p>
    <w:p w14:paraId="064C4AA8" w14:textId="77777777" w:rsidR="007917C7" w:rsidRPr="00697B6C" w:rsidRDefault="007917C7" w:rsidP="007917C7">
      <w:r>
        <w:t>Den äldre befolkningen har historiskt sett flyttat i mindre utsträckning än andra grupper. Det innebär att ökningen av gruppen till stor del beror på hur stora de ålderskullar är som träder in underifrån och hur medellivslängden eller dödlighetsutvecklingen förändras. Det sistnämnda kommer vi att fokusera på i nästkommande avsnitt, medan vi i detta avsnitt fokuserar på födelsekullarnas betydelse. Den ökning som vi redan har börjat se, och som enligt prognosen kommer att fortsätta, kan därför delvis förklaras av hur många som föddes under 1940–1960-talen.</w:t>
      </w:r>
    </w:p>
    <w:p w14:paraId="37D8CE0C" w14:textId="77777777" w:rsidR="007917C7" w:rsidRPr="00697B6C" w:rsidRDefault="007917C7" w:rsidP="007917C7">
      <w:r>
        <w:t>Diagrammet nedan över antalet födda i riket visar tre tydliga uppgångar: under 1940-talet, 1960-talet och 1990-talet. De som föddes under 1940-talet utgör den största gruppen sett till antalet födda, och under vissa år föddes över 130 000 personer – nivåer som inte har uppmätts sedan dess. 1940-talisterna är i dag omkring 80 år och kommer att fortsätta fyllas på år för år, vilket innebär ett ökat tryck på äldreomsorgen i form av både hemtjänst och särskilt boende.</w:t>
      </w:r>
    </w:p>
    <w:p w14:paraId="136572FC" w14:textId="77777777" w:rsidR="007917C7" w:rsidRPr="00697B6C" w:rsidRDefault="007917C7" w:rsidP="007917C7">
      <w:r>
        <w:t>I år fyllde även de första 1960-talisterna 65 år och ingår därmed i målgruppen. Även denna generation kommer successivt att vandra uppåt i åldrarna, vilket på sikt innebär att den äldre befolkningen fortsätter att växa.</w:t>
      </w:r>
    </w:p>
    <w:p w14:paraId="35F8F21B" w14:textId="77777777" w:rsidR="007917C7" w:rsidRPr="00CE7625" w:rsidRDefault="007917C7" w:rsidP="007917C7">
      <w:pPr>
        <w:rPr>
          <w:b/>
          <w:bCs/>
        </w:rPr>
      </w:pPr>
      <w:r>
        <w:rPr>
          <w:b/>
          <w:bCs/>
        </w:rPr>
        <w:t>Befolkningsstruktur</w:t>
      </w:r>
    </w:p>
    <w:p w14:paraId="2A6CD75E" w14:textId="77777777" w:rsidR="007917C7" w:rsidRPr="00697B6C" w:rsidRDefault="007917C7" w:rsidP="007917C7">
      <w:r>
        <w:t>Diagrammen nedan visar befolkningsstrukturen per åldersgrupp för riket och de tre storstäderna. För att tydliggöra utvecklingen visas tre olika år som illustrerar hur 1940-talisterna har rört sig genom åldrarna.</w:t>
      </w:r>
    </w:p>
    <w:p w14:paraId="2C8EF7A8" w14:textId="77777777" w:rsidR="007917C7" w:rsidRPr="00697B6C" w:rsidRDefault="007917C7" w:rsidP="007917C7">
      <w:r>
        <w:t>År 1970, när 1940-talisterna var mellan 21 och 30 år, utgjorde de mellan 7,4 och 8,4 procent av den totala befolkningen i riket. En så hög andel har denna åldersgrupp inte haft under de valda åren. År 2020, när generationen var mellan 71 och 80 år, utgjorde gruppen mellan 4,0 och 5,3 procent av den totala befolkningen. Det är den högsta andel som åldersgruppen 71–80 år har stått för under de tre valda åren.</w:t>
      </w:r>
    </w:p>
    <w:p w14:paraId="03BFBEF4" w14:textId="77777777" w:rsidR="007917C7" w:rsidRPr="00697B6C" w:rsidRDefault="007917C7" w:rsidP="007917C7">
      <w:r>
        <w:t>I Göteborg och de andra storstäderna ser befolkningsstrukturen annorlunda ut jämfört med riket som helhet. Detta beror till stor del på att många 1940-talister flyttade från storstäderna i samband med utbyggnaden av kranskommunerna under 1970-talet. Samtidigt har storstäderna haft en kontinuerligt hög inflyttning av personer i yngre åldersgrupper, vilket har bidragit till en annan åldersstruktur.</w:t>
      </w:r>
    </w:p>
    <w:p w14:paraId="6E0D3EBA" w14:textId="77777777" w:rsidR="007917C7" w:rsidRPr="00CE7625" w:rsidRDefault="007917C7" w:rsidP="007917C7">
      <w:pPr>
        <w:rPr>
          <w:b/>
          <w:bCs/>
        </w:rPr>
      </w:pPr>
      <w:r>
        <w:rPr>
          <w:b/>
          <w:bCs/>
        </w:rPr>
        <w:t>Dödlighetsutvecklingen</w:t>
      </w:r>
    </w:p>
    <w:p w14:paraId="0D2C463B" w14:textId="77777777" w:rsidR="007917C7" w:rsidRPr="00697B6C" w:rsidRDefault="007917C7" w:rsidP="007917C7">
      <w:r>
        <w:t>En annan viktig förklaring till varför den äldre befolkningen ökar och förväntas fortsätta öka är utvecklingen av dödligheten. Medellivslängden har ökat, vilket också syns i statistiken över antalet avlidna fördelat efter ålder.</w:t>
      </w:r>
    </w:p>
    <w:p w14:paraId="768F0532" w14:textId="77777777" w:rsidR="007917C7" w:rsidRPr="00697B6C" w:rsidRDefault="007917C7" w:rsidP="007917C7">
      <w:r>
        <w:t xml:space="preserve">Vi ser en tydlig förskjutning från yngre till äldre åldrar, både i riket och i Göteborg. År 1970 utgjorde personer i åldersgruppen 65–69 år 10,5 procent av samtliga avlidna i Göteborg. År 2025 hade denna andel minskat till 5,9 procent, vilket motsvarar en nästan halvering. Ser vi i stället till </w:t>
      </w:r>
      <w:r>
        <w:lastRenderedPageBreak/>
        <w:t>den äldsta åldersgruppen, 95 år och äldre, utgjorde de 10,5 procent av samtliga avlidna år 2025. Det är en markant ökning jämfört med 1970 (1,0 procent) och 2000 (5,6 procent). Detta visar att betydligt fler personer i dag lever till 95 års ålder och äldre jämfört med tidigare.</w:t>
      </w:r>
    </w:p>
    <w:p w14:paraId="67C73F1B" w14:textId="77777777" w:rsidR="007917C7" w:rsidRPr="00697B6C" w:rsidRDefault="007917C7" w:rsidP="007917C7">
      <w:r>
        <w:t>Ett annat sätt att följa dödlighetsutvecklingen är genom att studera dödsrisker. Dödsrisken beräknas som antalet avlidna i en viss åldersgrupp dividerat med storleken på åldersgruppen vid årets början. Utvecklingen visar en nedåtgående trend sedan 1970-talet, särskilt i de yngre åldersgrupperna. För åldersgruppen 80–84 år har dödsrisken exempelvis minskat från 11,9 procent år 1968 till 4,3 procent år 2025.</w:t>
      </w:r>
    </w:p>
    <w:p w14:paraId="61CCD708" w14:textId="46088B9E" w:rsidR="007917C7" w:rsidRPr="00697B6C" w:rsidRDefault="00D7537E" w:rsidP="007917C7">
      <w:r>
        <w:t>SCB</w:t>
      </w:r>
      <w:r w:rsidR="007917C7">
        <w:t xml:space="preserve"> bedömer i sina prognoser att dödsriskerna kommer att fortsätta minska, framför allt i de yngre åldersgrupperna. Det innebär att dödligheten förskjuts till högre åldrar och att medellivslängden fortsätter att öka. Dödsriskerna i Göteborg följer i stort sett samma mönster som i riket. I befolkningsprognosen för Göteborg tillämpas SCB:s antaganden om minskande dödsrisker. Tillsammans med att stora generationer nu träder in i de äldre åldrarna förklarar detta varför antalet äldre förväntas fortsätta öka, både i riket och i Göteborg.</w:t>
      </w:r>
    </w:p>
    <w:p w14:paraId="0A624126" w14:textId="77777777" w:rsidR="007917C7" w:rsidRPr="00CE7625" w:rsidRDefault="007917C7" w:rsidP="007917C7">
      <w:pPr>
        <w:rPr>
          <w:b/>
          <w:bCs/>
        </w:rPr>
      </w:pPr>
      <w:r>
        <w:rPr>
          <w:b/>
          <w:bCs/>
        </w:rPr>
        <w:t>Flyttningar</w:t>
      </w:r>
    </w:p>
    <w:p w14:paraId="766A1037" w14:textId="77777777" w:rsidR="007917C7" w:rsidRPr="00697B6C" w:rsidRDefault="007917C7" w:rsidP="007917C7">
      <w:r>
        <w:t xml:space="preserve">Den äldre befolkningen har historiskt sett flyttat i mindre utsträckning än övriga befolkningen, ett mönster som fortfarande gäller. Samtidigt visar analyser att äldre i dag är mer flyttningsbenägna än tidigare, både i riket och i storstäderna. I det här avsnittet analyserar vi hur </w:t>
      </w:r>
      <w:proofErr w:type="spellStart"/>
      <w:r>
        <w:t>flyttmönstrena</w:t>
      </w:r>
      <w:proofErr w:type="spellEnd"/>
      <w:r>
        <w:t xml:space="preserve"> har sett ut i ett historiskt perspektiv. Vi analyserar även </w:t>
      </w:r>
      <w:proofErr w:type="spellStart"/>
      <w:r>
        <w:t>flyttmönstrena</w:t>
      </w:r>
      <w:proofErr w:type="spellEnd"/>
      <w:r>
        <w:t xml:space="preserve"> för åldersgruppen 55-64 år, detta för att analysera hur många som anpassar sin boendesituation innan man träder in i pensionsåldrarna.</w:t>
      </w:r>
    </w:p>
    <w:p w14:paraId="5DFCFDC6" w14:textId="77777777" w:rsidR="007917C7" w:rsidRPr="00697B6C" w:rsidRDefault="007917C7" w:rsidP="007917C7">
      <w:r>
        <w:t>I Göteborg har både in- och utflyttningar ökat jämfört med 1997. År 2024 flyttade 942 personer i åldern 65–79 år in till Göteborg, medan 1 174 flyttade ut. Det kan jämföras med 1997 då 556 personer flyttade in och 670 flyttade ut. De senaste åren har det skett fler flyttningar i de äldre åldersgrupperna. Den tydligaste ökningen ser vi i åldersgruppen 55-64 år där både in- och utflyttningar har ökat stadigt sedan 1997 vilket kan betyda att allt fler personer anpassar sin boendesituation innan man når pensionsåldrarna. In- och utflyttning omfattar både inrikes och utrikes flyttningar. Liknande mönster syns även för dessa kategorier, även om inrikes flyttningar är den vanligaste formen. Båda typerna av flyttningar har ökat sedan 1997. Ser vi till hela den äldre gruppen har även flyttningar inom Göteborg ökat.</w:t>
      </w:r>
    </w:p>
    <w:p w14:paraId="2517AD13" w14:textId="7A259CC6" w:rsidR="00E8725D" w:rsidRPr="00E8725D" w:rsidRDefault="00E8725D" w:rsidP="007917C7">
      <w:pPr>
        <w:rPr>
          <w:b/>
          <w:bCs/>
        </w:rPr>
      </w:pPr>
      <w:r>
        <w:rPr>
          <w:b/>
          <w:bCs/>
        </w:rPr>
        <w:t>Utflyttningsrisker/Inflyttningsrisker</w:t>
      </w:r>
    </w:p>
    <w:p w14:paraId="4DA06F11" w14:textId="394EF4F2" w:rsidR="007917C7" w:rsidRPr="00697B6C" w:rsidRDefault="007917C7" w:rsidP="007917C7">
      <w:r>
        <w:t>För att bättre förstå om flyttbenägenheten faktiskt har ökat, och inte bara speglar en större befolkning, analyserar vi även utflyttningsrisk och andel inflyttade. Utflyttningsrisk definieras som andelen utflyttade i förhållande till befolkningen vid årets början, medan andelen inflyttade avser hur stor del av befolkningen som flyttade in under året.</w:t>
      </w:r>
    </w:p>
    <w:p w14:paraId="1ED1CCB9" w14:textId="77777777" w:rsidR="007917C7" w:rsidRDefault="007917C7" w:rsidP="007917C7">
      <w:r>
        <w:t>Vid en analys av utvecklingen ser vi även här en gradvis ökande trend, även om den inte är lika brant som när vi studerar de faktiska antalen. Variationerna mellan enskilda år är något större, vilket försvårar tolkningen. Därför har vi även lagt till en trendlinje i diagrammen. Den visar att samtliga åldersgrupper uppvisar en gradvis ökning, där gruppen 80 år och äldre har den svagaste utvecklingen, medan åldersgruppen 55–64 år visar den tydligaste ökningen. Detta tyder på att allt fler anpassar sitt boende innan de går i pension.</w:t>
      </w:r>
    </w:p>
    <w:p w14:paraId="79958AEE" w14:textId="6B2D2929" w:rsidR="00E8725D" w:rsidRPr="00E8725D" w:rsidRDefault="00E8725D" w:rsidP="00E8725D">
      <w:pPr>
        <w:rPr>
          <w:b/>
          <w:bCs/>
        </w:rPr>
      </w:pPr>
      <w:r w:rsidRPr="00E8725D">
        <w:rPr>
          <w:b/>
          <w:bCs/>
        </w:rPr>
        <w:t xml:space="preserve">Utflyttningsrisk/Inflyttningsrisk per </w:t>
      </w:r>
      <w:proofErr w:type="spellStart"/>
      <w:r w:rsidRPr="00E8725D">
        <w:rPr>
          <w:b/>
          <w:bCs/>
        </w:rPr>
        <w:t>flyttyp</w:t>
      </w:r>
      <w:proofErr w:type="spellEnd"/>
    </w:p>
    <w:p w14:paraId="099BB74F" w14:textId="41EB43D1" w:rsidR="00E8725D" w:rsidRPr="00E8725D" w:rsidRDefault="00E8725D" w:rsidP="00E8725D">
      <w:r w:rsidRPr="00E8725D">
        <w:lastRenderedPageBreak/>
        <w:t>Vi har också analyserat ut- och inflyttningsriskerna uppdelat efter varifrån och vart de äldre flyttar. Eftersom en flytt inom Göteborg kan räknas som både in- och utflyttning har vi valt att kategorisera den som utflyttning.</w:t>
      </w:r>
    </w:p>
    <w:p w14:paraId="35D3F883" w14:textId="77777777" w:rsidR="00E8725D" w:rsidRPr="00E8725D" w:rsidRDefault="00E8725D" w:rsidP="00E8725D">
      <w:r w:rsidRPr="00E8725D">
        <w:t>Diagrammen nedan visar utvecklingen mellan 2006 och 2025, uppdelat på åldersgrupper. Flytt inom Göteborg är den vanligaste kategorin och utvandring den minst vanliga. Eftersom det förekommer stor variation mellan åren har vi lagt till en trendlinje, på samma sätt som i föregående diagram. Sammantaget är trenden relativt stabil, men med en svagt uppåtgående tendens – särskilt för gruppen 55–64 år. En tydlig effekt av pandemin syns också i statistiken, då fler valde att flytta från Göteborg under den perioden. Det kraftiga utslaget i utvandringen år 2024 beror sannolikt på Skatteverkets avskrivningsarbete, där myndigheten under de senaste åren har registrerat utvandring för personer som bedömts ha lämnat landet tidigare.</w:t>
      </w:r>
    </w:p>
    <w:p w14:paraId="1FF196E1" w14:textId="77777777" w:rsidR="00E8725D" w:rsidRPr="00E8725D" w:rsidRDefault="00E8725D" w:rsidP="00E8725D">
      <w:r w:rsidRPr="00E8725D">
        <w:t>När vi i stället analyserar inflyttningsriskerna – det vill säga hur stor andel av startbefolkningen i Göteborgsregionen respektive övriga riket som flyttar till Göteborg – ser vi en ökning i åldersgruppen 55–64 år. Talen är visserligen små, men trenden är ändå uppåtgående. Även åldersgruppen 65–79 år uppvisar en svagt ökande inflyttning från övriga riket.</w:t>
      </w:r>
    </w:p>
    <w:p w14:paraId="5B377B61" w14:textId="3E910347" w:rsidR="00E8725D" w:rsidRPr="00697B6C" w:rsidRDefault="00E8725D" w:rsidP="007917C7">
      <w:r w:rsidRPr="00E8725D">
        <w:t>Sammantaget rör sig åldersgruppen 55–64 år mot en gradvis ökad flyttbenägenhet. Det mönstret har vi även sett i tidigare diagram i det här avsnittet, vilket tyder på att allt fler anpassar sitt boende redan innan de når pensionsåldern.</w:t>
      </w:r>
    </w:p>
    <w:p w14:paraId="71A79E1C" w14:textId="77777777" w:rsidR="007917C7" w:rsidRPr="00CE7625" w:rsidRDefault="007917C7" w:rsidP="007917C7">
      <w:pPr>
        <w:rPr>
          <w:b/>
          <w:bCs/>
        </w:rPr>
      </w:pPr>
      <w:r>
        <w:rPr>
          <w:b/>
          <w:bCs/>
        </w:rPr>
        <w:t>Hur bor den äldre befolkningen?</w:t>
      </w:r>
    </w:p>
    <w:p w14:paraId="46698E42" w14:textId="77777777" w:rsidR="007917C7" w:rsidRPr="00697B6C" w:rsidRDefault="007917C7" w:rsidP="007917C7">
      <w:r>
        <w:t>Vi har även analyserat hur den äldre befolkningen bor i Göteborg. Över tid syns relativt stabila mönster, med endast mindre förskjutningar mellan åren. Det som framför allt kan urskiljas är att de yngre åldersgrupperna, 65–69 och 70–74 år, i något högre utsträckning bor i flerbostadshus jämfört med tidigare. År 2012 bodde 62,7 procent av de äldre i flerbostadshus, medan motsvarande andel år 2024 var 67,9 procent, vilket innebär en ökning med 5,2 procentenheter.</w:t>
      </w:r>
    </w:p>
    <w:p w14:paraId="5A835E01" w14:textId="77777777" w:rsidR="007917C7" w:rsidRPr="00697B6C" w:rsidRDefault="007917C7" w:rsidP="007917C7">
      <w:r>
        <w:t>För de äldre åldersgrupperna syns en motsatt trend. År 2012 bodde 68,6 procent av personer i åldern 85–89 år i flerbostadshus, medan andelen år 2024 var 62,0 procent. Förklaringen är främst en ökad andel som bor i småhus, samtidigt som andelen som bor i specialbostäder (främst äldreboenden) har minskat. Vi ser även en mindre minskning av andelen som bor i specialbostad bland de allra äldsta (90+) och en något högre andel som bor i småhus jämfört med tidigare år.</w:t>
      </w:r>
    </w:p>
    <w:p w14:paraId="7CBA3902" w14:textId="4101B65D" w:rsidR="007917C7" w:rsidRPr="00697B6C" w:rsidRDefault="00D7537E" w:rsidP="007917C7">
      <w:r w:rsidRPr="00D7537E">
        <w:t>Under 2024 bodde cirka 30 procent av personer i åldern 65–79 år i småhus i Göteborg</w:t>
      </w:r>
      <w:r>
        <w:t xml:space="preserve">. </w:t>
      </w:r>
      <w:r w:rsidR="007917C7">
        <w:t xml:space="preserve">Andelen varierar kraftigt mellan olika mellanområden, vilket hänger samman med hur bostadsbeståndet ser ut i respektive område. De mellanområden som har högst andel personer i åldern 65–69 år som bor i småhus är Östra Angered (97,9 procent), </w:t>
      </w:r>
      <w:proofErr w:type="spellStart"/>
      <w:r w:rsidR="007917C7">
        <w:t>Bratthammar</w:t>
      </w:r>
      <w:proofErr w:type="spellEnd"/>
      <w:r w:rsidR="007917C7">
        <w:t>–Näset–Önnered (96,0 procent) och Björlanda (92,1 procent). Det är framför allt i stadens yttre delar som småhusdominerade områden finns, vilket även syns tydligt i kartan.</w:t>
      </w:r>
    </w:p>
    <w:p w14:paraId="0F29EA1B" w14:textId="721D070D" w:rsidR="007917C7" w:rsidRPr="00697B6C" w:rsidRDefault="007917C7" w:rsidP="007917C7">
      <w:r>
        <w:t>Cirka 7 300 personer i åldern 80 år och äldre bor i småhus i Göteborg, vilket motsvarar omkring 28 procent av denna åldersgrupp</w:t>
      </w:r>
      <w:r w:rsidR="00D7537E">
        <w:t xml:space="preserve"> 2024</w:t>
      </w:r>
      <w:r>
        <w:t>. För dessa åldrar är det också Östra Angered och Björlanda som har högst andelar, men även Södra skärgården utmärker sig med en hög andel äldre som bor i småhus.</w:t>
      </w:r>
    </w:p>
    <w:p w14:paraId="5606C255" w14:textId="77777777" w:rsidR="007917C7" w:rsidRDefault="007917C7" w:rsidP="007917C7">
      <w:r>
        <w:t xml:space="preserve">Som tidigare nämnts är den äldre befolkningen generellt mindre flyttningsbenägen, vilket ofta innebär att man bor kvar i samma bostad under en stor del av livet. Många av dessa småhus kan därför antas ha varit borta från bostadsmarknaden under en längre tid. Ur ett </w:t>
      </w:r>
      <w:r>
        <w:lastRenderedPageBreak/>
        <w:t>stadsplaneringsperspektiv är det därför särskilt intressant att följa denna utveckling, då det är rimligt att anta att fler av dessa småhus kommer att komma ut på marknaden inom en nära framtid</w:t>
      </w:r>
    </w:p>
    <w:p w14:paraId="13644805" w14:textId="77777777" w:rsidR="00E8725D" w:rsidRPr="00E8725D" w:rsidRDefault="00E8725D" w:rsidP="00E8725D">
      <w:r w:rsidRPr="00E8725D">
        <w:t>Vi har också analyserat hur stor andel av småhusen i Göteborgsregionen som bebos av minst en person i de aktuella åldersgrupperna. Det är särskilt intressant ur ett stadsplaneringsperspektiv, eftersom många av dessa bostäder kan antas komma ut på marknaden i framtiden. Vi redovisar resultaten på kommunnivå för hela Göteborgsregionen, och senare på mellanområdesnivå inom Göteborg.</w:t>
      </w:r>
    </w:p>
    <w:p w14:paraId="092BAAA8" w14:textId="77777777" w:rsidR="00E8725D" w:rsidRPr="00E8725D" w:rsidRDefault="00E8725D" w:rsidP="00E8725D">
      <w:r w:rsidRPr="00E8725D">
        <w:t>Tjörn och Öckerö sticker ut som de kommuner där störst andel av småhusen innehåller minst en person i åldersgruppen. I åldersgruppen 65–79 år gäller det ungefär 36 procent av småhusen, och i åldersgruppen 80 år och äldre närmare 15 procent. Sett till faktiska antal hamnar Göteborg högst, följt av Kungsbacka och Lerum. I Göteborg har cirka 27 procent av småhusen minst en person i åldern 65–79 år boende, och cirka 11 procent minst en person som är 80 år eller äldre. Sammantaget motsvarar det ungefär 20 300 småhus.</w:t>
      </w:r>
    </w:p>
    <w:p w14:paraId="6B3EA367" w14:textId="77777777" w:rsidR="00E8725D" w:rsidRPr="00E8725D" w:rsidRDefault="00E8725D" w:rsidP="00E8725D">
      <w:r w:rsidRPr="00E8725D">
        <w:t>Inom Göteborg är det Södra Skärgården som har den högsta andelen småhus med en person i åldersgruppen 65–79 år. Men även flera centrala områden – som Kungsladugård–Sanna, Guldheden och Olivedal – har en hög andel av åldersgruppen i sitt småhusbestånd. I åldersgruppen 80 år och äldre är det Centrala Tynnered som sticker ut med högst andel, men även andra områden i stadsområde Sydväst har en hög andel av denna åldersgrupp i småhusen</w:t>
      </w:r>
    </w:p>
    <w:p w14:paraId="5CC94B73" w14:textId="77777777" w:rsidR="00E8725D" w:rsidRPr="00697B6C" w:rsidRDefault="00E8725D" w:rsidP="007917C7"/>
    <w:p w14:paraId="5C5A1D61" w14:textId="77777777" w:rsidR="007917C7" w:rsidRPr="00CE7625" w:rsidRDefault="007917C7" w:rsidP="007917C7">
      <w:pPr>
        <w:rPr>
          <w:b/>
          <w:bCs/>
        </w:rPr>
      </w:pPr>
      <w:r>
        <w:rPr>
          <w:b/>
          <w:bCs/>
        </w:rPr>
        <w:t>Utveckling av den äldre befolkningen inom Göteborg</w:t>
      </w:r>
    </w:p>
    <w:p w14:paraId="0825FEAA" w14:textId="77777777" w:rsidR="007917C7" w:rsidRPr="00697B6C" w:rsidRDefault="007917C7" w:rsidP="007917C7">
      <w:r>
        <w:t>Det sista avsnittet i den här rapporten syftar till att analysera hur utvecklingen har sett ut inom Göteborg. Vi analyserar vilka områden i Göteborg där det bor flest äldre i dag, vilka områden som har sett den högsta ökningen sett till antalet äldre, samt i vilka områden antalet äldre förväntas öka enligt prognosen.</w:t>
      </w:r>
    </w:p>
    <w:p w14:paraId="34A76CDE" w14:textId="77777777" w:rsidR="007917C7" w:rsidRPr="00697B6C" w:rsidRDefault="007917C7" w:rsidP="007917C7">
      <w:r>
        <w:t>Södra skärgården sticker ut tydligt med den högsta andelen äldre, 32,1 procent av befolkningen. Det kan jämföras med Olivedal, som har den näst högsta andelen på 22,8 procent. Efter dessa två områden är fördelningen betydligt jämnare. I absoluta tal bor flest äldre i Majorna-Stigberget-Masthugget (5 483 personer), följt av Stora Högsbo (5 460 personer) och Norra centrum (5 179). De lägsta andelarna återfinns i Bergsjön och Västra Biskopsgården, där 9,7–9,9 procent av befolkningen är 65 år eller äldre.</w:t>
      </w:r>
    </w:p>
    <w:p w14:paraId="16084177" w14:textId="77777777" w:rsidR="007917C7" w:rsidRPr="00697B6C" w:rsidRDefault="007917C7" w:rsidP="007917C7">
      <w:r>
        <w:t>Vi har sedan jämfört hur utvecklingen i respektive område har sett ut sedan 2010. För både åldersgruppen 65–79 år och 80+ år är det Norra Älvstranden som har sett den största ökningen. Det beror framför allt på att det har byggts mycket i området under de senaste åren.</w:t>
      </w:r>
    </w:p>
    <w:p w14:paraId="55C42A47" w14:textId="77777777" w:rsidR="007917C7" w:rsidRPr="00697B6C" w:rsidRDefault="007917C7" w:rsidP="007917C7">
      <w:r>
        <w:t>Utöver Norra Älvstranden ser vi att det har skett ökningar i majoriteten av områdena. För åldersgruppen 65–79 år har en särskilt stor ökning skett i Kungsladugård–Sanna, där befolkningen har ökat med 1 116 personer, vilket motsvarar en procentuell ökning på 139 procent. Det är även ett område där det har byggts mycket under de senaste åren. Björlanda är ett annat område där antalet äldre har ökat, främst på grund av en åldrande befolkning. Här har antalet ökat med 399 personer, vilket motsvarar en procentuell ökning på 89 procent.</w:t>
      </w:r>
    </w:p>
    <w:p w14:paraId="6196BA89" w14:textId="77777777" w:rsidR="007917C7" w:rsidRPr="00697B6C" w:rsidRDefault="007917C7" w:rsidP="007917C7">
      <w:r>
        <w:t xml:space="preserve">Det har även skett en stor procentuell ökning bland personer som är 80 år och äldre. Utöver Norra Älvstranden är det Billdal och Södra Torslanda som har ökat mest. I Billdal har </w:t>
      </w:r>
      <w:r>
        <w:lastRenderedPageBreak/>
        <w:t>åldersgruppen ökat med 146 procent (537 personer) och i Södra Torslanda har åldersgruppen ökat med 104 procent (569 personer).</w:t>
      </w:r>
    </w:p>
    <w:p w14:paraId="6E7F0451" w14:textId="77777777" w:rsidR="007917C7" w:rsidRPr="00697B6C" w:rsidRDefault="007917C7" w:rsidP="007917C7">
      <w:r>
        <w:t>Diagrammen nedan visar hur befolkningsförändringen har sett ut för de fem områden som haft den största procentuella ökningen inom respektive åldersgrupp. För åldersgruppen 65–79 år är det Kungsladugård, Majorna, Norra Älvstranden, Olivedal och Björlanda som står för den största ökningen. Vi ser att många områden har haft en stigande trend sedan 2005. I Majorna har antalet till exempel ökat från 2 030 personer till 4 244 personer år 2025. När vi även tittar på hur stor andel åldersgruppen utgör av den totala befolkningen i området ser vi att även denna andel har ökat. Det innebär att befolkningsökningen inte enbart är en konsekvens av en växande totalbefolkning.</w:t>
      </w:r>
    </w:p>
    <w:p w14:paraId="19D57C82" w14:textId="77777777" w:rsidR="007917C7" w:rsidRPr="00697B6C" w:rsidRDefault="007917C7" w:rsidP="007917C7">
      <w:r>
        <w:t>För åldersgruppen 80 år och äldre är det i stället Torslanda och Billdal, tillsammans med Norra Älvstranden, som uppvisar den brantaste ökningen. I denna åldersgrupp är det inte centrumområden, som i den yngre äldregruppen, som står för de största ökningarna. Bortsett från Norra Älvstranden kan utvecklingen i stället kopplas till områden med en högre andel personer födda under 1940-talet. Södra Torslanda har till exempel gått från 291 personer år 2000 till 1 116 personer år 2025, vilket är en mycket kraftig ökning.</w:t>
      </w:r>
    </w:p>
    <w:p w14:paraId="2E163C0D" w14:textId="77777777" w:rsidR="007917C7" w:rsidRDefault="007917C7" w:rsidP="007917C7">
      <w:r>
        <w:t>Som tidigare nämnts kommer den äldre befolkningen att öka framöver, vilket innebär ett ökat tryck på äldreomsorgen i form av ett större behov av hemtjänst och särskilt boende. Samtliga områden i Göteborg kommer att se en ökning av antalet äldre. Vissa områden kommer att påverkas mer än andra, men det rör sig om breda ökningar som vi kommer att se framöver. Om vi tittar på vilka områden som förväntas se den största förändringen fram till 2033 är det återigen Norra Älvstranden som beräknas växa mest, med en ökning på 1 240 personer, följt av Kålltorp (846), Majorna (839) , Björlanda (835) och Kungsladugård (835).</w:t>
      </w:r>
    </w:p>
    <w:p w14:paraId="260A9ABD" w14:textId="77777777" w:rsidR="007917C7" w:rsidRPr="00CE7625" w:rsidRDefault="007917C7" w:rsidP="007917C7">
      <w:r>
        <w:t>Det finns givetvis osäkerheter i prognosen, främst kopplade till omvärldsfaktorer. Den äldre befolkningen har historiskt sett flyttat i lägre grad, vilket har bidragit till att prognoserna varit relativt stabila. Vi har dock observerat att denna generation av äldre verkar vara mer flyttbenägen än tidigare generationer, något som också lyfts i denna rapport. Även hur den framtida dödlighetsutvecklingen fortskrider kommer att påverka utvecklingen av antalet äldre. Detta behöver följas vidare, då det kan få konsekvenser för den framtida utvecklingen av antalet äldre i Göteborg.</w:t>
      </w:r>
    </w:p>
    <w:p w14:paraId="7FDEFA3B" w14:textId="77777777" w:rsidR="007917C7" w:rsidRPr="00CE7625" w:rsidRDefault="007917C7" w:rsidP="007917C7"/>
    <w:p w14:paraId="6313064C" w14:textId="77777777" w:rsidR="00CE7625" w:rsidRPr="00CE7625" w:rsidRDefault="00CE7625" w:rsidP="007917C7">
      <w:pPr>
        <w:rPr>
          <w:b/>
          <w:bCs/>
        </w:rPr>
      </w:pPr>
    </w:p>
    <w:sectPr w:rsidR="00CE7625" w:rsidRPr="00CE76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15DC5"/>
    <w:multiLevelType w:val="multilevel"/>
    <w:tmpl w:val="2074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FB2F65"/>
    <w:multiLevelType w:val="multilevel"/>
    <w:tmpl w:val="D78E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184B75"/>
    <w:multiLevelType w:val="multilevel"/>
    <w:tmpl w:val="0D9C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160471">
    <w:abstractNumId w:val="1"/>
  </w:num>
  <w:num w:numId="2" w16cid:durableId="412356318">
    <w:abstractNumId w:val="2"/>
  </w:num>
  <w:num w:numId="3" w16cid:durableId="1182431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625"/>
    <w:rsid w:val="00065F2C"/>
    <w:rsid w:val="001252BD"/>
    <w:rsid w:val="001A294E"/>
    <w:rsid w:val="00313ABF"/>
    <w:rsid w:val="00524B47"/>
    <w:rsid w:val="00697B6C"/>
    <w:rsid w:val="006F5C8C"/>
    <w:rsid w:val="007917C7"/>
    <w:rsid w:val="007C51F4"/>
    <w:rsid w:val="00993973"/>
    <w:rsid w:val="00CE7625"/>
    <w:rsid w:val="00D7537E"/>
    <w:rsid w:val="00E8725D"/>
    <w:rsid w:val="00FB0B3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683F9"/>
  <w15:chartTrackingRefBased/>
  <w15:docId w15:val="{C71989F6-7818-4932-8249-F581F4DDB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CE7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CE7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CE7625"/>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CE7625"/>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CE7625"/>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CE7625"/>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CE7625"/>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CE7625"/>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CE7625"/>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E7625"/>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CE7625"/>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CE7625"/>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CE7625"/>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CE7625"/>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CE7625"/>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CE7625"/>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CE7625"/>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CE7625"/>
    <w:rPr>
      <w:rFonts w:eastAsiaTheme="majorEastAsia" w:cstheme="majorBidi"/>
      <w:color w:val="272727" w:themeColor="text1" w:themeTint="D8"/>
    </w:rPr>
  </w:style>
  <w:style w:type="paragraph" w:styleId="Rubrik">
    <w:name w:val="Title"/>
    <w:basedOn w:val="Normal"/>
    <w:next w:val="Normal"/>
    <w:link w:val="RubrikChar"/>
    <w:uiPriority w:val="10"/>
    <w:qFormat/>
    <w:rsid w:val="00CE7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CE7625"/>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CE7625"/>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CE7625"/>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CE7625"/>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CE7625"/>
    <w:rPr>
      <w:i/>
      <w:iCs/>
      <w:color w:val="404040" w:themeColor="text1" w:themeTint="BF"/>
    </w:rPr>
  </w:style>
  <w:style w:type="paragraph" w:styleId="Liststycke">
    <w:name w:val="List Paragraph"/>
    <w:basedOn w:val="Normal"/>
    <w:uiPriority w:val="34"/>
    <w:qFormat/>
    <w:rsid w:val="00CE7625"/>
    <w:pPr>
      <w:ind w:left="720"/>
      <w:contextualSpacing/>
    </w:pPr>
  </w:style>
  <w:style w:type="character" w:styleId="Starkbetoning">
    <w:name w:val="Intense Emphasis"/>
    <w:basedOn w:val="Standardstycketeckensnitt"/>
    <w:uiPriority w:val="21"/>
    <w:qFormat/>
    <w:rsid w:val="00CE7625"/>
    <w:rPr>
      <w:i/>
      <w:iCs/>
      <w:color w:val="0F4761" w:themeColor="accent1" w:themeShade="BF"/>
    </w:rPr>
  </w:style>
  <w:style w:type="paragraph" w:styleId="Starktcitat">
    <w:name w:val="Intense Quote"/>
    <w:basedOn w:val="Normal"/>
    <w:next w:val="Normal"/>
    <w:link w:val="StarktcitatChar"/>
    <w:uiPriority w:val="30"/>
    <w:qFormat/>
    <w:rsid w:val="00CE7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CE7625"/>
    <w:rPr>
      <w:i/>
      <w:iCs/>
      <w:color w:val="0F4761" w:themeColor="accent1" w:themeShade="BF"/>
    </w:rPr>
  </w:style>
  <w:style w:type="character" w:styleId="Starkreferens">
    <w:name w:val="Intense Reference"/>
    <w:basedOn w:val="Standardstycketeckensnitt"/>
    <w:uiPriority w:val="32"/>
    <w:qFormat/>
    <w:rsid w:val="00CE76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5426">
      <w:bodyDiv w:val="1"/>
      <w:marLeft w:val="0"/>
      <w:marRight w:val="0"/>
      <w:marTop w:val="0"/>
      <w:marBottom w:val="0"/>
      <w:divBdr>
        <w:top w:val="none" w:sz="0" w:space="0" w:color="auto"/>
        <w:left w:val="none" w:sz="0" w:space="0" w:color="auto"/>
        <w:bottom w:val="none" w:sz="0" w:space="0" w:color="auto"/>
        <w:right w:val="none" w:sz="0" w:space="0" w:color="auto"/>
      </w:divBdr>
      <w:divsChild>
        <w:div w:id="2020618947">
          <w:marLeft w:val="0"/>
          <w:marRight w:val="0"/>
          <w:marTop w:val="0"/>
          <w:marBottom w:val="0"/>
          <w:divBdr>
            <w:top w:val="none" w:sz="0" w:space="0" w:color="auto"/>
            <w:left w:val="none" w:sz="0" w:space="0" w:color="auto"/>
            <w:bottom w:val="none" w:sz="0" w:space="0" w:color="auto"/>
            <w:right w:val="none" w:sz="0" w:space="0" w:color="auto"/>
          </w:divBdr>
          <w:divsChild>
            <w:div w:id="10826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3699">
      <w:bodyDiv w:val="1"/>
      <w:marLeft w:val="0"/>
      <w:marRight w:val="0"/>
      <w:marTop w:val="0"/>
      <w:marBottom w:val="0"/>
      <w:divBdr>
        <w:top w:val="none" w:sz="0" w:space="0" w:color="auto"/>
        <w:left w:val="none" w:sz="0" w:space="0" w:color="auto"/>
        <w:bottom w:val="none" w:sz="0" w:space="0" w:color="auto"/>
        <w:right w:val="none" w:sz="0" w:space="0" w:color="auto"/>
      </w:divBdr>
    </w:div>
    <w:div w:id="108401554">
      <w:bodyDiv w:val="1"/>
      <w:marLeft w:val="0"/>
      <w:marRight w:val="0"/>
      <w:marTop w:val="0"/>
      <w:marBottom w:val="0"/>
      <w:divBdr>
        <w:top w:val="none" w:sz="0" w:space="0" w:color="auto"/>
        <w:left w:val="none" w:sz="0" w:space="0" w:color="auto"/>
        <w:bottom w:val="none" w:sz="0" w:space="0" w:color="auto"/>
        <w:right w:val="none" w:sz="0" w:space="0" w:color="auto"/>
      </w:divBdr>
    </w:div>
    <w:div w:id="124005114">
      <w:bodyDiv w:val="1"/>
      <w:marLeft w:val="0"/>
      <w:marRight w:val="0"/>
      <w:marTop w:val="0"/>
      <w:marBottom w:val="0"/>
      <w:divBdr>
        <w:top w:val="none" w:sz="0" w:space="0" w:color="auto"/>
        <w:left w:val="none" w:sz="0" w:space="0" w:color="auto"/>
        <w:bottom w:val="none" w:sz="0" w:space="0" w:color="auto"/>
        <w:right w:val="none" w:sz="0" w:space="0" w:color="auto"/>
      </w:divBdr>
    </w:div>
    <w:div w:id="161043235">
      <w:bodyDiv w:val="1"/>
      <w:marLeft w:val="0"/>
      <w:marRight w:val="0"/>
      <w:marTop w:val="0"/>
      <w:marBottom w:val="0"/>
      <w:divBdr>
        <w:top w:val="none" w:sz="0" w:space="0" w:color="auto"/>
        <w:left w:val="none" w:sz="0" w:space="0" w:color="auto"/>
        <w:bottom w:val="none" w:sz="0" w:space="0" w:color="auto"/>
        <w:right w:val="none" w:sz="0" w:space="0" w:color="auto"/>
      </w:divBdr>
      <w:divsChild>
        <w:div w:id="932662087">
          <w:marLeft w:val="0"/>
          <w:marRight w:val="0"/>
          <w:marTop w:val="0"/>
          <w:marBottom w:val="0"/>
          <w:divBdr>
            <w:top w:val="none" w:sz="0" w:space="0" w:color="auto"/>
            <w:left w:val="none" w:sz="0" w:space="0" w:color="auto"/>
            <w:bottom w:val="none" w:sz="0" w:space="0" w:color="auto"/>
            <w:right w:val="none" w:sz="0" w:space="0" w:color="auto"/>
          </w:divBdr>
          <w:divsChild>
            <w:div w:id="213328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5003">
      <w:bodyDiv w:val="1"/>
      <w:marLeft w:val="0"/>
      <w:marRight w:val="0"/>
      <w:marTop w:val="0"/>
      <w:marBottom w:val="0"/>
      <w:divBdr>
        <w:top w:val="none" w:sz="0" w:space="0" w:color="auto"/>
        <w:left w:val="none" w:sz="0" w:space="0" w:color="auto"/>
        <w:bottom w:val="none" w:sz="0" w:space="0" w:color="auto"/>
        <w:right w:val="none" w:sz="0" w:space="0" w:color="auto"/>
      </w:divBdr>
    </w:div>
    <w:div w:id="249386576">
      <w:bodyDiv w:val="1"/>
      <w:marLeft w:val="0"/>
      <w:marRight w:val="0"/>
      <w:marTop w:val="0"/>
      <w:marBottom w:val="0"/>
      <w:divBdr>
        <w:top w:val="none" w:sz="0" w:space="0" w:color="auto"/>
        <w:left w:val="none" w:sz="0" w:space="0" w:color="auto"/>
        <w:bottom w:val="none" w:sz="0" w:space="0" w:color="auto"/>
        <w:right w:val="none" w:sz="0" w:space="0" w:color="auto"/>
      </w:divBdr>
      <w:divsChild>
        <w:div w:id="680594563">
          <w:marLeft w:val="0"/>
          <w:marRight w:val="0"/>
          <w:marTop w:val="0"/>
          <w:marBottom w:val="0"/>
          <w:divBdr>
            <w:top w:val="none" w:sz="0" w:space="0" w:color="auto"/>
            <w:left w:val="none" w:sz="0" w:space="0" w:color="auto"/>
            <w:bottom w:val="none" w:sz="0" w:space="0" w:color="auto"/>
            <w:right w:val="none" w:sz="0" w:space="0" w:color="auto"/>
          </w:divBdr>
          <w:divsChild>
            <w:div w:id="214126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03841">
      <w:bodyDiv w:val="1"/>
      <w:marLeft w:val="0"/>
      <w:marRight w:val="0"/>
      <w:marTop w:val="0"/>
      <w:marBottom w:val="0"/>
      <w:divBdr>
        <w:top w:val="none" w:sz="0" w:space="0" w:color="auto"/>
        <w:left w:val="none" w:sz="0" w:space="0" w:color="auto"/>
        <w:bottom w:val="none" w:sz="0" w:space="0" w:color="auto"/>
        <w:right w:val="none" w:sz="0" w:space="0" w:color="auto"/>
      </w:divBdr>
      <w:divsChild>
        <w:div w:id="805045929">
          <w:marLeft w:val="0"/>
          <w:marRight w:val="0"/>
          <w:marTop w:val="0"/>
          <w:marBottom w:val="0"/>
          <w:divBdr>
            <w:top w:val="none" w:sz="0" w:space="0" w:color="auto"/>
            <w:left w:val="none" w:sz="0" w:space="0" w:color="auto"/>
            <w:bottom w:val="none" w:sz="0" w:space="0" w:color="auto"/>
            <w:right w:val="none" w:sz="0" w:space="0" w:color="auto"/>
          </w:divBdr>
          <w:divsChild>
            <w:div w:id="277032514">
              <w:marLeft w:val="0"/>
              <w:marRight w:val="0"/>
              <w:marTop w:val="0"/>
              <w:marBottom w:val="0"/>
              <w:divBdr>
                <w:top w:val="none" w:sz="0" w:space="0" w:color="auto"/>
                <w:left w:val="none" w:sz="0" w:space="0" w:color="auto"/>
                <w:bottom w:val="none" w:sz="0" w:space="0" w:color="auto"/>
                <w:right w:val="none" w:sz="0" w:space="0" w:color="auto"/>
              </w:divBdr>
              <w:divsChild>
                <w:div w:id="52162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723713">
      <w:bodyDiv w:val="1"/>
      <w:marLeft w:val="0"/>
      <w:marRight w:val="0"/>
      <w:marTop w:val="0"/>
      <w:marBottom w:val="0"/>
      <w:divBdr>
        <w:top w:val="none" w:sz="0" w:space="0" w:color="auto"/>
        <w:left w:val="none" w:sz="0" w:space="0" w:color="auto"/>
        <w:bottom w:val="none" w:sz="0" w:space="0" w:color="auto"/>
        <w:right w:val="none" w:sz="0" w:space="0" w:color="auto"/>
      </w:divBdr>
      <w:divsChild>
        <w:div w:id="747383631">
          <w:marLeft w:val="0"/>
          <w:marRight w:val="0"/>
          <w:marTop w:val="0"/>
          <w:marBottom w:val="0"/>
          <w:divBdr>
            <w:top w:val="none" w:sz="0" w:space="0" w:color="auto"/>
            <w:left w:val="none" w:sz="0" w:space="0" w:color="auto"/>
            <w:bottom w:val="none" w:sz="0" w:space="0" w:color="auto"/>
            <w:right w:val="none" w:sz="0" w:space="0" w:color="auto"/>
          </w:divBdr>
          <w:divsChild>
            <w:div w:id="44750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00721">
      <w:bodyDiv w:val="1"/>
      <w:marLeft w:val="0"/>
      <w:marRight w:val="0"/>
      <w:marTop w:val="0"/>
      <w:marBottom w:val="0"/>
      <w:divBdr>
        <w:top w:val="none" w:sz="0" w:space="0" w:color="auto"/>
        <w:left w:val="none" w:sz="0" w:space="0" w:color="auto"/>
        <w:bottom w:val="none" w:sz="0" w:space="0" w:color="auto"/>
        <w:right w:val="none" w:sz="0" w:space="0" w:color="auto"/>
      </w:divBdr>
      <w:divsChild>
        <w:div w:id="1886288945">
          <w:marLeft w:val="0"/>
          <w:marRight w:val="0"/>
          <w:marTop w:val="0"/>
          <w:marBottom w:val="0"/>
          <w:divBdr>
            <w:top w:val="none" w:sz="0" w:space="0" w:color="auto"/>
            <w:left w:val="none" w:sz="0" w:space="0" w:color="auto"/>
            <w:bottom w:val="none" w:sz="0" w:space="0" w:color="auto"/>
            <w:right w:val="none" w:sz="0" w:space="0" w:color="auto"/>
          </w:divBdr>
          <w:divsChild>
            <w:div w:id="47437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18941">
      <w:bodyDiv w:val="1"/>
      <w:marLeft w:val="0"/>
      <w:marRight w:val="0"/>
      <w:marTop w:val="0"/>
      <w:marBottom w:val="0"/>
      <w:divBdr>
        <w:top w:val="none" w:sz="0" w:space="0" w:color="auto"/>
        <w:left w:val="none" w:sz="0" w:space="0" w:color="auto"/>
        <w:bottom w:val="none" w:sz="0" w:space="0" w:color="auto"/>
        <w:right w:val="none" w:sz="0" w:space="0" w:color="auto"/>
      </w:divBdr>
      <w:divsChild>
        <w:div w:id="989989832">
          <w:marLeft w:val="0"/>
          <w:marRight w:val="0"/>
          <w:marTop w:val="0"/>
          <w:marBottom w:val="0"/>
          <w:divBdr>
            <w:top w:val="none" w:sz="0" w:space="0" w:color="auto"/>
            <w:left w:val="none" w:sz="0" w:space="0" w:color="auto"/>
            <w:bottom w:val="none" w:sz="0" w:space="0" w:color="auto"/>
            <w:right w:val="none" w:sz="0" w:space="0" w:color="auto"/>
          </w:divBdr>
          <w:divsChild>
            <w:div w:id="180126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71150">
      <w:bodyDiv w:val="1"/>
      <w:marLeft w:val="0"/>
      <w:marRight w:val="0"/>
      <w:marTop w:val="0"/>
      <w:marBottom w:val="0"/>
      <w:divBdr>
        <w:top w:val="none" w:sz="0" w:space="0" w:color="auto"/>
        <w:left w:val="none" w:sz="0" w:space="0" w:color="auto"/>
        <w:bottom w:val="none" w:sz="0" w:space="0" w:color="auto"/>
        <w:right w:val="none" w:sz="0" w:space="0" w:color="auto"/>
      </w:divBdr>
      <w:divsChild>
        <w:div w:id="493106944">
          <w:marLeft w:val="0"/>
          <w:marRight w:val="0"/>
          <w:marTop w:val="0"/>
          <w:marBottom w:val="0"/>
          <w:divBdr>
            <w:top w:val="none" w:sz="0" w:space="0" w:color="auto"/>
            <w:left w:val="none" w:sz="0" w:space="0" w:color="auto"/>
            <w:bottom w:val="none" w:sz="0" w:space="0" w:color="auto"/>
            <w:right w:val="none" w:sz="0" w:space="0" w:color="auto"/>
          </w:divBdr>
          <w:divsChild>
            <w:div w:id="22472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371659">
      <w:bodyDiv w:val="1"/>
      <w:marLeft w:val="0"/>
      <w:marRight w:val="0"/>
      <w:marTop w:val="0"/>
      <w:marBottom w:val="0"/>
      <w:divBdr>
        <w:top w:val="none" w:sz="0" w:space="0" w:color="auto"/>
        <w:left w:val="none" w:sz="0" w:space="0" w:color="auto"/>
        <w:bottom w:val="none" w:sz="0" w:space="0" w:color="auto"/>
        <w:right w:val="none" w:sz="0" w:space="0" w:color="auto"/>
      </w:divBdr>
    </w:div>
    <w:div w:id="398601827">
      <w:bodyDiv w:val="1"/>
      <w:marLeft w:val="0"/>
      <w:marRight w:val="0"/>
      <w:marTop w:val="0"/>
      <w:marBottom w:val="0"/>
      <w:divBdr>
        <w:top w:val="none" w:sz="0" w:space="0" w:color="auto"/>
        <w:left w:val="none" w:sz="0" w:space="0" w:color="auto"/>
        <w:bottom w:val="none" w:sz="0" w:space="0" w:color="auto"/>
        <w:right w:val="none" w:sz="0" w:space="0" w:color="auto"/>
      </w:divBdr>
    </w:div>
    <w:div w:id="425611288">
      <w:bodyDiv w:val="1"/>
      <w:marLeft w:val="0"/>
      <w:marRight w:val="0"/>
      <w:marTop w:val="0"/>
      <w:marBottom w:val="0"/>
      <w:divBdr>
        <w:top w:val="none" w:sz="0" w:space="0" w:color="auto"/>
        <w:left w:val="none" w:sz="0" w:space="0" w:color="auto"/>
        <w:bottom w:val="none" w:sz="0" w:space="0" w:color="auto"/>
        <w:right w:val="none" w:sz="0" w:space="0" w:color="auto"/>
      </w:divBdr>
    </w:div>
    <w:div w:id="449863330">
      <w:bodyDiv w:val="1"/>
      <w:marLeft w:val="0"/>
      <w:marRight w:val="0"/>
      <w:marTop w:val="0"/>
      <w:marBottom w:val="0"/>
      <w:divBdr>
        <w:top w:val="none" w:sz="0" w:space="0" w:color="auto"/>
        <w:left w:val="none" w:sz="0" w:space="0" w:color="auto"/>
        <w:bottom w:val="none" w:sz="0" w:space="0" w:color="auto"/>
        <w:right w:val="none" w:sz="0" w:space="0" w:color="auto"/>
      </w:divBdr>
    </w:div>
    <w:div w:id="484509811">
      <w:bodyDiv w:val="1"/>
      <w:marLeft w:val="0"/>
      <w:marRight w:val="0"/>
      <w:marTop w:val="0"/>
      <w:marBottom w:val="0"/>
      <w:divBdr>
        <w:top w:val="none" w:sz="0" w:space="0" w:color="auto"/>
        <w:left w:val="none" w:sz="0" w:space="0" w:color="auto"/>
        <w:bottom w:val="none" w:sz="0" w:space="0" w:color="auto"/>
        <w:right w:val="none" w:sz="0" w:space="0" w:color="auto"/>
      </w:divBdr>
    </w:div>
    <w:div w:id="532041080">
      <w:bodyDiv w:val="1"/>
      <w:marLeft w:val="0"/>
      <w:marRight w:val="0"/>
      <w:marTop w:val="0"/>
      <w:marBottom w:val="0"/>
      <w:divBdr>
        <w:top w:val="none" w:sz="0" w:space="0" w:color="auto"/>
        <w:left w:val="none" w:sz="0" w:space="0" w:color="auto"/>
        <w:bottom w:val="none" w:sz="0" w:space="0" w:color="auto"/>
        <w:right w:val="none" w:sz="0" w:space="0" w:color="auto"/>
      </w:divBdr>
      <w:divsChild>
        <w:div w:id="1891456897">
          <w:marLeft w:val="0"/>
          <w:marRight w:val="0"/>
          <w:marTop w:val="0"/>
          <w:marBottom w:val="0"/>
          <w:divBdr>
            <w:top w:val="none" w:sz="0" w:space="0" w:color="auto"/>
            <w:left w:val="none" w:sz="0" w:space="0" w:color="auto"/>
            <w:bottom w:val="none" w:sz="0" w:space="0" w:color="auto"/>
            <w:right w:val="none" w:sz="0" w:space="0" w:color="auto"/>
          </w:divBdr>
          <w:divsChild>
            <w:div w:id="109459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064138">
      <w:bodyDiv w:val="1"/>
      <w:marLeft w:val="0"/>
      <w:marRight w:val="0"/>
      <w:marTop w:val="0"/>
      <w:marBottom w:val="0"/>
      <w:divBdr>
        <w:top w:val="none" w:sz="0" w:space="0" w:color="auto"/>
        <w:left w:val="none" w:sz="0" w:space="0" w:color="auto"/>
        <w:bottom w:val="none" w:sz="0" w:space="0" w:color="auto"/>
        <w:right w:val="none" w:sz="0" w:space="0" w:color="auto"/>
      </w:divBdr>
      <w:divsChild>
        <w:div w:id="2078890698">
          <w:marLeft w:val="0"/>
          <w:marRight w:val="0"/>
          <w:marTop w:val="0"/>
          <w:marBottom w:val="0"/>
          <w:divBdr>
            <w:top w:val="none" w:sz="0" w:space="0" w:color="auto"/>
            <w:left w:val="none" w:sz="0" w:space="0" w:color="auto"/>
            <w:bottom w:val="none" w:sz="0" w:space="0" w:color="auto"/>
            <w:right w:val="none" w:sz="0" w:space="0" w:color="auto"/>
          </w:divBdr>
          <w:divsChild>
            <w:div w:id="64883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13360">
      <w:bodyDiv w:val="1"/>
      <w:marLeft w:val="0"/>
      <w:marRight w:val="0"/>
      <w:marTop w:val="0"/>
      <w:marBottom w:val="0"/>
      <w:divBdr>
        <w:top w:val="none" w:sz="0" w:space="0" w:color="auto"/>
        <w:left w:val="none" w:sz="0" w:space="0" w:color="auto"/>
        <w:bottom w:val="none" w:sz="0" w:space="0" w:color="auto"/>
        <w:right w:val="none" w:sz="0" w:space="0" w:color="auto"/>
      </w:divBdr>
    </w:div>
    <w:div w:id="588925633">
      <w:bodyDiv w:val="1"/>
      <w:marLeft w:val="0"/>
      <w:marRight w:val="0"/>
      <w:marTop w:val="0"/>
      <w:marBottom w:val="0"/>
      <w:divBdr>
        <w:top w:val="none" w:sz="0" w:space="0" w:color="auto"/>
        <w:left w:val="none" w:sz="0" w:space="0" w:color="auto"/>
        <w:bottom w:val="none" w:sz="0" w:space="0" w:color="auto"/>
        <w:right w:val="none" w:sz="0" w:space="0" w:color="auto"/>
      </w:divBdr>
      <w:divsChild>
        <w:div w:id="1844467035">
          <w:marLeft w:val="0"/>
          <w:marRight w:val="0"/>
          <w:marTop w:val="0"/>
          <w:marBottom w:val="0"/>
          <w:divBdr>
            <w:top w:val="none" w:sz="0" w:space="0" w:color="auto"/>
            <w:left w:val="none" w:sz="0" w:space="0" w:color="auto"/>
            <w:bottom w:val="none" w:sz="0" w:space="0" w:color="auto"/>
            <w:right w:val="none" w:sz="0" w:space="0" w:color="auto"/>
          </w:divBdr>
          <w:divsChild>
            <w:div w:id="84721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25106">
      <w:bodyDiv w:val="1"/>
      <w:marLeft w:val="0"/>
      <w:marRight w:val="0"/>
      <w:marTop w:val="0"/>
      <w:marBottom w:val="0"/>
      <w:divBdr>
        <w:top w:val="none" w:sz="0" w:space="0" w:color="auto"/>
        <w:left w:val="none" w:sz="0" w:space="0" w:color="auto"/>
        <w:bottom w:val="none" w:sz="0" w:space="0" w:color="auto"/>
        <w:right w:val="none" w:sz="0" w:space="0" w:color="auto"/>
      </w:divBdr>
    </w:div>
    <w:div w:id="611596456">
      <w:bodyDiv w:val="1"/>
      <w:marLeft w:val="0"/>
      <w:marRight w:val="0"/>
      <w:marTop w:val="0"/>
      <w:marBottom w:val="0"/>
      <w:divBdr>
        <w:top w:val="none" w:sz="0" w:space="0" w:color="auto"/>
        <w:left w:val="none" w:sz="0" w:space="0" w:color="auto"/>
        <w:bottom w:val="none" w:sz="0" w:space="0" w:color="auto"/>
        <w:right w:val="none" w:sz="0" w:space="0" w:color="auto"/>
      </w:divBdr>
    </w:div>
    <w:div w:id="655258081">
      <w:bodyDiv w:val="1"/>
      <w:marLeft w:val="0"/>
      <w:marRight w:val="0"/>
      <w:marTop w:val="0"/>
      <w:marBottom w:val="0"/>
      <w:divBdr>
        <w:top w:val="none" w:sz="0" w:space="0" w:color="auto"/>
        <w:left w:val="none" w:sz="0" w:space="0" w:color="auto"/>
        <w:bottom w:val="none" w:sz="0" w:space="0" w:color="auto"/>
        <w:right w:val="none" w:sz="0" w:space="0" w:color="auto"/>
      </w:divBdr>
    </w:div>
    <w:div w:id="663163196">
      <w:bodyDiv w:val="1"/>
      <w:marLeft w:val="0"/>
      <w:marRight w:val="0"/>
      <w:marTop w:val="0"/>
      <w:marBottom w:val="0"/>
      <w:divBdr>
        <w:top w:val="none" w:sz="0" w:space="0" w:color="auto"/>
        <w:left w:val="none" w:sz="0" w:space="0" w:color="auto"/>
        <w:bottom w:val="none" w:sz="0" w:space="0" w:color="auto"/>
        <w:right w:val="none" w:sz="0" w:space="0" w:color="auto"/>
      </w:divBdr>
    </w:div>
    <w:div w:id="689188515">
      <w:bodyDiv w:val="1"/>
      <w:marLeft w:val="0"/>
      <w:marRight w:val="0"/>
      <w:marTop w:val="0"/>
      <w:marBottom w:val="0"/>
      <w:divBdr>
        <w:top w:val="none" w:sz="0" w:space="0" w:color="auto"/>
        <w:left w:val="none" w:sz="0" w:space="0" w:color="auto"/>
        <w:bottom w:val="none" w:sz="0" w:space="0" w:color="auto"/>
        <w:right w:val="none" w:sz="0" w:space="0" w:color="auto"/>
      </w:divBdr>
      <w:divsChild>
        <w:div w:id="693533646">
          <w:marLeft w:val="0"/>
          <w:marRight w:val="0"/>
          <w:marTop w:val="0"/>
          <w:marBottom w:val="0"/>
          <w:divBdr>
            <w:top w:val="none" w:sz="0" w:space="0" w:color="auto"/>
            <w:left w:val="none" w:sz="0" w:space="0" w:color="auto"/>
            <w:bottom w:val="none" w:sz="0" w:space="0" w:color="auto"/>
            <w:right w:val="none" w:sz="0" w:space="0" w:color="auto"/>
          </w:divBdr>
          <w:divsChild>
            <w:div w:id="156837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01361">
      <w:bodyDiv w:val="1"/>
      <w:marLeft w:val="0"/>
      <w:marRight w:val="0"/>
      <w:marTop w:val="0"/>
      <w:marBottom w:val="0"/>
      <w:divBdr>
        <w:top w:val="none" w:sz="0" w:space="0" w:color="auto"/>
        <w:left w:val="none" w:sz="0" w:space="0" w:color="auto"/>
        <w:bottom w:val="none" w:sz="0" w:space="0" w:color="auto"/>
        <w:right w:val="none" w:sz="0" w:space="0" w:color="auto"/>
      </w:divBdr>
    </w:div>
    <w:div w:id="793600630">
      <w:bodyDiv w:val="1"/>
      <w:marLeft w:val="0"/>
      <w:marRight w:val="0"/>
      <w:marTop w:val="0"/>
      <w:marBottom w:val="0"/>
      <w:divBdr>
        <w:top w:val="none" w:sz="0" w:space="0" w:color="auto"/>
        <w:left w:val="none" w:sz="0" w:space="0" w:color="auto"/>
        <w:bottom w:val="none" w:sz="0" w:space="0" w:color="auto"/>
        <w:right w:val="none" w:sz="0" w:space="0" w:color="auto"/>
      </w:divBdr>
    </w:div>
    <w:div w:id="805241418">
      <w:bodyDiv w:val="1"/>
      <w:marLeft w:val="0"/>
      <w:marRight w:val="0"/>
      <w:marTop w:val="0"/>
      <w:marBottom w:val="0"/>
      <w:divBdr>
        <w:top w:val="none" w:sz="0" w:space="0" w:color="auto"/>
        <w:left w:val="none" w:sz="0" w:space="0" w:color="auto"/>
        <w:bottom w:val="none" w:sz="0" w:space="0" w:color="auto"/>
        <w:right w:val="none" w:sz="0" w:space="0" w:color="auto"/>
      </w:divBdr>
    </w:div>
    <w:div w:id="813521641">
      <w:bodyDiv w:val="1"/>
      <w:marLeft w:val="0"/>
      <w:marRight w:val="0"/>
      <w:marTop w:val="0"/>
      <w:marBottom w:val="0"/>
      <w:divBdr>
        <w:top w:val="none" w:sz="0" w:space="0" w:color="auto"/>
        <w:left w:val="none" w:sz="0" w:space="0" w:color="auto"/>
        <w:bottom w:val="none" w:sz="0" w:space="0" w:color="auto"/>
        <w:right w:val="none" w:sz="0" w:space="0" w:color="auto"/>
      </w:divBdr>
    </w:div>
    <w:div w:id="814684377">
      <w:bodyDiv w:val="1"/>
      <w:marLeft w:val="0"/>
      <w:marRight w:val="0"/>
      <w:marTop w:val="0"/>
      <w:marBottom w:val="0"/>
      <w:divBdr>
        <w:top w:val="none" w:sz="0" w:space="0" w:color="auto"/>
        <w:left w:val="none" w:sz="0" w:space="0" w:color="auto"/>
        <w:bottom w:val="none" w:sz="0" w:space="0" w:color="auto"/>
        <w:right w:val="none" w:sz="0" w:space="0" w:color="auto"/>
      </w:divBdr>
    </w:div>
    <w:div w:id="858738114">
      <w:bodyDiv w:val="1"/>
      <w:marLeft w:val="0"/>
      <w:marRight w:val="0"/>
      <w:marTop w:val="0"/>
      <w:marBottom w:val="0"/>
      <w:divBdr>
        <w:top w:val="none" w:sz="0" w:space="0" w:color="auto"/>
        <w:left w:val="none" w:sz="0" w:space="0" w:color="auto"/>
        <w:bottom w:val="none" w:sz="0" w:space="0" w:color="auto"/>
        <w:right w:val="none" w:sz="0" w:space="0" w:color="auto"/>
      </w:divBdr>
    </w:div>
    <w:div w:id="882793123">
      <w:bodyDiv w:val="1"/>
      <w:marLeft w:val="0"/>
      <w:marRight w:val="0"/>
      <w:marTop w:val="0"/>
      <w:marBottom w:val="0"/>
      <w:divBdr>
        <w:top w:val="none" w:sz="0" w:space="0" w:color="auto"/>
        <w:left w:val="none" w:sz="0" w:space="0" w:color="auto"/>
        <w:bottom w:val="none" w:sz="0" w:space="0" w:color="auto"/>
        <w:right w:val="none" w:sz="0" w:space="0" w:color="auto"/>
      </w:divBdr>
    </w:div>
    <w:div w:id="883323107">
      <w:bodyDiv w:val="1"/>
      <w:marLeft w:val="0"/>
      <w:marRight w:val="0"/>
      <w:marTop w:val="0"/>
      <w:marBottom w:val="0"/>
      <w:divBdr>
        <w:top w:val="none" w:sz="0" w:space="0" w:color="auto"/>
        <w:left w:val="none" w:sz="0" w:space="0" w:color="auto"/>
        <w:bottom w:val="none" w:sz="0" w:space="0" w:color="auto"/>
        <w:right w:val="none" w:sz="0" w:space="0" w:color="auto"/>
      </w:divBdr>
      <w:divsChild>
        <w:div w:id="1871602429">
          <w:marLeft w:val="0"/>
          <w:marRight w:val="0"/>
          <w:marTop w:val="0"/>
          <w:marBottom w:val="0"/>
          <w:divBdr>
            <w:top w:val="none" w:sz="0" w:space="0" w:color="auto"/>
            <w:left w:val="none" w:sz="0" w:space="0" w:color="auto"/>
            <w:bottom w:val="none" w:sz="0" w:space="0" w:color="auto"/>
            <w:right w:val="none" w:sz="0" w:space="0" w:color="auto"/>
          </w:divBdr>
          <w:divsChild>
            <w:div w:id="210660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267234">
      <w:bodyDiv w:val="1"/>
      <w:marLeft w:val="0"/>
      <w:marRight w:val="0"/>
      <w:marTop w:val="0"/>
      <w:marBottom w:val="0"/>
      <w:divBdr>
        <w:top w:val="none" w:sz="0" w:space="0" w:color="auto"/>
        <w:left w:val="none" w:sz="0" w:space="0" w:color="auto"/>
        <w:bottom w:val="none" w:sz="0" w:space="0" w:color="auto"/>
        <w:right w:val="none" w:sz="0" w:space="0" w:color="auto"/>
      </w:divBdr>
      <w:divsChild>
        <w:div w:id="1769275937">
          <w:marLeft w:val="0"/>
          <w:marRight w:val="0"/>
          <w:marTop w:val="0"/>
          <w:marBottom w:val="0"/>
          <w:divBdr>
            <w:top w:val="none" w:sz="0" w:space="0" w:color="auto"/>
            <w:left w:val="none" w:sz="0" w:space="0" w:color="auto"/>
            <w:bottom w:val="none" w:sz="0" w:space="0" w:color="auto"/>
            <w:right w:val="none" w:sz="0" w:space="0" w:color="auto"/>
          </w:divBdr>
          <w:divsChild>
            <w:div w:id="11543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7488">
      <w:bodyDiv w:val="1"/>
      <w:marLeft w:val="0"/>
      <w:marRight w:val="0"/>
      <w:marTop w:val="0"/>
      <w:marBottom w:val="0"/>
      <w:divBdr>
        <w:top w:val="none" w:sz="0" w:space="0" w:color="auto"/>
        <w:left w:val="none" w:sz="0" w:space="0" w:color="auto"/>
        <w:bottom w:val="none" w:sz="0" w:space="0" w:color="auto"/>
        <w:right w:val="none" w:sz="0" w:space="0" w:color="auto"/>
      </w:divBdr>
    </w:div>
    <w:div w:id="977494950">
      <w:bodyDiv w:val="1"/>
      <w:marLeft w:val="0"/>
      <w:marRight w:val="0"/>
      <w:marTop w:val="0"/>
      <w:marBottom w:val="0"/>
      <w:divBdr>
        <w:top w:val="none" w:sz="0" w:space="0" w:color="auto"/>
        <w:left w:val="none" w:sz="0" w:space="0" w:color="auto"/>
        <w:bottom w:val="none" w:sz="0" w:space="0" w:color="auto"/>
        <w:right w:val="none" w:sz="0" w:space="0" w:color="auto"/>
      </w:divBdr>
    </w:div>
    <w:div w:id="984509284">
      <w:bodyDiv w:val="1"/>
      <w:marLeft w:val="0"/>
      <w:marRight w:val="0"/>
      <w:marTop w:val="0"/>
      <w:marBottom w:val="0"/>
      <w:divBdr>
        <w:top w:val="none" w:sz="0" w:space="0" w:color="auto"/>
        <w:left w:val="none" w:sz="0" w:space="0" w:color="auto"/>
        <w:bottom w:val="none" w:sz="0" w:space="0" w:color="auto"/>
        <w:right w:val="none" w:sz="0" w:space="0" w:color="auto"/>
      </w:divBdr>
    </w:div>
    <w:div w:id="1069159486">
      <w:bodyDiv w:val="1"/>
      <w:marLeft w:val="0"/>
      <w:marRight w:val="0"/>
      <w:marTop w:val="0"/>
      <w:marBottom w:val="0"/>
      <w:divBdr>
        <w:top w:val="none" w:sz="0" w:space="0" w:color="auto"/>
        <w:left w:val="none" w:sz="0" w:space="0" w:color="auto"/>
        <w:bottom w:val="none" w:sz="0" w:space="0" w:color="auto"/>
        <w:right w:val="none" w:sz="0" w:space="0" w:color="auto"/>
      </w:divBdr>
      <w:divsChild>
        <w:div w:id="564997885">
          <w:marLeft w:val="0"/>
          <w:marRight w:val="0"/>
          <w:marTop w:val="0"/>
          <w:marBottom w:val="0"/>
          <w:divBdr>
            <w:top w:val="none" w:sz="0" w:space="0" w:color="auto"/>
            <w:left w:val="none" w:sz="0" w:space="0" w:color="auto"/>
            <w:bottom w:val="none" w:sz="0" w:space="0" w:color="auto"/>
            <w:right w:val="none" w:sz="0" w:space="0" w:color="auto"/>
          </w:divBdr>
          <w:divsChild>
            <w:div w:id="4305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753">
      <w:bodyDiv w:val="1"/>
      <w:marLeft w:val="0"/>
      <w:marRight w:val="0"/>
      <w:marTop w:val="0"/>
      <w:marBottom w:val="0"/>
      <w:divBdr>
        <w:top w:val="none" w:sz="0" w:space="0" w:color="auto"/>
        <w:left w:val="none" w:sz="0" w:space="0" w:color="auto"/>
        <w:bottom w:val="none" w:sz="0" w:space="0" w:color="auto"/>
        <w:right w:val="none" w:sz="0" w:space="0" w:color="auto"/>
      </w:divBdr>
    </w:div>
    <w:div w:id="1085610932">
      <w:bodyDiv w:val="1"/>
      <w:marLeft w:val="0"/>
      <w:marRight w:val="0"/>
      <w:marTop w:val="0"/>
      <w:marBottom w:val="0"/>
      <w:divBdr>
        <w:top w:val="none" w:sz="0" w:space="0" w:color="auto"/>
        <w:left w:val="none" w:sz="0" w:space="0" w:color="auto"/>
        <w:bottom w:val="none" w:sz="0" w:space="0" w:color="auto"/>
        <w:right w:val="none" w:sz="0" w:space="0" w:color="auto"/>
      </w:divBdr>
      <w:divsChild>
        <w:div w:id="1198591849">
          <w:marLeft w:val="0"/>
          <w:marRight w:val="0"/>
          <w:marTop w:val="0"/>
          <w:marBottom w:val="0"/>
          <w:divBdr>
            <w:top w:val="none" w:sz="0" w:space="0" w:color="auto"/>
            <w:left w:val="none" w:sz="0" w:space="0" w:color="auto"/>
            <w:bottom w:val="none" w:sz="0" w:space="0" w:color="auto"/>
            <w:right w:val="none" w:sz="0" w:space="0" w:color="auto"/>
          </w:divBdr>
          <w:divsChild>
            <w:div w:id="93409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71965">
      <w:bodyDiv w:val="1"/>
      <w:marLeft w:val="0"/>
      <w:marRight w:val="0"/>
      <w:marTop w:val="0"/>
      <w:marBottom w:val="0"/>
      <w:divBdr>
        <w:top w:val="none" w:sz="0" w:space="0" w:color="auto"/>
        <w:left w:val="none" w:sz="0" w:space="0" w:color="auto"/>
        <w:bottom w:val="none" w:sz="0" w:space="0" w:color="auto"/>
        <w:right w:val="none" w:sz="0" w:space="0" w:color="auto"/>
      </w:divBdr>
      <w:divsChild>
        <w:div w:id="2120680243">
          <w:marLeft w:val="0"/>
          <w:marRight w:val="0"/>
          <w:marTop w:val="0"/>
          <w:marBottom w:val="0"/>
          <w:divBdr>
            <w:top w:val="none" w:sz="0" w:space="0" w:color="auto"/>
            <w:left w:val="none" w:sz="0" w:space="0" w:color="auto"/>
            <w:bottom w:val="none" w:sz="0" w:space="0" w:color="auto"/>
            <w:right w:val="none" w:sz="0" w:space="0" w:color="auto"/>
          </w:divBdr>
          <w:divsChild>
            <w:div w:id="195134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22709">
      <w:bodyDiv w:val="1"/>
      <w:marLeft w:val="0"/>
      <w:marRight w:val="0"/>
      <w:marTop w:val="0"/>
      <w:marBottom w:val="0"/>
      <w:divBdr>
        <w:top w:val="none" w:sz="0" w:space="0" w:color="auto"/>
        <w:left w:val="none" w:sz="0" w:space="0" w:color="auto"/>
        <w:bottom w:val="none" w:sz="0" w:space="0" w:color="auto"/>
        <w:right w:val="none" w:sz="0" w:space="0" w:color="auto"/>
      </w:divBdr>
    </w:div>
    <w:div w:id="1163467946">
      <w:bodyDiv w:val="1"/>
      <w:marLeft w:val="0"/>
      <w:marRight w:val="0"/>
      <w:marTop w:val="0"/>
      <w:marBottom w:val="0"/>
      <w:divBdr>
        <w:top w:val="none" w:sz="0" w:space="0" w:color="auto"/>
        <w:left w:val="none" w:sz="0" w:space="0" w:color="auto"/>
        <w:bottom w:val="none" w:sz="0" w:space="0" w:color="auto"/>
        <w:right w:val="none" w:sz="0" w:space="0" w:color="auto"/>
      </w:divBdr>
    </w:div>
    <w:div w:id="1168789690">
      <w:bodyDiv w:val="1"/>
      <w:marLeft w:val="0"/>
      <w:marRight w:val="0"/>
      <w:marTop w:val="0"/>
      <w:marBottom w:val="0"/>
      <w:divBdr>
        <w:top w:val="none" w:sz="0" w:space="0" w:color="auto"/>
        <w:left w:val="none" w:sz="0" w:space="0" w:color="auto"/>
        <w:bottom w:val="none" w:sz="0" w:space="0" w:color="auto"/>
        <w:right w:val="none" w:sz="0" w:space="0" w:color="auto"/>
      </w:divBdr>
      <w:divsChild>
        <w:div w:id="1564683596">
          <w:marLeft w:val="0"/>
          <w:marRight w:val="0"/>
          <w:marTop w:val="0"/>
          <w:marBottom w:val="0"/>
          <w:divBdr>
            <w:top w:val="none" w:sz="0" w:space="0" w:color="auto"/>
            <w:left w:val="none" w:sz="0" w:space="0" w:color="auto"/>
            <w:bottom w:val="none" w:sz="0" w:space="0" w:color="auto"/>
            <w:right w:val="none" w:sz="0" w:space="0" w:color="auto"/>
          </w:divBdr>
          <w:divsChild>
            <w:div w:id="183541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079595">
      <w:bodyDiv w:val="1"/>
      <w:marLeft w:val="0"/>
      <w:marRight w:val="0"/>
      <w:marTop w:val="0"/>
      <w:marBottom w:val="0"/>
      <w:divBdr>
        <w:top w:val="none" w:sz="0" w:space="0" w:color="auto"/>
        <w:left w:val="none" w:sz="0" w:space="0" w:color="auto"/>
        <w:bottom w:val="none" w:sz="0" w:space="0" w:color="auto"/>
        <w:right w:val="none" w:sz="0" w:space="0" w:color="auto"/>
      </w:divBdr>
      <w:divsChild>
        <w:div w:id="1909881376">
          <w:marLeft w:val="0"/>
          <w:marRight w:val="0"/>
          <w:marTop w:val="0"/>
          <w:marBottom w:val="0"/>
          <w:divBdr>
            <w:top w:val="none" w:sz="0" w:space="0" w:color="auto"/>
            <w:left w:val="none" w:sz="0" w:space="0" w:color="auto"/>
            <w:bottom w:val="none" w:sz="0" w:space="0" w:color="auto"/>
            <w:right w:val="none" w:sz="0" w:space="0" w:color="auto"/>
          </w:divBdr>
          <w:divsChild>
            <w:div w:id="10333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35895">
      <w:bodyDiv w:val="1"/>
      <w:marLeft w:val="0"/>
      <w:marRight w:val="0"/>
      <w:marTop w:val="0"/>
      <w:marBottom w:val="0"/>
      <w:divBdr>
        <w:top w:val="none" w:sz="0" w:space="0" w:color="auto"/>
        <w:left w:val="none" w:sz="0" w:space="0" w:color="auto"/>
        <w:bottom w:val="none" w:sz="0" w:space="0" w:color="auto"/>
        <w:right w:val="none" w:sz="0" w:space="0" w:color="auto"/>
      </w:divBdr>
      <w:divsChild>
        <w:div w:id="1979529255">
          <w:marLeft w:val="0"/>
          <w:marRight w:val="0"/>
          <w:marTop w:val="0"/>
          <w:marBottom w:val="0"/>
          <w:divBdr>
            <w:top w:val="none" w:sz="0" w:space="0" w:color="auto"/>
            <w:left w:val="none" w:sz="0" w:space="0" w:color="auto"/>
            <w:bottom w:val="none" w:sz="0" w:space="0" w:color="auto"/>
            <w:right w:val="none" w:sz="0" w:space="0" w:color="auto"/>
          </w:divBdr>
          <w:divsChild>
            <w:div w:id="58426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32141">
      <w:bodyDiv w:val="1"/>
      <w:marLeft w:val="0"/>
      <w:marRight w:val="0"/>
      <w:marTop w:val="0"/>
      <w:marBottom w:val="0"/>
      <w:divBdr>
        <w:top w:val="none" w:sz="0" w:space="0" w:color="auto"/>
        <w:left w:val="none" w:sz="0" w:space="0" w:color="auto"/>
        <w:bottom w:val="none" w:sz="0" w:space="0" w:color="auto"/>
        <w:right w:val="none" w:sz="0" w:space="0" w:color="auto"/>
      </w:divBdr>
    </w:div>
    <w:div w:id="1294096643">
      <w:bodyDiv w:val="1"/>
      <w:marLeft w:val="0"/>
      <w:marRight w:val="0"/>
      <w:marTop w:val="0"/>
      <w:marBottom w:val="0"/>
      <w:divBdr>
        <w:top w:val="none" w:sz="0" w:space="0" w:color="auto"/>
        <w:left w:val="none" w:sz="0" w:space="0" w:color="auto"/>
        <w:bottom w:val="none" w:sz="0" w:space="0" w:color="auto"/>
        <w:right w:val="none" w:sz="0" w:space="0" w:color="auto"/>
      </w:divBdr>
    </w:div>
    <w:div w:id="1316376693">
      <w:bodyDiv w:val="1"/>
      <w:marLeft w:val="0"/>
      <w:marRight w:val="0"/>
      <w:marTop w:val="0"/>
      <w:marBottom w:val="0"/>
      <w:divBdr>
        <w:top w:val="none" w:sz="0" w:space="0" w:color="auto"/>
        <w:left w:val="none" w:sz="0" w:space="0" w:color="auto"/>
        <w:bottom w:val="none" w:sz="0" w:space="0" w:color="auto"/>
        <w:right w:val="none" w:sz="0" w:space="0" w:color="auto"/>
      </w:divBdr>
      <w:divsChild>
        <w:div w:id="1417901346">
          <w:marLeft w:val="0"/>
          <w:marRight w:val="0"/>
          <w:marTop w:val="0"/>
          <w:marBottom w:val="0"/>
          <w:divBdr>
            <w:top w:val="none" w:sz="0" w:space="0" w:color="auto"/>
            <w:left w:val="none" w:sz="0" w:space="0" w:color="auto"/>
            <w:bottom w:val="none" w:sz="0" w:space="0" w:color="auto"/>
            <w:right w:val="none" w:sz="0" w:space="0" w:color="auto"/>
          </w:divBdr>
          <w:divsChild>
            <w:div w:id="63668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35626">
      <w:bodyDiv w:val="1"/>
      <w:marLeft w:val="0"/>
      <w:marRight w:val="0"/>
      <w:marTop w:val="0"/>
      <w:marBottom w:val="0"/>
      <w:divBdr>
        <w:top w:val="none" w:sz="0" w:space="0" w:color="auto"/>
        <w:left w:val="none" w:sz="0" w:space="0" w:color="auto"/>
        <w:bottom w:val="none" w:sz="0" w:space="0" w:color="auto"/>
        <w:right w:val="none" w:sz="0" w:space="0" w:color="auto"/>
      </w:divBdr>
      <w:divsChild>
        <w:div w:id="1011180309">
          <w:marLeft w:val="0"/>
          <w:marRight w:val="0"/>
          <w:marTop w:val="0"/>
          <w:marBottom w:val="0"/>
          <w:divBdr>
            <w:top w:val="none" w:sz="0" w:space="0" w:color="auto"/>
            <w:left w:val="none" w:sz="0" w:space="0" w:color="auto"/>
            <w:bottom w:val="none" w:sz="0" w:space="0" w:color="auto"/>
            <w:right w:val="none" w:sz="0" w:space="0" w:color="auto"/>
          </w:divBdr>
          <w:divsChild>
            <w:div w:id="45379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362378">
      <w:bodyDiv w:val="1"/>
      <w:marLeft w:val="0"/>
      <w:marRight w:val="0"/>
      <w:marTop w:val="0"/>
      <w:marBottom w:val="0"/>
      <w:divBdr>
        <w:top w:val="none" w:sz="0" w:space="0" w:color="auto"/>
        <w:left w:val="none" w:sz="0" w:space="0" w:color="auto"/>
        <w:bottom w:val="none" w:sz="0" w:space="0" w:color="auto"/>
        <w:right w:val="none" w:sz="0" w:space="0" w:color="auto"/>
      </w:divBdr>
      <w:divsChild>
        <w:div w:id="355271886">
          <w:marLeft w:val="0"/>
          <w:marRight w:val="0"/>
          <w:marTop w:val="0"/>
          <w:marBottom w:val="0"/>
          <w:divBdr>
            <w:top w:val="none" w:sz="0" w:space="0" w:color="auto"/>
            <w:left w:val="none" w:sz="0" w:space="0" w:color="auto"/>
            <w:bottom w:val="none" w:sz="0" w:space="0" w:color="auto"/>
            <w:right w:val="none" w:sz="0" w:space="0" w:color="auto"/>
          </w:divBdr>
          <w:divsChild>
            <w:div w:id="208864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133829">
      <w:bodyDiv w:val="1"/>
      <w:marLeft w:val="0"/>
      <w:marRight w:val="0"/>
      <w:marTop w:val="0"/>
      <w:marBottom w:val="0"/>
      <w:divBdr>
        <w:top w:val="none" w:sz="0" w:space="0" w:color="auto"/>
        <w:left w:val="none" w:sz="0" w:space="0" w:color="auto"/>
        <w:bottom w:val="none" w:sz="0" w:space="0" w:color="auto"/>
        <w:right w:val="none" w:sz="0" w:space="0" w:color="auto"/>
      </w:divBdr>
    </w:div>
    <w:div w:id="1354259289">
      <w:bodyDiv w:val="1"/>
      <w:marLeft w:val="0"/>
      <w:marRight w:val="0"/>
      <w:marTop w:val="0"/>
      <w:marBottom w:val="0"/>
      <w:divBdr>
        <w:top w:val="none" w:sz="0" w:space="0" w:color="auto"/>
        <w:left w:val="none" w:sz="0" w:space="0" w:color="auto"/>
        <w:bottom w:val="none" w:sz="0" w:space="0" w:color="auto"/>
        <w:right w:val="none" w:sz="0" w:space="0" w:color="auto"/>
      </w:divBdr>
      <w:divsChild>
        <w:div w:id="1625192492">
          <w:marLeft w:val="0"/>
          <w:marRight w:val="0"/>
          <w:marTop w:val="0"/>
          <w:marBottom w:val="0"/>
          <w:divBdr>
            <w:top w:val="none" w:sz="0" w:space="0" w:color="auto"/>
            <w:left w:val="none" w:sz="0" w:space="0" w:color="auto"/>
            <w:bottom w:val="none" w:sz="0" w:space="0" w:color="auto"/>
            <w:right w:val="none" w:sz="0" w:space="0" w:color="auto"/>
          </w:divBdr>
          <w:divsChild>
            <w:div w:id="832909781">
              <w:marLeft w:val="0"/>
              <w:marRight w:val="0"/>
              <w:marTop w:val="0"/>
              <w:marBottom w:val="0"/>
              <w:divBdr>
                <w:top w:val="none" w:sz="0" w:space="0" w:color="auto"/>
                <w:left w:val="none" w:sz="0" w:space="0" w:color="auto"/>
                <w:bottom w:val="none" w:sz="0" w:space="0" w:color="auto"/>
                <w:right w:val="none" w:sz="0" w:space="0" w:color="auto"/>
              </w:divBdr>
              <w:divsChild>
                <w:div w:id="165819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321672">
      <w:bodyDiv w:val="1"/>
      <w:marLeft w:val="0"/>
      <w:marRight w:val="0"/>
      <w:marTop w:val="0"/>
      <w:marBottom w:val="0"/>
      <w:divBdr>
        <w:top w:val="none" w:sz="0" w:space="0" w:color="auto"/>
        <w:left w:val="none" w:sz="0" w:space="0" w:color="auto"/>
        <w:bottom w:val="none" w:sz="0" w:space="0" w:color="auto"/>
        <w:right w:val="none" w:sz="0" w:space="0" w:color="auto"/>
      </w:divBdr>
      <w:divsChild>
        <w:div w:id="554513514">
          <w:marLeft w:val="0"/>
          <w:marRight w:val="0"/>
          <w:marTop w:val="0"/>
          <w:marBottom w:val="0"/>
          <w:divBdr>
            <w:top w:val="none" w:sz="0" w:space="0" w:color="auto"/>
            <w:left w:val="none" w:sz="0" w:space="0" w:color="auto"/>
            <w:bottom w:val="none" w:sz="0" w:space="0" w:color="auto"/>
            <w:right w:val="none" w:sz="0" w:space="0" w:color="auto"/>
          </w:divBdr>
          <w:divsChild>
            <w:div w:id="173921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8649">
      <w:bodyDiv w:val="1"/>
      <w:marLeft w:val="0"/>
      <w:marRight w:val="0"/>
      <w:marTop w:val="0"/>
      <w:marBottom w:val="0"/>
      <w:divBdr>
        <w:top w:val="none" w:sz="0" w:space="0" w:color="auto"/>
        <w:left w:val="none" w:sz="0" w:space="0" w:color="auto"/>
        <w:bottom w:val="none" w:sz="0" w:space="0" w:color="auto"/>
        <w:right w:val="none" w:sz="0" w:space="0" w:color="auto"/>
      </w:divBdr>
    </w:div>
    <w:div w:id="1459494449">
      <w:bodyDiv w:val="1"/>
      <w:marLeft w:val="0"/>
      <w:marRight w:val="0"/>
      <w:marTop w:val="0"/>
      <w:marBottom w:val="0"/>
      <w:divBdr>
        <w:top w:val="none" w:sz="0" w:space="0" w:color="auto"/>
        <w:left w:val="none" w:sz="0" w:space="0" w:color="auto"/>
        <w:bottom w:val="none" w:sz="0" w:space="0" w:color="auto"/>
        <w:right w:val="none" w:sz="0" w:space="0" w:color="auto"/>
      </w:divBdr>
      <w:divsChild>
        <w:div w:id="2046632404">
          <w:marLeft w:val="0"/>
          <w:marRight w:val="0"/>
          <w:marTop w:val="0"/>
          <w:marBottom w:val="0"/>
          <w:divBdr>
            <w:top w:val="none" w:sz="0" w:space="0" w:color="auto"/>
            <w:left w:val="none" w:sz="0" w:space="0" w:color="auto"/>
            <w:bottom w:val="none" w:sz="0" w:space="0" w:color="auto"/>
            <w:right w:val="none" w:sz="0" w:space="0" w:color="auto"/>
          </w:divBdr>
          <w:divsChild>
            <w:div w:id="102124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638177">
      <w:bodyDiv w:val="1"/>
      <w:marLeft w:val="0"/>
      <w:marRight w:val="0"/>
      <w:marTop w:val="0"/>
      <w:marBottom w:val="0"/>
      <w:divBdr>
        <w:top w:val="none" w:sz="0" w:space="0" w:color="auto"/>
        <w:left w:val="none" w:sz="0" w:space="0" w:color="auto"/>
        <w:bottom w:val="none" w:sz="0" w:space="0" w:color="auto"/>
        <w:right w:val="none" w:sz="0" w:space="0" w:color="auto"/>
      </w:divBdr>
    </w:div>
    <w:div w:id="1494371186">
      <w:bodyDiv w:val="1"/>
      <w:marLeft w:val="0"/>
      <w:marRight w:val="0"/>
      <w:marTop w:val="0"/>
      <w:marBottom w:val="0"/>
      <w:divBdr>
        <w:top w:val="none" w:sz="0" w:space="0" w:color="auto"/>
        <w:left w:val="none" w:sz="0" w:space="0" w:color="auto"/>
        <w:bottom w:val="none" w:sz="0" w:space="0" w:color="auto"/>
        <w:right w:val="none" w:sz="0" w:space="0" w:color="auto"/>
      </w:divBdr>
    </w:div>
    <w:div w:id="1524636365">
      <w:bodyDiv w:val="1"/>
      <w:marLeft w:val="0"/>
      <w:marRight w:val="0"/>
      <w:marTop w:val="0"/>
      <w:marBottom w:val="0"/>
      <w:divBdr>
        <w:top w:val="none" w:sz="0" w:space="0" w:color="auto"/>
        <w:left w:val="none" w:sz="0" w:space="0" w:color="auto"/>
        <w:bottom w:val="none" w:sz="0" w:space="0" w:color="auto"/>
        <w:right w:val="none" w:sz="0" w:space="0" w:color="auto"/>
      </w:divBdr>
    </w:div>
    <w:div w:id="1536965945">
      <w:bodyDiv w:val="1"/>
      <w:marLeft w:val="0"/>
      <w:marRight w:val="0"/>
      <w:marTop w:val="0"/>
      <w:marBottom w:val="0"/>
      <w:divBdr>
        <w:top w:val="none" w:sz="0" w:space="0" w:color="auto"/>
        <w:left w:val="none" w:sz="0" w:space="0" w:color="auto"/>
        <w:bottom w:val="none" w:sz="0" w:space="0" w:color="auto"/>
        <w:right w:val="none" w:sz="0" w:space="0" w:color="auto"/>
      </w:divBdr>
    </w:div>
    <w:div w:id="1548836351">
      <w:bodyDiv w:val="1"/>
      <w:marLeft w:val="0"/>
      <w:marRight w:val="0"/>
      <w:marTop w:val="0"/>
      <w:marBottom w:val="0"/>
      <w:divBdr>
        <w:top w:val="none" w:sz="0" w:space="0" w:color="auto"/>
        <w:left w:val="none" w:sz="0" w:space="0" w:color="auto"/>
        <w:bottom w:val="none" w:sz="0" w:space="0" w:color="auto"/>
        <w:right w:val="none" w:sz="0" w:space="0" w:color="auto"/>
      </w:divBdr>
    </w:div>
    <w:div w:id="1588995806">
      <w:bodyDiv w:val="1"/>
      <w:marLeft w:val="0"/>
      <w:marRight w:val="0"/>
      <w:marTop w:val="0"/>
      <w:marBottom w:val="0"/>
      <w:divBdr>
        <w:top w:val="none" w:sz="0" w:space="0" w:color="auto"/>
        <w:left w:val="none" w:sz="0" w:space="0" w:color="auto"/>
        <w:bottom w:val="none" w:sz="0" w:space="0" w:color="auto"/>
        <w:right w:val="none" w:sz="0" w:space="0" w:color="auto"/>
      </w:divBdr>
    </w:div>
    <w:div w:id="1635211254">
      <w:bodyDiv w:val="1"/>
      <w:marLeft w:val="0"/>
      <w:marRight w:val="0"/>
      <w:marTop w:val="0"/>
      <w:marBottom w:val="0"/>
      <w:divBdr>
        <w:top w:val="none" w:sz="0" w:space="0" w:color="auto"/>
        <w:left w:val="none" w:sz="0" w:space="0" w:color="auto"/>
        <w:bottom w:val="none" w:sz="0" w:space="0" w:color="auto"/>
        <w:right w:val="none" w:sz="0" w:space="0" w:color="auto"/>
      </w:divBdr>
    </w:div>
    <w:div w:id="1650015357">
      <w:bodyDiv w:val="1"/>
      <w:marLeft w:val="0"/>
      <w:marRight w:val="0"/>
      <w:marTop w:val="0"/>
      <w:marBottom w:val="0"/>
      <w:divBdr>
        <w:top w:val="none" w:sz="0" w:space="0" w:color="auto"/>
        <w:left w:val="none" w:sz="0" w:space="0" w:color="auto"/>
        <w:bottom w:val="none" w:sz="0" w:space="0" w:color="auto"/>
        <w:right w:val="none" w:sz="0" w:space="0" w:color="auto"/>
      </w:divBdr>
    </w:div>
    <w:div w:id="1770084166">
      <w:bodyDiv w:val="1"/>
      <w:marLeft w:val="0"/>
      <w:marRight w:val="0"/>
      <w:marTop w:val="0"/>
      <w:marBottom w:val="0"/>
      <w:divBdr>
        <w:top w:val="none" w:sz="0" w:space="0" w:color="auto"/>
        <w:left w:val="none" w:sz="0" w:space="0" w:color="auto"/>
        <w:bottom w:val="none" w:sz="0" w:space="0" w:color="auto"/>
        <w:right w:val="none" w:sz="0" w:space="0" w:color="auto"/>
      </w:divBdr>
      <w:divsChild>
        <w:div w:id="441074782">
          <w:marLeft w:val="0"/>
          <w:marRight w:val="0"/>
          <w:marTop w:val="0"/>
          <w:marBottom w:val="0"/>
          <w:divBdr>
            <w:top w:val="none" w:sz="0" w:space="0" w:color="auto"/>
            <w:left w:val="none" w:sz="0" w:space="0" w:color="auto"/>
            <w:bottom w:val="none" w:sz="0" w:space="0" w:color="auto"/>
            <w:right w:val="none" w:sz="0" w:space="0" w:color="auto"/>
          </w:divBdr>
          <w:divsChild>
            <w:div w:id="63984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27009">
      <w:bodyDiv w:val="1"/>
      <w:marLeft w:val="0"/>
      <w:marRight w:val="0"/>
      <w:marTop w:val="0"/>
      <w:marBottom w:val="0"/>
      <w:divBdr>
        <w:top w:val="none" w:sz="0" w:space="0" w:color="auto"/>
        <w:left w:val="none" w:sz="0" w:space="0" w:color="auto"/>
        <w:bottom w:val="none" w:sz="0" w:space="0" w:color="auto"/>
        <w:right w:val="none" w:sz="0" w:space="0" w:color="auto"/>
      </w:divBdr>
    </w:div>
    <w:div w:id="1864436354">
      <w:bodyDiv w:val="1"/>
      <w:marLeft w:val="0"/>
      <w:marRight w:val="0"/>
      <w:marTop w:val="0"/>
      <w:marBottom w:val="0"/>
      <w:divBdr>
        <w:top w:val="none" w:sz="0" w:space="0" w:color="auto"/>
        <w:left w:val="none" w:sz="0" w:space="0" w:color="auto"/>
        <w:bottom w:val="none" w:sz="0" w:space="0" w:color="auto"/>
        <w:right w:val="none" w:sz="0" w:space="0" w:color="auto"/>
      </w:divBdr>
    </w:div>
    <w:div w:id="1869759339">
      <w:bodyDiv w:val="1"/>
      <w:marLeft w:val="0"/>
      <w:marRight w:val="0"/>
      <w:marTop w:val="0"/>
      <w:marBottom w:val="0"/>
      <w:divBdr>
        <w:top w:val="none" w:sz="0" w:space="0" w:color="auto"/>
        <w:left w:val="none" w:sz="0" w:space="0" w:color="auto"/>
        <w:bottom w:val="none" w:sz="0" w:space="0" w:color="auto"/>
        <w:right w:val="none" w:sz="0" w:space="0" w:color="auto"/>
      </w:divBdr>
      <w:divsChild>
        <w:div w:id="1072049101">
          <w:marLeft w:val="0"/>
          <w:marRight w:val="0"/>
          <w:marTop w:val="0"/>
          <w:marBottom w:val="0"/>
          <w:divBdr>
            <w:top w:val="none" w:sz="0" w:space="0" w:color="auto"/>
            <w:left w:val="none" w:sz="0" w:space="0" w:color="auto"/>
            <w:bottom w:val="none" w:sz="0" w:space="0" w:color="auto"/>
            <w:right w:val="none" w:sz="0" w:space="0" w:color="auto"/>
          </w:divBdr>
          <w:divsChild>
            <w:div w:id="14929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86329">
      <w:bodyDiv w:val="1"/>
      <w:marLeft w:val="0"/>
      <w:marRight w:val="0"/>
      <w:marTop w:val="0"/>
      <w:marBottom w:val="0"/>
      <w:divBdr>
        <w:top w:val="none" w:sz="0" w:space="0" w:color="auto"/>
        <w:left w:val="none" w:sz="0" w:space="0" w:color="auto"/>
        <w:bottom w:val="none" w:sz="0" w:space="0" w:color="auto"/>
        <w:right w:val="none" w:sz="0" w:space="0" w:color="auto"/>
      </w:divBdr>
    </w:div>
    <w:div w:id="1882864165">
      <w:bodyDiv w:val="1"/>
      <w:marLeft w:val="0"/>
      <w:marRight w:val="0"/>
      <w:marTop w:val="0"/>
      <w:marBottom w:val="0"/>
      <w:divBdr>
        <w:top w:val="none" w:sz="0" w:space="0" w:color="auto"/>
        <w:left w:val="none" w:sz="0" w:space="0" w:color="auto"/>
        <w:bottom w:val="none" w:sz="0" w:space="0" w:color="auto"/>
        <w:right w:val="none" w:sz="0" w:space="0" w:color="auto"/>
      </w:divBdr>
    </w:div>
    <w:div w:id="1942377720">
      <w:bodyDiv w:val="1"/>
      <w:marLeft w:val="0"/>
      <w:marRight w:val="0"/>
      <w:marTop w:val="0"/>
      <w:marBottom w:val="0"/>
      <w:divBdr>
        <w:top w:val="none" w:sz="0" w:space="0" w:color="auto"/>
        <w:left w:val="none" w:sz="0" w:space="0" w:color="auto"/>
        <w:bottom w:val="none" w:sz="0" w:space="0" w:color="auto"/>
        <w:right w:val="none" w:sz="0" w:space="0" w:color="auto"/>
      </w:divBdr>
    </w:div>
    <w:div w:id="2041978348">
      <w:bodyDiv w:val="1"/>
      <w:marLeft w:val="0"/>
      <w:marRight w:val="0"/>
      <w:marTop w:val="0"/>
      <w:marBottom w:val="0"/>
      <w:divBdr>
        <w:top w:val="none" w:sz="0" w:space="0" w:color="auto"/>
        <w:left w:val="none" w:sz="0" w:space="0" w:color="auto"/>
        <w:bottom w:val="none" w:sz="0" w:space="0" w:color="auto"/>
        <w:right w:val="none" w:sz="0" w:space="0" w:color="auto"/>
      </w:divBdr>
    </w:div>
    <w:div w:id="2080133473">
      <w:bodyDiv w:val="1"/>
      <w:marLeft w:val="0"/>
      <w:marRight w:val="0"/>
      <w:marTop w:val="0"/>
      <w:marBottom w:val="0"/>
      <w:divBdr>
        <w:top w:val="none" w:sz="0" w:space="0" w:color="auto"/>
        <w:left w:val="none" w:sz="0" w:space="0" w:color="auto"/>
        <w:bottom w:val="none" w:sz="0" w:space="0" w:color="auto"/>
        <w:right w:val="none" w:sz="0" w:space="0" w:color="auto"/>
      </w:divBdr>
    </w:div>
    <w:div w:id="2096592321">
      <w:bodyDiv w:val="1"/>
      <w:marLeft w:val="0"/>
      <w:marRight w:val="0"/>
      <w:marTop w:val="0"/>
      <w:marBottom w:val="0"/>
      <w:divBdr>
        <w:top w:val="none" w:sz="0" w:space="0" w:color="auto"/>
        <w:left w:val="none" w:sz="0" w:space="0" w:color="auto"/>
        <w:bottom w:val="none" w:sz="0" w:space="0" w:color="auto"/>
        <w:right w:val="none" w:sz="0" w:space="0" w:color="auto"/>
      </w:divBdr>
    </w:div>
    <w:div w:id="211959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4165</Words>
  <Characters>22080</Characters>
  <Application>Microsoft Office Word</Application>
  <DocSecurity>0</DocSecurity>
  <Lines>184</Lines>
  <Paragraphs>52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Nordlund</dc:creator>
  <cp:keywords/>
  <dc:description/>
  <cp:lastModifiedBy>Robin Nordlund</cp:lastModifiedBy>
  <cp:revision>4</cp:revision>
  <dcterms:created xsi:type="dcterms:W3CDTF">2025-12-08T12:42:00Z</dcterms:created>
  <dcterms:modified xsi:type="dcterms:W3CDTF">2026-05-29T12:10:00Z</dcterms:modified>
</cp:coreProperties>
</file>