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75f4b302d240de" /><Relationship Type="http://schemas.openxmlformats.org/package/2006/relationships/metadata/core-properties" Target="/docProps/core.xml" Id="R07303316a7d84c4f" /><Relationship Type="http://schemas.openxmlformats.org/officeDocument/2006/relationships/extended-properties" Target="/docProps/app.xml" Id="R6213dd19eca64ae0" /><Relationship Type="http://schemas.openxmlformats.org/officeDocument/2006/relationships/custom-properties" Target="/docProps/custom.xml" Id="Rad7e24ca7fbe4de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JYOTISH (hiarya.in) — PRODUCT &amp; BUSINESS REVIEW</w:t>
      </w:r>
    </w:p>
    <w:p w14:paraId="00100002" w14:textId="00100003">
      <w:pPr/>
      <w:r>
        <w:rPr/>
        <w:t xml:space="preserve">AI Vedic Astrology Chat · Launched 5 August 2026 · Review period 5–7 Aug 2026</w:t>
      </w:r>
    </w:p>
    <w:p w14:paraId="00100004" w14:textId="00100005">
      <w:pPr/>
      <w:r>
        <w:rPr/>
        <w:t xml:space="preserve">Report compiled from Meta Ads, Microsoft Clarity, Supabase and Razorpay data.</w:t>
      </w:r>
    </w:p>
    <w:p w14:paraId="00100006" w14:textId="00100007">
      <w:pPr>
        <w:pStyle w:val="Heading1"/>
      </w:pPr>
      <w:r>
        <w:rPr/>
        <w:t xml:space="preserve">1. Executive Summary</w:t>
      </w:r>
    </w:p>
    <w:p w14:paraId="00100008" w14:textId="00100009">
      <w:pPr/>
      <w:r>
        <w:rPr/>
        <w:t xml:space="preserve">Jyotish is a mobile-first AI Vedic astrology chat app where users talk to Arya, an AI astrologer, and pay per question pack (Rs 10/10q, Rs 20/30q, Rs 30/50q, Rs 60/7-day unlimited). Since launch it has been driven by a single Meta campaign (Arya | Maharashtra | Test 01).</w:t>
      </w:r>
    </w:p>
    <w:p w14:paraId="0010000A" w14:textId="0010000B">
      <w:pPr/>
      <w:r>
        <w:rPr/>
        <w:t xml:space="preserve">Three-day results: Rs 1,383.92 ad spend produced Rs 390 in verified revenue (18 orders, 10 unique payers) — a Purchase ROAS of 0.23 and a net ad loss of ~Rs 990. The product itself is healthy: deep engagement (avg session 8.75 min, 26% bounce), an 86% gross margin over LLM cost, and the first repeat-buyer wave. The single structural problem is unit economics: Rs 92.26 cost per purchase against a Rs 21.7 average order value — a 4.3x gap that lives entirely in acquisition, not in the product.</w:t>
      </w:r>
    </w:p>
    <w:p w14:paraId="0010000C" w14:textId="0010000D">
      <w:pPr>
        <w:pStyle w:val="Heading1"/>
      </w:pPr>
      <w:r>
        <w:rPr/>
        <w:t xml:space="preserve">2. Campaign Performance (Meta Ads)</w:t>
      </w:r>
    </w:p>
    <w:p w14:paraId="0010000E" w14:textId="0010000F">
      <w:pPr/>
      <w:r>
        <w:rPr/>
        <w:t xml:space="preserve">Campaign "Arya | Maharashtra | Test 01" (ID 120248271176420438), active throughout the period.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tcPr/>
          <w:p w14:paraId="00100010" w14:textId="00100011">
            <w:r>
              <w:t xml:space="preserve">Amount spent</w:t>
            </w:r>
          </w:p>
        </w:tc>
        <w:tc>
          <w:tcPr/>
          <w:p w14:paraId="00100012" w14:textId="00100013">
            <w:r>
              <w:t xml:space="preserve">Rs 1,383.92</w:t>
            </w:r>
          </w:p>
        </w:tc>
      </w:tr>
      <w:tr>
        <w:tc>
          <w:tcPr/>
          <w:p w14:paraId="00100014" w14:textId="00100015">
            <w:r>
              <w:t xml:space="preserve">Purchases (Meta-attributed)</w:t>
            </w:r>
          </w:p>
        </w:tc>
        <w:tc>
          <w:tcPr/>
          <w:p w14:paraId="00100016" w14:textId="00100017">
            <w:r>
              <w:t xml:space="preserve">15</w:t>
            </w:r>
          </w:p>
        </w:tc>
      </w:tr>
      <w:tr>
        <w:tc>
          <w:tcPr/>
          <w:p w14:paraId="00100018" w14:textId="00100019">
            <w:r>
              <w:t xml:space="preserve">Cost per purchase</w:t>
            </w:r>
          </w:p>
        </w:tc>
        <w:tc>
          <w:tcPr/>
          <w:p w14:paraId="0010001A" w14:textId="0010001B">
            <w:r>
              <w:t xml:space="preserve">Rs 92.26</w:t>
            </w:r>
          </w:p>
        </w:tc>
      </w:tr>
      <w:tr>
        <w:tc>
          <w:tcPr/>
          <w:p w14:paraId="0010001C" w14:textId="0010001D">
            <w:r>
              <w:t xml:space="preserve">Purchase ROAS</w:t>
            </w:r>
          </w:p>
        </w:tc>
        <w:tc>
          <w:tcPr/>
          <w:p w14:paraId="0010001E" w14:textId="0010001F">
            <w:r>
              <w:t xml:space="preserve">0.23</w:t>
            </w:r>
          </w:p>
        </w:tc>
      </w:tr>
      <w:tr>
        <w:tc>
          <w:tcPr/>
          <w:p w14:paraId="00100020" w14:textId="00100021">
            <w:r>
              <w:t xml:space="preserve">Impressions</w:t>
            </w:r>
          </w:p>
        </w:tc>
        <w:tc>
          <w:tcPr/>
          <w:p w14:paraId="00100022" w14:textId="00100023">
            <w:r>
              <w:t xml:space="preserve">6,927</w:t>
            </w:r>
          </w:p>
        </w:tc>
      </w:tr>
      <w:tr>
        <w:tc>
          <w:tcPr/>
          <w:p w14:paraId="00100024" w14:textId="00100025">
            <w:r>
              <w:t xml:space="preserve">Clicks (all)</w:t>
            </w:r>
          </w:p>
        </w:tc>
        <w:tc>
          <w:tcPr/>
          <w:p w14:paraId="00100026" w14:textId="00100027">
            <w:r>
              <w:t xml:space="preserve">280</w:t>
            </w:r>
          </w:p>
        </w:tc>
      </w:tr>
      <w:tr>
        <w:tc>
          <w:tcPr/>
          <w:p w14:paraId="00100028" w14:textId="00100029">
            <w:r>
              <w:t xml:space="preserve">Reach (Meta accounts)</w:t>
            </w:r>
          </w:p>
        </w:tc>
        <w:tc>
          <w:tcPr/>
          <w:p w14:paraId="0010002A" w14:textId="0010002B">
            <w:r>
              <w:t xml:space="preserve">4,378</w:t>
            </w:r>
          </w:p>
        </w:tc>
      </w:tr>
      <w:tr>
        <w:tc>
          <w:tcPr/>
          <w:p w14:paraId="0010002C" w14:textId="0010002D">
            <w:r>
              <w:t xml:space="preserve">CTR</w:t>
            </w:r>
          </w:p>
        </w:tc>
        <w:tc>
          <w:tcPr/>
          <w:p w14:paraId="0010002E" w14:textId="0010002F">
            <w:r>
              <w:t xml:space="preserve">4.04%</w:t>
            </w:r>
          </w:p>
        </w:tc>
      </w:tr>
      <w:tr>
        <w:tc>
          <w:tcPr/>
          <w:p w14:paraId="00100030" w14:textId="00100031">
            <w:r>
              <w:t xml:space="preserve">CPC</w:t>
            </w:r>
          </w:p>
        </w:tc>
        <w:tc>
          <w:tcPr/>
          <w:p w14:paraId="00100032" w14:textId="00100033">
            <w:r>
              <w:t xml:space="preserve">Rs 4.94</w:t>
            </w:r>
          </w:p>
        </w:tc>
      </w:tr>
      <w:tr>
        <w:tc>
          <w:tcPr/>
          <w:p w14:paraId="00100034" w14:textId="00100035">
            <w:r>
              <w:t xml:space="preserve">Website leads</w:t>
            </w:r>
          </w:p>
        </w:tc>
        <w:tc>
          <w:tcPr/>
          <w:p w14:paraId="00100036" w14:textId="00100037">
            <w:r>
              <w:t xml:space="preserve">145</w:t>
            </w:r>
          </w:p>
        </w:tc>
      </w:tr>
      <w:tr>
        <w:tc>
          <w:tcPr/>
          <w:p w14:paraId="00100038" w14:textId="00100039">
            <w:r>
              <w:t xml:space="preserve">Checkouts initiated</w:t>
            </w:r>
          </w:p>
        </w:tc>
        <w:tc>
          <w:tcPr/>
          <w:p w14:paraId="0010003A" w14:textId="0010003B">
            <w:r>
              <w:t xml:space="preserve">24</w:t>
            </w:r>
          </w:p>
        </w:tc>
      </w:tr>
      <w:tr>
        <w:tc>
          <w:tcPr/>
          <w:p w14:paraId="0010003C" w14:textId="0010003D">
            <w:r>
              <w:t xml:space="preserve">Lead → purchase</w:t>
            </w:r>
          </w:p>
        </w:tc>
        <w:tc>
          <w:tcPr/>
          <w:p w14:paraId="0010003E" w14:textId="0010003F">
            <w:r>
              <w:t xml:space="preserve">10.3%</w:t>
            </w:r>
          </w:p>
        </w:tc>
      </w:tr>
      <w:tr>
        <w:tc>
          <w:tcPr/>
          <w:p w14:paraId="00100040" w14:textId="00100041">
            <w:r>
              <w:t xml:space="preserve">Checkout → purchase</w:t>
            </w:r>
          </w:p>
        </w:tc>
        <w:tc>
          <w:tcPr/>
          <w:p w14:paraId="00100042" w14:textId="00100043">
            <w:r>
              <w:t xml:space="preserve">62.5%</w:t>
            </w:r>
          </w:p>
        </w:tc>
      </w:tr>
      <w:tr>
        <w:tc>
          <w:tcPr/>
          <w:p w14:paraId="00100044" w14:textId="00100045">
            <w:r>
              <w:t xml:space="preserve">Our verified revenue</w:t>
            </w:r>
          </w:p>
        </w:tc>
        <w:tc>
          <w:tcPr/>
          <w:p w14:paraId="00100046" w14:textId="00100047">
            <w:r>
              <w:t xml:space="preserve">Rs 390</w:t>
            </w:r>
          </w:p>
        </w:tc>
      </w:tr>
      <w:tr>
        <w:tc>
          <w:tcPr/>
          <w:p w14:paraId="00100048" w14:textId="00100049">
            <w:r>
              <w:t xml:space="preserve">Our paid orders</w:t>
            </w:r>
          </w:p>
        </w:tc>
        <w:tc>
          <w:tcPr/>
          <w:p w14:paraId="0010004A" w14:textId="0010004B">
            <w:r>
              <w:t xml:space="preserve">18</w:t>
            </w:r>
          </w:p>
        </w:tc>
      </w:tr>
      <w:tr>
        <w:tc>
          <w:tcPr/>
          <w:p w14:paraId="0010004C" w14:textId="0010004D">
            <w:r>
              <w:t xml:space="preserve">Verified vs Meta purchases</w:t>
            </w:r>
          </w:p>
        </w:tc>
        <w:tc>
          <w:tcPr/>
          <w:p w14:paraId="0010004E" w14:textId="0010004F">
            <w:r>
              <w:t xml:space="preserve">18 orders / 15 attributed</w:t>
            </w:r>
          </w:p>
        </w:tc>
      </w:tr>
    </w:tbl>
    <w:p w14:paraId="00100050" w14:textId="00100051">
      <w:pPr>
        <w:pStyle w:val="Heading2"/>
      </w:pPr>
      <w:r>
        <w:rPr/>
        <w:t xml:space="preserve">2.1 What the campaign data says</w:t>
      </w:r>
    </w:p>
    <w:p w14:paraId="00100052" w14:textId="00100053">
      <w:pPr/>
      <w:r>
        <w:rPr/>
        <w:t xml:space="preserve">CTR of 4% and a 62.5% checkout→purchase conversion show the creative and the funnel convert well. The killer is AOV: Rs 21.7 per order cannot amortize a Rs 92.26 acquisition cost. ROAS of 0.23 is structural — it will not cross 1.0 at this AOV without either much cheaper acquisition or much higher order value.</w:t>
      </w:r>
    </w:p>
    <w:p w14:paraId="00100054" w14:textId="00100055">
      <w:pPr>
        <w:pStyle w:val="Heading1"/>
      </w:pPr>
      <w:r>
        <w:rPr/>
        <w:t xml:space="preserve">3. Funnel &amp; Engagement (Microsoft Clarity)</w:t>
      </w:r>
    </w:p>
    <w:p w14:paraId="00100056" w14:textId="00100057">
      <w:pPr/>
      <w:r>
        <w:rPr/>
        <w:t xml:space="preserve">258 sessions from 178 unique users since launch; 85% mobile, 15% desktop. Average session 8 minutes 45 seconds; bounce rate 26.4%.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tcPr/>
          <w:p w14:paraId="00100058" w14:textId="00100059">
            <w:r>
              <w:t xml:space="preserve">Language</w:t>
            </w:r>
          </w:p>
        </w:tc>
        <w:tc>
          <w:tcPr/>
          <w:p w14:paraId="0010005A" w14:textId="0010005B">
            <w:r>
              <w:t xml:space="preserve">Landing → Details → Chat</w:t>
            </w:r>
          </w:p>
        </w:tc>
        <w:tc>
          <w:tcPr/>
          <w:p w14:paraId="0010005C" w14:textId="0010005D">
            <w:r>
              <w:t xml:space="preserve">Landing→Chat rate</w:t>
            </w:r>
          </w:p>
        </w:tc>
      </w:tr>
      <w:tr>
        <w:tc>
          <w:tcPr/>
          <w:p w14:paraId="0010005E" w14:textId="0010005F">
            <w:r>
              <w:t xml:space="preserve">Hindi (hi)</w:t>
            </w:r>
          </w:p>
        </w:tc>
        <w:tc>
          <w:tcPr/>
          <w:p w14:paraId="00100060" w14:textId="00100061">
            <w:r>
              <w:t xml:space="preserve">112 → 96 → 72</w:t>
            </w:r>
          </w:p>
        </w:tc>
        <w:tc>
          <w:tcPr/>
          <w:p w14:paraId="00100062" w14:textId="00100063">
            <w:r>
              <w:t xml:space="preserve">64%</w:t>
            </w:r>
          </w:p>
        </w:tc>
      </w:tr>
      <w:tr>
        <w:tc>
          <w:tcPr/>
          <w:p w14:paraId="00100064" w14:textId="00100065">
            <w:r>
              <w:t xml:space="preserve">Marathi (mr)</w:t>
            </w:r>
          </w:p>
        </w:tc>
        <w:tc>
          <w:tcPr/>
          <w:p w14:paraId="00100066" w14:textId="00100067">
            <w:r>
              <w:t xml:space="preserve">55 → 37 → 42</w:t>
            </w:r>
          </w:p>
        </w:tc>
        <w:tc>
          <w:tcPr/>
          <w:p w14:paraId="00100068" w14:textId="00100069">
            <w:r>
              <w:t xml:space="preserve">76%</w:t>
            </w:r>
          </w:p>
        </w:tc>
      </w:tr>
      <w:tr>
        <w:tc>
          <w:tcPr/>
          <w:p w14:paraId="0010006A" w14:textId="0010006B">
            <w:r>
              <w:t xml:space="preserve">English (en)</w:t>
            </w:r>
          </w:p>
        </w:tc>
        <w:tc>
          <w:tcPr/>
          <w:p w14:paraId="0010006C" w14:textId="0010006D">
            <w:r>
              <w:t xml:space="preserve">53 → 40 → 44</w:t>
            </w:r>
          </w:p>
        </w:tc>
        <w:tc>
          <w:tcPr/>
          <w:p w14:paraId="0010006E" w14:textId="0010006F">
            <w:r>
              <w:t xml:space="preserve">83%</w:t>
            </w:r>
          </w:p>
        </w:tc>
      </w:tr>
    </w:tbl>
    <w:p w14:paraId="00100070" w14:textId="00100071">
      <w:pPr/>
      <w:r>
        <w:rPr/>
        <w:t xml:space="preserve">Product usage: 142 profiles created, 138 chats, 1,893 messages (~1,050 user questions), 92 Google sign-ups.</w:t>
      </w:r>
    </w:p>
    <w:p w14:paraId="00100072" w14:textId="00100073">
      <w:pPr>
        <w:pStyle w:val="Heading2"/>
      </w:pPr>
      <w:r>
        <w:rPr/>
        <w:t xml:space="preserve">3.1 Behavioral observations</w:t>
      </w:r>
    </w:p>
    <w:p w14:paraId="00100074" w14:textId="00100075">
      <w:pPr/>
      <w:r>
        <w:rPr/>
        <w:t xml:space="preserve">Deep paid sessions of 28–51 minutes complete the full funnel (landing → details → chat).</w:t>
      </w:r>
    </w:p>
    <w:p w14:paraId="00100076" w14:textId="00100077">
      <w:pPr/>
      <w:r>
        <w:rPr/>
        <w:t xml:space="preserve">Marathi/Hindi users engage deeper than English users — consistent with earlier findings.</w:t>
      </w:r>
    </w:p>
    <w:p w14:paraId="00100078" w14:textId="00100079">
      <w:pPr/>
      <w:r>
        <w:rPr/>
        <w:t xml:space="preserve">Pre-fix friction observed on recordings: signup-gate rage clicks (Google OAuth consent screen unpublished) and checkout sheet dead-ends. Both are now fixed (OAuth published; checkout recovery shipped).</w:t>
      </w:r>
    </w:p>
    <w:p w14:paraId="0010007A" w14:textId="0010007B">
      <w:pPr/>
      <w:r>
        <w:rPr/>
        <w:t xml:space="preserve">One session recorded a 10s LCP (score 36) on a slow mobile load — a performance outlier worth watching.</w:t>
      </w:r>
    </w:p>
    <w:p w14:paraId="0010007C" w14:textId="0010007D">
      <w:pPr>
        <w:pStyle w:val="Heading1"/>
      </w:pPr>
      <w:r>
        <w:rPr/>
        <w:t xml:space="preserve">4. Revenue &amp; Unit Economics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tcPr/>
          <w:p w14:paraId="0010007E" w14:textId="0010007F">
            <w:r>
              <w:t xml:space="preserve">Date</w:t>
            </w:r>
          </w:p>
        </w:tc>
        <w:tc>
          <w:tcPr/>
          <w:p w14:paraId="00100080" w14:textId="00100081">
            <w:r>
              <w:t xml:space="preserve">Revenue</w:t>
            </w:r>
          </w:p>
        </w:tc>
        <w:tc>
          <w:tcPr/>
          <w:p w14:paraId="00100082" w14:textId="00100083">
            <w:r>
              <w:t xml:space="preserve">Orders</w:t>
            </w:r>
          </w:p>
        </w:tc>
      </w:tr>
      <w:tr>
        <w:tc>
          <w:tcPr/>
          <w:p w14:paraId="00100084" w14:textId="00100085">
            <w:r>
              <w:t xml:space="preserve">5 Aug 2026</w:t>
            </w:r>
          </w:p>
        </w:tc>
        <w:tc>
          <w:tcPr/>
          <w:p w14:paraId="00100086" w14:textId="00100087">
            <w:r>
              <w:t xml:space="preserve">Rs 40</w:t>
            </w:r>
          </w:p>
        </w:tc>
        <w:tc>
          <w:tcPr/>
          <w:p w14:paraId="00100088" w14:textId="00100089">
            <w:r>
              <w:t xml:space="preserve">2</w:t>
            </w:r>
          </w:p>
        </w:tc>
      </w:tr>
      <w:tr>
        <w:tc>
          <w:tcPr/>
          <w:p w14:paraId="0010008A" w14:textId="0010008B">
            <w:r>
              <w:t xml:space="preserve">6 Aug 2026</w:t>
            </w:r>
          </w:p>
        </w:tc>
        <w:tc>
          <w:tcPr/>
          <w:p w14:paraId="0010008C" w14:textId="0010008D">
            <w:r>
              <w:t xml:space="preserve">Rs 220</w:t>
            </w:r>
          </w:p>
        </w:tc>
        <w:tc>
          <w:tcPr/>
          <w:p w14:paraId="0010008E" w14:textId="0010008F">
            <w:r>
              <w:t xml:space="preserve">9</w:t>
            </w:r>
          </w:p>
        </w:tc>
      </w:tr>
      <w:tr>
        <w:tc>
          <w:tcPr/>
          <w:p w14:paraId="00100090" w14:textId="00100091">
            <w:r>
              <w:t xml:space="preserve">7 Aug 2026</w:t>
            </w:r>
          </w:p>
        </w:tc>
        <w:tc>
          <w:tcPr/>
          <w:p w14:paraId="00100092" w14:textId="00100093">
            <w:r>
              <w:t xml:space="preserve">Rs 130</w:t>
            </w:r>
          </w:p>
        </w:tc>
        <w:tc>
          <w:tcPr/>
          <w:p w14:paraId="00100094" w14:textId="00100095">
            <w:r>
              <w:t xml:space="preserve">7</w:t>
            </w:r>
          </w:p>
        </w:tc>
      </w:tr>
      <w:tr>
        <w:tc>
          <w:tcPr/>
          <w:p w14:paraId="00100096" w14:textId="00100097">
            <w:r>
              <w:t xml:space="preserve">Total</w:t>
            </w:r>
          </w:p>
        </w:tc>
        <w:tc>
          <w:tcPr/>
          <w:p w14:paraId="00100098" w14:textId="00100099">
            <w:r>
              <w:t xml:space="preserve">Rs 390</w:t>
            </w:r>
          </w:p>
        </w:tc>
        <w:tc>
          <w:tcPr/>
          <w:p w14:paraId="0010009A" w14:textId="0010009B">
            <w:r>
              <w:t xml:space="preserve">18</w:t>
            </w:r>
          </w:p>
        </w:tc>
      </w:tr>
    </w:tbl>
    <w:p w14:paraId="0010009C" w14:textId="0010009D">
      <w:pPr/>
      <w:r>
        <w:rPr/>
        <w:t xml:space="preserve">Pack mix: p10 x5, p20 x8, p30 x4, p60 x1 (Rs 60 unlimited). Average order value Rs 21.7 across 10 unique payers.</w:t>
      </w:r>
    </w:p>
    <w:p w14:paraId="0010009E" w14:textId="0010009F">
      <w:pPr>
        <w:pStyle w:val="Heading2"/>
      </w:pPr>
      <w:r>
        <w:rPr/>
        <w:t xml:space="preserve">4.1 Top customers</w:t>
      </w:r>
    </w:p>
    <w:p w14:paraId="001000A0" w14:textId="001000A1">
      <w:pPr/>
      <w:r>
        <w:rPr/>
        <w:t xml:space="preserve">Pratiksha — Rs 150 (5 orders incl. one Rs 60 unlimited) · Ankita — Rs 80 (4 packs in one day) · Pooja — Rs 40 · Chaitra — Rs 30 · ganesh/Shivangi/Praveen — Rs 20 each · Gourav/Bharat/Purnima — Rs 10 each.</w:t>
      </w:r>
    </w:p>
    <w:p w14:paraId="001000A2" w14:textId="001000A3">
      <w:pPr>
        <w:pStyle w:val="Heading2"/>
      </w:pPr>
      <w:r>
        <w:rPr/>
        <w:t xml:space="preserve">4.2 Unit economics (verified)</w:t>
      </w:r>
    </w:p>
    <w:p w14:paraId="001000A4" w14:textId="001000A5">
      <w:pPr/>
      <w:r>
        <w:rPr/>
        <w:t xml:space="preserve">Total LLM cost across all users ≈ Rs 100 (≈14% of revenue) → ~86% gross margin on the product. Per answered question ≈ Rs 0.09–0.12. Per order: Rs 21.7 revenue − Rs 3 LLM ≈ Rs 19 gross profit, against Rs 92.26 acquisition — net −Rs 73 per order. Every rupee of loss is acquisition, not COGS.</w:t>
      </w:r>
    </w:p>
    <w:p w14:paraId="001000A6" w14:textId="001000A7">
      <w:pPr>
        <w:pStyle w:val="Heading1"/>
      </w:pPr>
      <w:r>
        <w:rPr/>
        <w:t xml:space="preserve">5. Customer Archetypes</w:t>
      </w:r>
    </w:p>
    <w:p w14:paraId="001000A8" w14:textId="001000A9">
      <w:pPr/>
      <w:r>
        <w:rPr/>
        <w:t xml:space="preserve">Crisis/relationship-driven (Pratiksha, Gourav, Manoj): deep emotional need, convert fastest, highest LTV, heavy post-payment binges.</w:t>
      </w:r>
    </w:p>
    <w:p w14:paraId="001000AA" w14:textId="001000AB">
      <w:pPr/>
      <w:r>
        <w:rPr/>
        <w:t xml:space="preserve">Curiosity-driven (Chaitra): shallow future-spouse reading, still converts at the low-priced tier.</w:t>
      </w:r>
    </w:p>
    <w:p w14:paraId="001000AC" w14:textId="001000AD">
      <w:pPr/>
      <w:r>
        <w:rPr/>
        <w:t xml:space="preserve">Obsession/fixation pattern (Ankita): very high spend, paranoia-adjacent content — now de-escalated by the new guard agent (per product decision).</w:t>
      </w:r>
    </w:p>
    <w:p w14:paraId="001000AE" w14:textId="001000AF">
      <w:pPr/>
      <w:r>
        <w:rPr/>
        <w:t xml:space="preserve">Repeat buying is emerging: Ankita bought 4 packs in a day, Pratiksha 5 orders, Pooja and Chaitra re-bought — validating the repeat-buyer monetization direction.</w:t>
      </w:r>
    </w:p>
    <w:p w14:paraId="001000B0" w14:textId="001000B1">
      <w:pPr>
        <w:pStyle w:val="Heading1"/>
      </w:pPr>
      <w:r>
        <w:rPr/>
        <w:t xml:space="preserve">6. Product &amp; Technical State</w:t>
      </w:r>
    </w:p>
    <w:p w14:paraId="001000B2" w14:textId="001000B3">
      <w:pPr/>
      <w:r>
        <w:rPr/>
        <w:t xml:space="preserve">Chat pipeline: routing → transits → Vedic RAG → panchang → compose (DeepSeek v4-flash) → guard agent → persist.</w:t>
      </w:r>
    </w:p>
    <w:p w14:paraId="001000B4" w14:textId="001000B5">
      <w:pPr/>
      <w:r>
        <w:rPr/>
        <w:t xml:space="preserve">Guard agent (live): input classifier (crisis/soften) + output reviewer (chart facts, dasha-end bleed, fabricated third-party claims, paranoid amplification). Guards run non-thinking for cost.</w:t>
      </w:r>
    </w:p>
    <w:p w14:paraId="001000B6" w14:textId="001000B7">
      <w:pPr/>
      <w:r>
        <w:rPr/>
        <w:t xml:space="preserve">Checkout recovery (live): abandoned-sheet retry, abandonment tracking (CheckoutOpened/Abandoned), DB↔localStorage reconciliation, resume-payment banner.</w:t>
      </w:r>
    </w:p>
    <w:p w14:paraId="001000B8" w14:textId="001000B9">
      <w:pPr/>
      <w:r>
        <w:rPr/>
        <w:t xml:space="preserve">Monetization: 4 pack tiers incl. p60 (Rs 60 / 7-day unlimited, repeat-buyers only — 1 sale). Free tier = 5 questions.</w:t>
      </w:r>
    </w:p>
    <w:p w14:paraId="001000BA" w14:textId="001000BB">
      <w:pPr/>
      <w:r>
        <w:rPr/>
        <w:t xml:space="preserve">Panchang: free offline tithi/nakshatra/yoga/karana + lazy drikPanchang API for muhurat windows.</w:t>
      </w:r>
    </w:p>
    <w:p w14:paraId="001000BC" w14:textId="001000BD">
      <w:pPr/>
      <w:r>
        <w:rPr/>
        <w:t xml:space="preserve">Legal: strengthened Terms (crisis notice, system-generated advice, no-refund-for-accuracy, indemnification, governing law, 18+, tone policy); Google OAuth consent screen now published and origin verified.</w:t>
      </w:r>
    </w:p>
    <w:p w14:paraId="001000BE" w14:textId="001000BF">
      <w:pPr/>
      <w:r>
        <w:rPr/>
        <w:t xml:space="preserve">15 abandoned checkouts exist to date — the recovery banner targets exactly these.</w:t>
      </w:r>
    </w:p>
    <w:p w14:paraId="001000C0" w14:textId="001000C1">
      <w:pPr>
        <w:pStyle w:val="Heading1"/>
      </w:pPr>
      <w:r>
        <w:rPr/>
        <w:t xml:space="preserve">7. Cost Structure</w:t>
      </w:r>
    </w:p>
    <w:p w14:paraId="001000C2" w14:textId="001000C3">
      <w:pPr/>
      <w:r>
        <w:rPr/>
        <w:t xml:space="preserve">LLM ≈ Rs 100 (the only meaningful variable cost; ~14% of revenue). Supabase (free tier), Swiss Ephemeris and panchang are free. Razorpay takes ~2% + GST on payments. Ad spend Rs 1,383.92 is 90%+ of total cost — the business is, for now, an ad-buying operation.</w:t>
      </w:r>
    </w:p>
    <w:p w14:paraId="001000C4" w14:textId="001000C5">
      <w:pPr>
        <w:pStyle w:val="Heading1"/>
      </w:pPr>
      <w:r>
        <w:rPr/>
        <w:t xml:space="preserve">8. Risks &amp; Open Items</w:t>
      </w:r>
    </w:p>
    <w:p w14:paraId="001000C6" w14:textId="001000C7">
      <w:pPr/>
      <w:r>
        <w:rPr/>
        <w:t xml:space="preserve">1. ROAS 0.23 / CPP Rs 92 vs AOV Rs 22 — the core risk; do not scale spend until fixed.</w:t>
      </w:r>
    </w:p>
    <w:p w14:paraId="001000C8" w14:textId="001000C9">
      <w:pPr/>
      <w:r>
        <w:rPr/>
        <w:t xml:space="preserve">2. DeepSeek has announced a significant price rise is coming — lock in cheap habits (guards non-thinking; A/B compose without reasoning).</w:t>
      </w:r>
    </w:p>
    <w:p w14:paraId="001000CA" w14:textId="001000CB">
      <w:pPr/>
      <w:r>
        <w:rPr/>
        <w:t xml:space="preserve">3. DPDP hygiene pending: grievance officer, data-erasure mechanism, consent records.</w:t>
      </w:r>
    </w:p>
    <w:p w14:paraId="001000CC" w14:textId="001000CD">
      <w:pPr/>
      <w:r>
        <w:rPr/>
        <w:t xml:space="preserve">4. Migrations 0002 (RLS policies) and 0004 (memory) not yet applied; Razorpay webhook active status to confirm.</w:t>
      </w:r>
    </w:p>
    <w:p w14:paraId="001000CE" w14:textId="001000CF">
      <w:pPr/>
      <w:r>
        <w:rPr/>
        <w:t xml:space="preserve">5. Zero structured retention loop (daily reading reminder / resume-last-chat are open ideas).</w:t>
      </w:r>
    </w:p>
    <w:p w14:paraId="001000D0" w14:textId="001000D1">
      <w:pPr/>
      <w:r>
        <w:rPr/>
        <w:t xml:space="preserve">6. Affair/obsession content: a deliberate product decision, now softened at the extreme end by the guard agent.</w:t>
      </w:r>
    </w:p>
    <w:p w14:paraId="001000D2" w14:textId="001000D3">
      <w:pPr>
        <w:pStyle w:val="Heading1"/>
      </w:pPr>
      <w:r>
        <w:rPr/>
        <w:t xml:space="preserve">9. Recommendations (priority order)</w:t>
      </w:r>
    </w:p>
    <w:p w14:paraId="001000D4" w14:textId="001000D5">
      <w:pPr/>
      <w:r>
        <w:rPr/>
        <w:t xml:space="preserve">1. Raise AOV before scaling: default-selected p20/p30, surface p60 prominently to repeat buyers, consider Rs 49–99 tiers. Target AOV ≥ Rs 100.</w:t>
      </w:r>
    </w:p>
    <w:p w14:paraId="001000D6" w14:textId="001000D7">
      <w:pPr/>
      <w:r>
        <w:rPr/>
        <w:t xml:space="preserve">2. Cut CAC: cheaper placements, conversion retargeting, creative refresh — but only after the order-value math works.</w:t>
      </w:r>
    </w:p>
    <w:p w14:paraId="001000D8" w14:textId="001000D9">
      <w:pPr/>
      <w:r>
        <w:rPr/>
        <w:t xml:space="preserve">3. Measure checkout recovery: watch whether the 15 abandoned orders convert via the resume banner.</w:t>
      </w:r>
    </w:p>
    <w:p w14:paraId="001000DA" w14:textId="001000DB">
      <w:pPr/>
      <w:r>
        <w:rPr/>
        <w:t xml:space="preserve">4. A/B compose reasoning (low vs none) before the DeepSeek price rise to lock in per-message cost.</w:t>
      </w:r>
    </w:p>
    <w:p w14:paraId="001000DC" w14:textId="001000DD">
      <w:pPr/>
      <w:r>
        <w:rPr/>
        <w:t xml:space="preserve">5. Ship a retention loop to convert the emerging repeat-buyer wave into systematic LTV.</w:t>
      </w:r>
    </w:p>
    <w:p w14:paraId="001000DE" w14:textId="001000DF">
      <w:pPr/>
      <w:r>
        <w:rPr/>
        <w:t xml:space="preserve">6. Close DPDP hygiene + apply pending migrations before enforcement ramps.</w:t>
      </w:r>
    </w:p>
    <w:p w14:paraId="001000E0" w14:textId="001000E1">
      <w:pPr/>
      <w:r>
        <w:rPr/>
        <w:t xml:space="preserve"/>
      </w:r>
    </w:p>
    <w:p w14:paraId="001000E2" w14:textId="001000E3">
      <w:pPr/>
      <w:r>
        <w:rPr/>
        <w:t xml:space="preserve">— End of report. Data verified live from Supabase, Razorpay, Meta Ads and Microsoft Clarity. —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c2c18b64e244bde" /><Relationship Type="http://schemas.openxmlformats.org/officeDocument/2006/relationships/styles" Target="/word/styles.xml" Id="R826ae6bddbb24b9c" /><Relationship Type="http://schemas.openxmlformats.org/officeDocument/2006/relationships/theme" Target="/word/theme/theme1.xml" Id="R2198070f39024974" /><Relationship Type="http://schemas.openxmlformats.org/officeDocument/2006/relationships/numbering" Target="/word/numbering.xml" Id="Re96f0bc4b292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2026-08-07T16:55:18Z</dcterms:created>
  <cp:lastModifiedBy>OfficeCLI</cp:lastModifiedBy>
  <dcterms:modified xsi:type="dcterms:W3CDTF">2026-08-07T16:55:18Z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2026-08-07T16:56:21Z</vt:lpwstr>
  </op:property>
</op:Properties>
</file>