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5B9BD5" w:themeColor="accent1"/>
          <w:lang w:eastAsia="en-US"/>
        </w:rPr>
        <w:id w:val="7525616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F5313E" w:rsidRDefault="00F5313E">
          <w:pPr>
            <w:pStyle w:val="a3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6FA2000D" wp14:editId="34E8D734">
                <wp:extent cx="1417320" cy="750898"/>
                <wp:effectExtent l="0" t="0" r="0" b="0"/>
                <wp:docPr id="143" name="Рисунок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Название"/>
            <w:tag w:val=""/>
            <w:id w:val="1735040861"/>
            <w:placeholder>
              <w:docPart w:val="9001DEAB1CC14F7198DFD8DDF6D18DE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F5313E" w:rsidRDefault="00CA7056">
              <w:pPr>
                <w:pStyle w:val="a3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Анализ банков в период 2024 – 2026 ГГ.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Подзаголовок"/>
            <w:tag w:val=""/>
            <w:id w:val="328029620"/>
            <w:placeholder>
              <w:docPart w:val="4A5F200EEAE74A3DACEAE53861BDD77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5313E" w:rsidRDefault="00CA7056">
              <w:pPr>
                <w:pStyle w:val="a3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Связь экономических факторов на прибыль банков</w:t>
              </w:r>
            </w:p>
          </w:sdtContent>
        </w:sdt>
        <w:p w:rsidR="00F5313E" w:rsidRDefault="00F5313E">
          <w:pPr>
            <w:pStyle w:val="a3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94AFB1" wp14:editId="5A25164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Текстовое поле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Дата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17T00:00:00Z">
                                    <w:dateFormat w:val="d MMMM yyyy г.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5313E" w:rsidRDefault="00F5313E">
                                    <w:pPr>
                                      <w:pStyle w:val="a3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17 мая 2026 г.</w:t>
                                    </w:r>
                                  </w:p>
                                </w:sdtContent>
                              </w:sdt>
                              <w:p w:rsidR="00F5313E" w:rsidRDefault="00F5313E">
                                <w:pPr>
                                  <w:pStyle w:val="a3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94AFB1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Дата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17T00:00:00Z">
                              <w:dateFormat w:val="d MMMM yyyy г.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F5313E" w:rsidRDefault="00F5313E">
                              <w:pPr>
                                <w:pStyle w:val="a3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17 мая 2026 г.</w:t>
                              </w:r>
                            </w:p>
                          </w:sdtContent>
                        </w:sdt>
                        <w:p w:rsidR="00F5313E" w:rsidRDefault="00F5313E">
                          <w:pPr>
                            <w:pStyle w:val="a3"/>
                            <w:jc w:val="center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5BD4A118" wp14:editId="073506DD">
                <wp:extent cx="758952" cy="478932"/>
                <wp:effectExtent l="0" t="0" r="3175" b="0"/>
                <wp:docPr id="144" name="Рисунок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5313E" w:rsidRDefault="00F5313E">
          <w:r>
            <w:br w:type="page"/>
          </w:r>
        </w:p>
      </w:sdtContent>
    </w:sdt>
    <w:p w:rsidR="00487468" w:rsidRPr="00487468" w:rsidRDefault="00487468" w:rsidP="0048746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87468">
        <w:rPr>
          <w:rFonts w:ascii="Times New Roman" w:hAnsi="Times New Roman" w:cs="Times New Roman"/>
          <w:b/>
          <w:sz w:val="36"/>
          <w:szCs w:val="36"/>
        </w:rPr>
        <w:lastRenderedPageBreak/>
        <w:t>Executive Summary (Краткое введение в исследование)</w:t>
      </w:r>
    </w:p>
    <w:p w:rsidR="00487468" w:rsidRPr="00487468" w:rsidRDefault="00487468" w:rsidP="0048746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87468" w:rsidRPr="00487468" w:rsidRDefault="00487468" w:rsidP="00C272A5">
      <w:pPr>
        <w:ind w:left="-709"/>
        <w:rPr>
          <w:rFonts w:ascii="Times New Roman" w:hAnsi="Times New Roman" w:cs="Times New Roman"/>
          <w:sz w:val="28"/>
          <w:szCs w:val="28"/>
        </w:rPr>
      </w:pPr>
      <w:r w:rsidRPr="00487468">
        <w:rPr>
          <w:rFonts w:ascii="Times New Roman" w:hAnsi="Times New Roman" w:cs="Times New Roman"/>
          <w:sz w:val="28"/>
          <w:szCs w:val="28"/>
        </w:rPr>
        <w:t>Цель исследования: Настоящая работа представляет собой факторный анализ влияния ключевых макроэкономических индикаторов на операционную эффективность и чистую прибыль трёх системообразующих банков Российской Федерации: Т-Технологии, Сбербанк и ВТБ.</w:t>
      </w:r>
    </w:p>
    <w:p w:rsidR="00487468" w:rsidRPr="00487468" w:rsidRDefault="00487468" w:rsidP="00C272A5">
      <w:pPr>
        <w:ind w:left="-709"/>
        <w:rPr>
          <w:rFonts w:ascii="Times New Roman" w:hAnsi="Times New Roman" w:cs="Times New Roman"/>
          <w:sz w:val="28"/>
          <w:szCs w:val="28"/>
        </w:rPr>
      </w:pPr>
      <w:r w:rsidRPr="00487468">
        <w:rPr>
          <w:rFonts w:ascii="Times New Roman" w:hAnsi="Times New Roman" w:cs="Times New Roman"/>
          <w:sz w:val="28"/>
          <w:szCs w:val="28"/>
        </w:rPr>
        <w:t xml:space="preserve">Анализируемый период (2024 – 2026 гг.) стал </w:t>
      </w:r>
      <w:r w:rsidR="00D12FB8">
        <w:rPr>
          <w:rFonts w:ascii="Times New Roman" w:hAnsi="Times New Roman" w:cs="Times New Roman"/>
          <w:sz w:val="28"/>
          <w:szCs w:val="28"/>
        </w:rPr>
        <w:t>существенным</w:t>
      </w:r>
      <w:r w:rsidRPr="00487468">
        <w:rPr>
          <w:rFonts w:ascii="Times New Roman" w:hAnsi="Times New Roman" w:cs="Times New Roman"/>
          <w:sz w:val="28"/>
          <w:szCs w:val="28"/>
        </w:rPr>
        <w:t xml:space="preserve"> стресс-тестом для российской банковской системы, характеризующимся экстремальной волатильностью денежно-кредитной политики (диапазон ключевой ставки ЦБ РФ от 14,5% до рекордных 21%) и устойчивым инфляционным давлением.</w:t>
      </w:r>
    </w:p>
    <w:p w:rsidR="00487468" w:rsidRPr="00487468" w:rsidRDefault="00487468" w:rsidP="00C272A5">
      <w:pPr>
        <w:ind w:left="-709"/>
        <w:rPr>
          <w:rFonts w:ascii="Times New Roman" w:hAnsi="Times New Roman" w:cs="Times New Roman"/>
          <w:sz w:val="28"/>
          <w:szCs w:val="28"/>
        </w:rPr>
      </w:pPr>
      <w:r w:rsidRPr="00487468">
        <w:rPr>
          <w:rFonts w:ascii="Times New Roman" w:hAnsi="Times New Roman" w:cs="Times New Roman"/>
          <w:sz w:val="28"/>
          <w:szCs w:val="28"/>
        </w:rPr>
        <w:t>Гипотеза исследования заключается в том, что в условиях макроэкономических шоков цифровая финтех-модель (Т-Технологии) демонстрирует фундаментальное структурное преимущество в гибкости, рентабельности и управлении рисками по сравнению с классическими банковскими институтами (Сбербанк, ВТБ). Целью работы является не просто констатация различий, а выявление конкретных драйверов — таких как диверсификация доходов и технологическая эффективность, — которые обеспечивают эту устойчивость.</w:t>
      </w:r>
    </w:p>
    <w:p w:rsidR="00967A4C" w:rsidRDefault="00487468" w:rsidP="00E26EB6">
      <w:pPr>
        <w:ind w:left="-709"/>
        <w:rPr>
          <w:rFonts w:ascii="Times New Roman" w:hAnsi="Times New Roman" w:cs="Times New Roman"/>
          <w:sz w:val="28"/>
          <w:szCs w:val="28"/>
        </w:rPr>
      </w:pPr>
      <w:r w:rsidRPr="00487468">
        <w:rPr>
          <w:rFonts w:ascii="Times New Roman" w:hAnsi="Times New Roman" w:cs="Times New Roman"/>
          <w:sz w:val="28"/>
          <w:szCs w:val="28"/>
        </w:rPr>
        <w:t>Методология и данные: В ходе анализа была сформирована уникальная аналитическая база данных, основанная на ежеквартальной консолидированной отчётности МСФО указанных эмитентов за 2024–2026 гг. Исследование строится на расчете и сопоставлении операционных метрик: чистой прибыли (Net Profit), чистой процентной маржи (NIM), стоимости риска (CoR) и рентабельности капитала (ROE). В качестве ключевых внешних (экзогенных) переменных в модель заложены макроэкономические факторы: ключевая ставка Банка России (key_rate) и уровень ликвидности экономики (денежная масса M2). Это позволяет очистить оценку эффективности менеджмента от общей экономической конъюнктуры и выделить чистое влияние бизнес-модели.</w:t>
      </w:r>
    </w:p>
    <w:p w:rsidR="00487468" w:rsidRDefault="00487468" w:rsidP="00487468">
      <w:pPr>
        <w:rPr>
          <w:rFonts w:ascii="Times New Roman" w:hAnsi="Times New Roman" w:cs="Times New Roman"/>
          <w:sz w:val="28"/>
          <w:szCs w:val="28"/>
        </w:rPr>
      </w:pPr>
    </w:p>
    <w:p w:rsidR="00487468" w:rsidRDefault="00487468" w:rsidP="00487468">
      <w:pPr>
        <w:rPr>
          <w:rFonts w:ascii="Times New Roman" w:hAnsi="Times New Roman" w:cs="Times New Roman"/>
          <w:sz w:val="28"/>
          <w:szCs w:val="28"/>
        </w:rPr>
      </w:pPr>
    </w:p>
    <w:p w:rsidR="00487468" w:rsidRDefault="00487468" w:rsidP="00487468">
      <w:pPr>
        <w:rPr>
          <w:rFonts w:ascii="Times New Roman" w:hAnsi="Times New Roman" w:cs="Times New Roman"/>
          <w:sz w:val="28"/>
          <w:szCs w:val="28"/>
        </w:rPr>
      </w:pPr>
    </w:p>
    <w:p w:rsidR="004F51E1" w:rsidRDefault="004F51E1" w:rsidP="00487468">
      <w:pPr>
        <w:rPr>
          <w:rFonts w:ascii="Times New Roman" w:hAnsi="Times New Roman" w:cs="Times New Roman"/>
          <w:sz w:val="28"/>
          <w:szCs w:val="28"/>
        </w:rPr>
      </w:pPr>
    </w:p>
    <w:p w:rsidR="00C272A5" w:rsidRDefault="00C272A5" w:rsidP="00487468">
      <w:pPr>
        <w:rPr>
          <w:rFonts w:ascii="Times New Roman" w:hAnsi="Times New Roman" w:cs="Times New Roman"/>
          <w:sz w:val="28"/>
          <w:szCs w:val="28"/>
        </w:rPr>
      </w:pPr>
    </w:p>
    <w:p w:rsidR="00C272A5" w:rsidRDefault="00C272A5" w:rsidP="00487468">
      <w:pPr>
        <w:rPr>
          <w:rFonts w:ascii="Times New Roman" w:hAnsi="Times New Roman" w:cs="Times New Roman"/>
          <w:sz w:val="28"/>
          <w:szCs w:val="28"/>
        </w:rPr>
      </w:pPr>
    </w:p>
    <w:p w:rsidR="004F51E1" w:rsidRDefault="004F51E1" w:rsidP="00487468">
      <w:pPr>
        <w:rPr>
          <w:rFonts w:ascii="Times New Roman" w:hAnsi="Times New Roman" w:cs="Times New Roman"/>
          <w:sz w:val="28"/>
          <w:szCs w:val="28"/>
        </w:rPr>
      </w:pPr>
    </w:p>
    <w:p w:rsidR="00487468" w:rsidRDefault="003B3FF4" w:rsidP="00E26EB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Раздел 1. </w:t>
      </w:r>
      <w:r w:rsidR="00E26EB6">
        <w:rPr>
          <w:rFonts w:ascii="Times New Roman" w:hAnsi="Times New Roman" w:cs="Times New Roman"/>
          <w:b/>
          <w:sz w:val="36"/>
          <w:szCs w:val="36"/>
        </w:rPr>
        <w:t>Анализ трансмиссионного механизма ключевой ставки ЦБ РФ в чистую прибыль банков.</w:t>
      </w:r>
    </w:p>
    <w:p w:rsidR="004F51E1" w:rsidRDefault="004F51E1" w:rsidP="00E26EB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87468" w:rsidRDefault="004F51E1" w:rsidP="00DD7FF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0FF8FD2" wp14:editId="673D0F2D">
            <wp:simplePos x="0" y="0"/>
            <wp:positionH relativeFrom="margin">
              <wp:posOffset>-697569</wp:posOffset>
            </wp:positionH>
            <wp:positionV relativeFrom="paragraph">
              <wp:posOffset>1450045</wp:posOffset>
            </wp:positionV>
            <wp:extent cx="6705600" cy="3550285"/>
            <wp:effectExtent l="19050" t="19050" r="19050" b="12065"/>
            <wp:wrapTight wrapText="bothSides">
              <wp:wrapPolygon edited="0">
                <wp:start x="-61" y="-116"/>
                <wp:lineTo x="-61" y="21558"/>
                <wp:lineTo x="21600" y="21558"/>
                <wp:lineTo x="21600" y="-116"/>
                <wp:lineTo x="-61" y="-116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db98d57-3708-42d0-af75-ee09f45fb2d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55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E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9CCC122" wp14:editId="7F1A096B">
                <wp:simplePos x="0" y="0"/>
                <wp:positionH relativeFrom="column">
                  <wp:posOffset>-761365</wp:posOffset>
                </wp:positionH>
                <wp:positionV relativeFrom="paragraph">
                  <wp:posOffset>5163820</wp:posOffset>
                </wp:positionV>
                <wp:extent cx="6705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26EB6" w:rsidRPr="00E26EB6" w:rsidRDefault="00E26EB6" w:rsidP="00E26EB6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E26EB6">
                              <w:rPr>
                                <w:sz w:val="24"/>
                                <w:szCs w:val="24"/>
                              </w:rPr>
                              <w:t>График чистой прибыли и ключевой ставки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CC122" id="Надпись 1" o:spid="_x0000_s1027" type="#_x0000_t202" style="position:absolute;left:0;text-align:left;margin-left:-59.95pt;margin-top:406.6pt;width:528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" stroked="f">
                <v:textbox style="mso-fit-shape-to-text:t" inset="0,0,0,0">
                  <w:txbxContent>
                    <w:p w:rsidR="00E26EB6" w:rsidRPr="00E26EB6" w:rsidRDefault="00E26EB6" w:rsidP="00E26EB6">
                      <w:pPr>
                        <w:pStyle w:val="a5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E26EB6">
                        <w:rPr>
                          <w:sz w:val="24"/>
                          <w:szCs w:val="24"/>
                        </w:rPr>
                        <w:t>График чистой прибыли и ключевой ставки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26EB6">
        <w:rPr>
          <w:rFonts w:ascii="Times New Roman" w:hAnsi="Times New Roman" w:cs="Times New Roman"/>
          <w:sz w:val="28"/>
          <w:szCs w:val="28"/>
        </w:rPr>
        <w:t>В данном разделе исследуется причинно-следственная связь между флуктуациями ключевой ставки Банка России и динамикой чистой прибыли анализируемых эмитентов. Ключевая ставка выступает базовым ценовым индикатором стоимости денег в экономике, напрямую определяющим как стоимость привлечения средств (пассивы), так и доходность размещения (активы) коммерческих банков.</w:t>
      </w:r>
      <w:r w:rsidR="00E26EB6">
        <w:rPr>
          <w:rFonts w:ascii="Times New Roman" w:hAnsi="Times New Roman" w:cs="Times New Roman"/>
          <w:sz w:val="28"/>
          <w:szCs w:val="28"/>
        </w:rPr>
        <w:br/>
      </w:r>
    </w:p>
    <w:p w:rsidR="00E26EB6" w:rsidRDefault="00DD7FF8" w:rsidP="00DD7FF8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демонстрируют эмпирические данные, традиционные банковские институты государственного сектора продемонстрировали </w:t>
      </w:r>
      <w:r w:rsidR="00D12FB8">
        <w:rPr>
          <w:rFonts w:ascii="Times New Roman" w:hAnsi="Times New Roman" w:cs="Times New Roman"/>
          <w:sz w:val="28"/>
          <w:szCs w:val="28"/>
        </w:rPr>
        <w:t>визуальную реакци</w:t>
      </w:r>
      <w:r w:rsidR="00F268EB">
        <w:rPr>
          <w:rFonts w:ascii="Times New Roman" w:hAnsi="Times New Roman" w:cs="Times New Roman"/>
          <w:sz w:val="28"/>
          <w:szCs w:val="28"/>
        </w:rPr>
        <w:t>ю</w:t>
      </w:r>
      <w:r w:rsidR="00F268EB" w:rsidRPr="00F268EB">
        <w:rPr>
          <w:rFonts w:ascii="Times New Roman" w:hAnsi="Times New Roman" w:cs="Times New Roman"/>
          <w:sz w:val="28"/>
          <w:szCs w:val="28"/>
        </w:rPr>
        <w:t xml:space="preserve"> банков на изменение ключевой ставки, особенно у ВТБ. Однако, как показал регрессионный анализ (см. ниже), статистически значимой зависимости не обнаружено, что может объясняться малым числом наблюдений и влиянием разовых событий</w:t>
      </w:r>
    </w:p>
    <w:p w:rsidR="00F268EB" w:rsidRPr="00F268EB" w:rsidRDefault="00F268EB" w:rsidP="00F268EB">
      <w:pPr>
        <w:ind w:left="-851"/>
        <w:rPr>
          <w:rFonts w:ascii="Times New Roman" w:hAnsi="Times New Roman" w:cs="Times New Roman"/>
          <w:sz w:val="28"/>
          <w:szCs w:val="28"/>
        </w:rPr>
      </w:pPr>
      <w:r w:rsidRPr="00F268EB">
        <w:rPr>
          <w:rFonts w:ascii="Times New Roman" w:hAnsi="Times New Roman" w:cs="Times New Roman"/>
          <w:sz w:val="28"/>
          <w:szCs w:val="28"/>
        </w:rPr>
        <w:t xml:space="preserve">Анализ поквартальных данных выявил следующее. У ВТБ в 2024Q4 наблюдался разовый рост чистой прибыли до 176,4 млрд руб. (предыдущий квартал — 97,9 млрд руб.). Этот всплеск объясняется не операционными факторами: в отчётности зафиксирована отрицательная стоимость риска (CoR = –0,006), что свидетельствует о роспуске резервов под заблокированные активы и валютной переоценке. Исключение данного аномального квартала снижает среднюю квартальную прибыль </w:t>
      </w:r>
      <w:r w:rsidRPr="00F268EB">
        <w:rPr>
          <w:rFonts w:ascii="Times New Roman" w:hAnsi="Times New Roman" w:cs="Times New Roman"/>
          <w:sz w:val="28"/>
          <w:szCs w:val="28"/>
        </w:rPr>
        <w:lastRenderedPageBreak/>
        <w:t>ВТБ за 2024–2025 гг. со 140,6 млрд руб. до 128,7 млрд руб. (снижение на 8,5%), что подтверждает его разовый, несистемный характер.</w:t>
      </w:r>
    </w:p>
    <w:p w:rsidR="00F268EB" w:rsidRPr="00F268EB" w:rsidRDefault="00F268EB" w:rsidP="00F268EB">
      <w:pPr>
        <w:ind w:left="-851"/>
        <w:rPr>
          <w:rFonts w:ascii="Times New Roman" w:hAnsi="Times New Roman" w:cs="Times New Roman"/>
          <w:sz w:val="28"/>
          <w:szCs w:val="28"/>
        </w:rPr>
      </w:pPr>
      <w:r w:rsidRPr="00F268EB">
        <w:rPr>
          <w:rFonts w:ascii="Times New Roman" w:hAnsi="Times New Roman" w:cs="Times New Roman"/>
          <w:sz w:val="28"/>
          <w:szCs w:val="28"/>
        </w:rPr>
        <w:t>В отличие от ВТБ, чистая прибыль Сбера в период высокой ключевой ставки (20–21%) демонстрировала меньшую волатильность: стандартное отклонение квартальной прибыли за 2024–2025 гг. составило 28,2 млрд руб. против 33,4 млрд руб. у ВТБ.</w:t>
      </w:r>
      <w:r w:rsidR="00904903" w:rsidRPr="00904903">
        <w:t xml:space="preserve"> </w:t>
      </w:r>
      <w:r w:rsidR="00904903" w:rsidRPr="00904903">
        <w:rPr>
          <w:rFonts w:ascii="Times New Roman" w:hAnsi="Times New Roman" w:cs="Times New Roman"/>
          <w:sz w:val="28"/>
          <w:szCs w:val="28"/>
        </w:rPr>
        <w:t>Например, в 2024Q4 при ключевой ставке 21% чистая прибыль Сбера снизилась на 58 млрд руб. по сравнению с 2024Q3 (с 411,1 до 353,1 млрд руб.). ВТБ же показал рост с 97,9 до 176,4 млрд руб., однако этот рост, как указано выше, был обусловлен разовыми факторами. После исключения аномалии прибыль ВТБ в 2024Q4 была бы ниже предыдущего квартала примерно на 20 млрд руб., что подтверждает более сильное негативное влияние ставки на ВТБ.</w:t>
      </w:r>
      <w:r w:rsidRPr="00F268EB">
        <w:rPr>
          <w:rFonts w:ascii="Times New Roman" w:hAnsi="Times New Roman" w:cs="Times New Roman"/>
          <w:sz w:val="28"/>
          <w:szCs w:val="28"/>
        </w:rPr>
        <w:t xml:space="preserve"> Это может быть связано с двумя структурными особенностями баланса Сбера:</w:t>
      </w:r>
    </w:p>
    <w:p w:rsidR="00F268EB" w:rsidRPr="00F268EB" w:rsidRDefault="00F268EB" w:rsidP="00F268EB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F268EB">
        <w:rPr>
          <w:rFonts w:ascii="Times New Roman" w:hAnsi="Times New Roman" w:cs="Times New Roman"/>
          <w:sz w:val="28"/>
          <w:szCs w:val="28"/>
        </w:rPr>
        <w:t>оля текущих счетов физических лиц (бесплатный источник фондирования) превышает 40% пассивов, что снижает чувствительность к росту ставок;</w:t>
      </w:r>
    </w:p>
    <w:p w:rsidR="00F268EB" w:rsidRPr="00F268EB" w:rsidRDefault="00F268EB" w:rsidP="00F268EB">
      <w:pPr>
        <w:pStyle w:val="a6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F268EB">
        <w:rPr>
          <w:rFonts w:ascii="Times New Roman" w:hAnsi="Times New Roman" w:cs="Times New Roman"/>
          <w:sz w:val="28"/>
          <w:szCs w:val="28"/>
        </w:rPr>
        <w:t>редитный портфель содержит значительную долю инструментов с плавающей ставкой, которые автоматически переоцениваются вслед за ключевой ставкой, поддерживая чистую процентную маржу.</w:t>
      </w:r>
    </w:p>
    <w:p w:rsidR="004F5FCD" w:rsidRDefault="004F5FCD" w:rsidP="00487468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P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4F5FCD" w:rsidRDefault="004F5FCD" w:rsidP="004F5FCD">
      <w:pPr>
        <w:rPr>
          <w:rFonts w:ascii="Times New Roman" w:hAnsi="Times New Roman" w:cs="Times New Roman"/>
          <w:sz w:val="28"/>
          <w:szCs w:val="28"/>
        </w:rPr>
      </w:pPr>
    </w:p>
    <w:p w:rsidR="00E26EB6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4F5FCD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4F5FCD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4F5FCD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4F5FCD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4F5FCD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4F5FCD" w:rsidRDefault="003B3FF4" w:rsidP="0068734A">
      <w:pPr>
        <w:tabs>
          <w:tab w:val="left" w:pos="3885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Раздел 2. </w:t>
      </w:r>
      <w:r w:rsidR="0068734A">
        <w:rPr>
          <w:rFonts w:ascii="Times New Roman" w:hAnsi="Times New Roman" w:cs="Times New Roman"/>
          <w:b/>
          <w:sz w:val="36"/>
          <w:szCs w:val="36"/>
        </w:rPr>
        <w:t>Монетизация рыночной ликвидности и динамика расширения кредитных портфелей</w:t>
      </w:r>
    </w:p>
    <w:p w:rsidR="0068734A" w:rsidRDefault="0068734A" w:rsidP="0068734A">
      <w:pPr>
        <w:tabs>
          <w:tab w:val="left" w:pos="3885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68734A" w:rsidRDefault="004C4914" w:rsidP="0068734A">
      <w:pPr>
        <w:tabs>
          <w:tab w:val="left" w:pos="3885"/>
        </w:tabs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7DC5E513" wp14:editId="2BF20D41">
            <wp:simplePos x="0" y="0"/>
            <wp:positionH relativeFrom="page">
              <wp:align>center</wp:align>
            </wp:positionH>
            <wp:positionV relativeFrom="paragraph">
              <wp:posOffset>1245013</wp:posOffset>
            </wp:positionV>
            <wp:extent cx="6706800" cy="3554009"/>
            <wp:effectExtent l="19050" t="19050" r="18415" b="27940"/>
            <wp:wrapThrough wrapText="bothSides">
              <wp:wrapPolygon edited="0">
                <wp:start x="-61" y="-116"/>
                <wp:lineTo x="-61" y="21654"/>
                <wp:lineTo x="21598" y="21654"/>
                <wp:lineTo x="21598" y="-116"/>
                <wp:lineTo x="-61" y="-116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d23324d-e4e2-4e93-972b-e32e2845d6c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800" cy="3554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34A">
        <w:rPr>
          <w:rFonts w:ascii="Times New Roman" w:hAnsi="Times New Roman" w:cs="Times New Roman"/>
          <w:sz w:val="28"/>
          <w:szCs w:val="28"/>
        </w:rPr>
        <w:t>В данном разделе анализируется эффективность трансформации макроэкономической ликвидности (агрегат денежной массы М2) в работающие активы банков – их кредитные портфели. Динамика представлена в относительных величинах (база 100% на март 2024 года) для исключения эффекта масштаба и выявления чисты</w:t>
      </w:r>
      <w:r w:rsidR="006C791B">
        <w:rPr>
          <w:rFonts w:ascii="Times New Roman" w:hAnsi="Times New Roman" w:cs="Times New Roman"/>
          <w:sz w:val="28"/>
          <w:szCs w:val="28"/>
        </w:rPr>
        <w:t>х темпов роста бизнеса.</w:t>
      </w:r>
    </w:p>
    <w:p w:rsidR="006C791B" w:rsidRDefault="006C791B" w:rsidP="0068734A">
      <w:pPr>
        <w:tabs>
          <w:tab w:val="left" w:pos="3885"/>
        </w:tabs>
        <w:ind w:left="-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3F5A35" wp14:editId="6E7491EC">
                <wp:simplePos x="0" y="0"/>
                <wp:positionH relativeFrom="column">
                  <wp:posOffset>-538480</wp:posOffset>
                </wp:positionH>
                <wp:positionV relativeFrom="paragraph">
                  <wp:posOffset>3860800</wp:posOffset>
                </wp:positionV>
                <wp:extent cx="658114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C791B" w:rsidRPr="006C791B" w:rsidRDefault="006C791B" w:rsidP="006C791B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6C791B">
                              <w:rPr>
                                <w:sz w:val="24"/>
                                <w:szCs w:val="24"/>
                              </w:rPr>
                              <w:t>Сравнительная динамика темпов роста кредитных портфелей эмитентов в сопоставлении с агрегатом денежной массы М2 ЦБ РФ (2024–2026 гг.)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F5A35" id="Надпись 4" o:spid="_x0000_s1028" type="#_x0000_t202" style="position:absolute;left:0;text-align:left;margin-left:-42.4pt;margin-top:304pt;width:518.2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" stroked="f">
                <v:textbox style="mso-fit-shape-to-text:t" inset="0,0,0,0">
                  <w:txbxContent>
                    <w:p w:rsidR="006C791B" w:rsidRPr="006C791B" w:rsidRDefault="006C791B" w:rsidP="006C791B">
                      <w:pPr>
                        <w:pStyle w:val="a5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6C791B">
                        <w:rPr>
                          <w:sz w:val="24"/>
                          <w:szCs w:val="24"/>
                        </w:rPr>
                        <w:t>Сравнительная динамика темпов роста кредитных портфелей эмитентов в сопоставлении с агрегатом денежной массы М2 ЦБ РФ (2024–2026 гг.)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3D7181" w:rsidRDefault="003D7181" w:rsidP="00CE2A42">
      <w:pPr>
        <w:tabs>
          <w:tab w:val="left" w:pos="3885"/>
        </w:tabs>
        <w:ind w:left="-851"/>
        <w:rPr>
          <w:rFonts w:ascii="Times New Roman" w:hAnsi="Times New Roman" w:cs="Times New Roman"/>
          <w:sz w:val="28"/>
          <w:szCs w:val="28"/>
        </w:rPr>
      </w:pPr>
      <w:r w:rsidRPr="003D7181">
        <w:rPr>
          <w:rFonts w:ascii="Times New Roman" w:hAnsi="Times New Roman" w:cs="Times New Roman"/>
          <w:sz w:val="28"/>
          <w:szCs w:val="28"/>
        </w:rPr>
        <w:t>Кредитные портфели банков демонстрируют разную динамику масштабирования. Кредитный пор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D7181">
        <w:rPr>
          <w:rFonts w:ascii="Times New Roman" w:hAnsi="Times New Roman" w:cs="Times New Roman"/>
          <w:sz w:val="28"/>
          <w:szCs w:val="28"/>
        </w:rPr>
        <w:t xml:space="preserve">фель Т-Технологий на 31.03.2024 составлял 1 088 млрд руб., к 31.12.2025 вырос до 3 169 млрд руб., что соответствует увеличению на 191% (или более чем на 140% по отношению к началу 2026 года, согласно расчётам автора). Основной скачок (+118% в 2024Q3) связан с присоединением портфеля ПАО </w:t>
      </w:r>
      <w:r w:rsidRPr="003D7181">
        <w:rPr>
          <w:rFonts w:ascii="Times New Roman" w:hAnsi="Times New Roman" w:cs="Times New Roman"/>
          <w:sz w:val="28"/>
          <w:szCs w:val="28"/>
        </w:rPr>
        <w:lastRenderedPageBreak/>
        <w:t>«Росбанк» в рамках официальной интеграции. В последующие кварталы портфель продолжал расти, но более низкими темпами: с 2 597 млрд руб. (30.09.2024) до 3 169 млрд руб. (31.12.2025) прирост составил 22% за пять кварталов. Таким образом, большой рост в 2024 году объясняется в основном разовым неорганическим фактором, а не органической динамикой.</w:t>
      </w:r>
    </w:p>
    <w:p w:rsidR="00CE2A42" w:rsidRPr="00CE2A42" w:rsidRDefault="00CE2A42" w:rsidP="00CE2A42">
      <w:pPr>
        <w:tabs>
          <w:tab w:val="left" w:pos="3885"/>
        </w:tabs>
        <w:ind w:left="-85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Стагнация портфелей госсектора</w:t>
      </w:r>
    </w:p>
    <w:p w:rsidR="00CE2A42" w:rsidRDefault="00CE2A42" w:rsidP="00CE2A42">
      <w:pPr>
        <w:tabs>
          <w:tab w:val="left" w:pos="3885"/>
        </w:tabs>
        <w:ind w:left="-851"/>
        <w:rPr>
          <w:rFonts w:ascii="Times New Roman" w:hAnsi="Times New Roman" w:cs="Times New Roman"/>
          <w:sz w:val="28"/>
          <w:szCs w:val="32"/>
        </w:rPr>
      </w:pPr>
      <w:r w:rsidRPr="00CE2A42">
        <w:rPr>
          <w:rFonts w:ascii="Times New Roman" w:hAnsi="Times New Roman" w:cs="Times New Roman"/>
          <w:sz w:val="28"/>
          <w:szCs w:val="32"/>
        </w:rPr>
        <w:t>За анализируемый период (2024–2026 гг.) кредитный портфель Сбербанка вырос на 25%, ВТБ — на 10%. Темп роста денежной массы М2 за тот же период составил около 30%. Таким образом, оба государственных банка наращивали кредитование медленнее, чем росла ликвидность в экономике. Одной из возможных причин является снижение спроса на кредиты со стороны крупного бизнеса (замораживание инвестпрограмм) и розничного сегмента (стагнация ипотеки после отмены льготных программ) в период высоких ставок (19–21%).</w:t>
      </w:r>
    </w:p>
    <w:p w:rsidR="003D7181" w:rsidRPr="00CE2A42" w:rsidRDefault="003D7181" w:rsidP="00CE2A42">
      <w:pPr>
        <w:tabs>
          <w:tab w:val="left" w:pos="3885"/>
        </w:tabs>
        <w:ind w:left="-851"/>
        <w:rPr>
          <w:rFonts w:ascii="Times New Roman" w:hAnsi="Times New Roman" w:cs="Times New Roman"/>
          <w:sz w:val="28"/>
          <w:szCs w:val="32"/>
        </w:rPr>
      </w:pPr>
      <w:r w:rsidRPr="003D7181">
        <w:rPr>
          <w:rFonts w:ascii="Times New Roman" w:hAnsi="Times New Roman" w:cs="Times New Roman"/>
          <w:sz w:val="28"/>
          <w:szCs w:val="32"/>
        </w:rPr>
        <w:t>При этом важно различать органический и неорганический рост. Увеличение портфеля Т-Технологий на 118% в 2024Q3 связано с присоединением активов Росбанка, а не с привлечением новых клиентов. В последующие пять кварталов (с 30.09.2024 по 31.12.2025) портфель вырос лишь на 22%, что уже сопоставимо с темпами роста Сбербанка (25% за два года). Таким образом, органическая динамика Т-Технологий после интеграции не даёт оснований говорить о кардинально более высокой эффективности масштабирования кредитного бизнеса.</w:t>
      </w:r>
    </w:p>
    <w:p w:rsidR="00CE2A42" w:rsidRPr="00CE2A42" w:rsidRDefault="00CE2A42" w:rsidP="00CE2A42">
      <w:pPr>
        <w:tabs>
          <w:tab w:val="left" w:pos="3885"/>
        </w:tabs>
        <w:ind w:left="-85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Сравнение с агрегатом М2</w:t>
      </w:r>
    </w:p>
    <w:p w:rsidR="003B3FF4" w:rsidRPr="00CE2A42" w:rsidRDefault="00CE2A42" w:rsidP="00CE2A42">
      <w:pPr>
        <w:tabs>
          <w:tab w:val="left" w:pos="3885"/>
        </w:tabs>
        <w:ind w:left="-851"/>
        <w:rPr>
          <w:rFonts w:ascii="Times New Roman" w:hAnsi="Times New Roman" w:cs="Times New Roman"/>
          <w:sz w:val="24"/>
          <w:szCs w:val="24"/>
        </w:rPr>
      </w:pPr>
      <w:r w:rsidRPr="00CE2A42">
        <w:rPr>
          <w:rFonts w:ascii="Times New Roman" w:hAnsi="Times New Roman" w:cs="Times New Roman"/>
          <w:sz w:val="28"/>
          <w:szCs w:val="32"/>
        </w:rPr>
        <w:t>М2 за два года увеличился примерно на 30%, что отражает общий рост ликвидности. При этом Сбер и ВТБ направляли привлечённые средства преимущественно в пассивы — главным образом в срочные депозиты с высокой стоимостью. Напротив, Т-Технологии (с учётом интеграции Росбанка) конвертировали ликвидность в расширение кредитного портфеля и рост комиссионных доходов, что способствовало увеличению чистой процентной маржи и рентабельности капитала.</w:t>
      </w:r>
    </w:p>
    <w:p w:rsidR="004F5FCD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4F5FCD" w:rsidRDefault="004F5FCD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172227" w:rsidRDefault="00172227" w:rsidP="004F5FCD">
      <w:pPr>
        <w:tabs>
          <w:tab w:val="left" w:pos="3885"/>
        </w:tabs>
        <w:rPr>
          <w:rFonts w:ascii="Times New Roman" w:hAnsi="Times New Roman" w:cs="Times New Roman"/>
          <w:sz w:val="28"/>
          <w:szCs w:val="28"/>
        </w:rPr>
      </w:pPr>
    </w:p>
    <w:p w:rsidR="00172227" w:rsidRPr="00172227" w:rsidRDefault="00172227" w:rsidP="00172227">
      <w:pPr>
        <w:rPr>
          <w:rFonts w:ascii="Times New Roman" w:hAnsi="Times New Roman" w:cs="Times New Roman"/>
          <w:sz w:val="28"/>
          <w:szCs w:val="28"/>
        </w:rPr>
      </w:pPr>
    </w:p>
    <w:p w:rsidR="00172227" w:rsidRPr="00172227" w:rsidRDefault="00172227" w:rsidP="00172227">
      <w:pPr>
        <w:rPr>
          <w:rFonts w:ascii="Times New Roman" w:hAnsi="Times New Roman" w:cs="Times New Roman"/>
          <w:sz w:val="28"/>
          <w:szCs w:val="28"/>
        </w:rPr>
      </w:pPr>
    </w:p>
    <w:p w:rsidR="00172227" w:rsidRDefault="00172227" w:rsidP="00172227">
      <w:pPr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172227">
      <w:pPr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172227">
      <w:pPr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172227">
      <w:pPr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172227">
      <w:pPr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172227">
      <w:pPr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172227">
      <w:pPr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172227">
      <w:pPr>
        <w:rPr>
          <w:rFonts w:ascii="Times New Roman" w:hAnsi="Times New Roman" w:cs="Times New Roman"/>
          <w:sz w:val="28"/>
          <w:szCs w:val="28"/>
        </w:rPr>
      </w:pPr>
    </w:p>
    <w:p w:rsidR="004F5FCD" w:rsidRDefault="004F5FCD" w:rsidP="001722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2227" w:rsidRDefault="006A19F3" w:rsidP="006A19F3">
      <w:pPr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Раздел 3. Анализ эффективности управления капиталом (</w:t>
      </w:r>
      <w:r>
        <w:rPr>
          <w:rFonts w:ascii="Times New Roman" w:hAnsi="Times New Roman" w:cs="Times New Roman"/>
          <w:b/>
          <w:sz w:val="36"/>
          <w:szCs w:val="32"/>
          <w:lang w:val="en-US"/>
        </w:rPr>
        <w:t>ROE</w:t>
      </w:r>
      <w:r w:rsidRPr="006A19F3">
        <w:rPr>
          <w:rFonts w:ascii="Times New Roman" w:hAnsi="Times New Roman" w:cs="Times New Roman"/>
          <w:b/>
          <w:sz w:val="36"/>
          <w:szCs w:val="32"/>
        </w:rPr>
        <w:t xml:space="preserve">) </w:t>
      </w:r>
      <w:r>
        <w:rPr>
          <w:rFonts w:ascii="Times New Roman" w:hAnsi="Times New Roman" w:cs="Times New Roman"/>
          <w:b/>
          <w:sz w:val="36"/>
          <w:szCs w:val="32"/>
        </w:rPr>
        <w:t>и маржинальности бизнеса</w:t>
      </w:r>
    </w:p>
    <w:p w:rsidR="00B66D8C" w:rsidRDefault="004C4914" w:rsidP="004C4914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350877C0" wp14:editId="20E6CFA7">
            <wp:simplePos x="0" y="0"/>
            <wp:positionH relativeFrom="page">
              <wp:align>center</wp:align>
            </wp:positionH>
            <wp:positionV relativeFrom="paragraph">
              <wp:posOffset>1226569</wp:posOffset>
            </wp:positionV>
            <wp:extent cx="6706800" cy="3555930"/>
            <wp:effectExtent l="19050" t="19050" r="18415" b="26035"/>
            <wp:wrapThrough wrapText="bothSides">
              <wp:wrapPolygon edited="0">
                <wp:start x="-61" y="-116"/>
                <wp:lineTo x="-61" y="21642"/>
                <wp:lineTo x="21598" y="21642"/>
                <wp:lineTo x="21598" y="-116"/>
                <wp:lineTo x="-61" y="-116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0ed2ff6-9fd1-4636-a6d8-225b22692cc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800" cy="3555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7D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22BDA0" wp14:editId="01D177A6">
                <wp:simplePos x="0" y="0"/>
                <wp:positionH relativeFrom="column">
                  <wp:posOffset>-315595</wp:posOffset>
                </wp:positionH>
                <wp:positionV relativeFrom="paragraph">
                  <wp:posOffset>4963160</wp:posOffset>
                </wp:positionV>
                <wp:extent cx="657923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9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C17DD" w:rsidRPr="00EC17DD" w:rsidRDefault="00EC17DD" w:rsidP="00EC17DD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EC17DD">
                              <w:rPr>
                                <w:sz w:val="24"/>
                                <w:szCs w:val="24"/>
                              </w:rPr>
                              <w:t>Сравнительная динамика рентабельности собственного капитала (ROE) в разрезе бизнес-моделей (2024–2026 гг.)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2BDA0" id="Надпись 6" o:spid="_x0000_s1029" type="#_x0000_t202" style="position:absolute;left:0;text-align:left;margin-left:-24.85pt;margin-top:390.8pt;width:518.0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" stroked="f">
                <v:textbox style="mso-fit-shape-to-text:t" inset="0,0,0,0">
                  <w:txbxContent>
                    <w:p w:rsidR="00EC17DD" w:rsidRPr="00EC17DD" w:rsidRDefault="00EC17DD" w:rsidP="00EC17DD">
                      <w:pPr>
                        <w:pStyle w:val="a5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EC17DD">
                        <w:rPr>
                          <w:sz w:val="24"/>
                          <w:szCs w:val="24"/>
                        </w:rPr>
                        <w:t>Сравнительная динамика рентабельности собственного капитала (ROE) в разрезе бизнес-моделей (2024–2026 гг.)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66D8C">
        <w:rPr>
          <w:rFonts w:ascii="Times New Roman" w:hAnsi="Times New Roman" w:cs="Times New Roman"/>
          <w:sz w:val="28"/>
          <w:szCs w:val="28"/>
        </w:rPr>
        <w:t xml:space="preserve">В данном разделе исследуется показатель рентабельности собственного капитала, который отражает чистую экономическую эффективность банковских институтов. В инвест-анализе </w:t>
      </w:r>
      <w:r w:rsidR="00B66D8C">
        <w:rPr>
          <w:rFonts w:ascii="Times New Roman" w:hAnsi="Times New Roman" w:cs="Times New Roman"/>
          <w:sz w:val="28"/>
          <w:szCs w:val="28"/>
          <w:lang w:val="en-US"/>
        </w:rPr>
        <w:t>ROE</w:t>
      </w:r>
      <w:r w:rsidR="00B66D8C" w:rsidRPr="00B66D8C">
        <w:rPr>
          <w:rFonts w:ascii="Times New Roman" w:hAnsi="Times New Roman" w:cs="Times New Roman"/>
          <w:sz w:val="28"/>
          <w:szCs w:val="28"/>
        </w:rPr>
        <w:t xml:space="preserve"> </w:t>
      </w:r>
      <w:r w:rsidR="00B66D8C">
        <w:rPr>
          <w:rFonts w:ascii="Times New Roman" w:hAnsi="Times New Roman" w:cs="Times New Roman"/>
          <w:sz w:val="28"/>
          <w:szCs w:val="28"/>
        </w:rPr>
        <w:t xml:space="preserve">является главным индикатором качества менеджмента, так как демонстрирует, сколько копеек чистой прибыли генерирует бизнес на каждый рубль, вложенный акционерами. </w:t>
      </w:r>
    </w:p>
    <w:p w:rsidR="00EC17DD" w:rsidRDefault="00EC17DD" w:rsidP="00EC17DD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Эмпирический анализ графиков </w:t>
      </w:r>
      <w:r w:rsidR="006961CA" w:rsidRPr="006961CA">
        <w:rPr>
          <w:rFonts w:ascii="Times New Roman" w:hAnsi="Times New Roman" w:cs="Times New Roman"/>
          <w:sz w:val="28"/>
          <w:szCs w:val="28"/>
        </w:rPr>
        <w:t>показывает, что лидерство по абсолютной прибыли не означает лидерства по эффективности</w:t>
      </w:r>
      <w:r w:rsidR="006961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ПАО «Сбербанк». Несмотря на то, что Сбербанк генерирует наибольшую массу чистой прибыли в миллиардах рублей, его </w:t>
      </w:r>
      <w:r>
        <w:rPr>
          <w:rFonts w:ascii="Times New Roman" w:hAnsi="Times New Roman" w:cs="Times New Roman"/>
          <w:sz w:val="28"/>
          <w:szCs w:val="28"/>
        </w:rPr>
        <w:lastRenderedPageBreak/>
        <w:t>средняя рентабельность капитала (</w:t>
      </w:r>
      <w:r>
        <w:rPr>
          <w:rFonts w:ascii="Times New Roman" w:hAnsi="Times New Roman" w:cs="Times New Roman"/>
          <w:sz w:val="28"/>
          <w:szCs w:val="28"/>
          <w:lang w:val="en-US"/>
        </w:rPr>
        <w:t>ROE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C17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стабильно удерживается в диапазоне 18-22 %. Это сильный результат для классического банка, однако он отражает предел эффективности «тяжелой»</w:t>
      </w:r>
      <w:r w:rsidR="004C4914">
        <w:rPr>
          <w:rFonts w:ascii="Times New Roman" w:hAnsi="Times New Roman" w:cs="Times New Roman"/>
          <w:sz w:val="28"/>
          <w:szCs w:val="28"/>
        </w:rPr>
        <w:t xml:space="preserve"> бизнес-модели, обремененной физической инфраструктурой и огромным объемом низко маржинальных активов.</w:t>
      </w:r>
    </w:p>
    <w:p w:rsidR="004C4914" w:rsidRDefault="00D12FB8" w:rsidP="00EC17DD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bookmarkStart w:id="0" w:name="_GoBack"/>
      <w:bookmarkEnd w:id="0"/>
      <w:r w:rsidR="004C4914">
        <w:rPr>
          <w:rFonts w:ascii="Times New Roman" w:hAnsi="Times New Roman" w:cs="Times New Roman"/>
          <w:sz w:val="28"/>
          <w:szCs w:val="28"/>
        </w:rPr>
        <w:t xml:space="preserve">идером по эффективности выступает группа Т-Технологии, чей показатель </w:t>
      </w:r>
      <w:r w:rsidR="004C4914">
        <w:rPr>
          <w:rFonts w:ascii="Times New Roman" w:hAnsi="Times New Roman" w:cs="Times New Roman"/>
          <w:sz w:val="28"/>
          <w:szCs w:val="28"/>
          <w:lang w:val="en-US"/>
        </w:rPr>
        <w:t>ROE</w:t>
      </w:r>
      <w:r w:rsidR="004C4914" w:rsidRPr="004C4914">
        <w:rPr>
          <w:rFonts w:ascii="Times New Roman" w:hAnsi="Times New Roman" w:cs="Times New Roman"/>
          <w:sz w:val="28"/>
          <w:szCs w:val="28"/>
        </w:rPr>
        <w:t xml:space="preserve"> </w:t>
      </w:r>
      <w:r w:rsidR="004C4914">
        <w:rPr>
          <w:rFonts w:ascii="Times New Roman" w:hAnsi="Times New Roman" w:cs="Times New Roman"/>
          <w:sz w:val="28"/>
          <w:szCs w:val="28"/>
        </w:rPr>
        <w:t>на протяжении всего анализируемого периода удерживает аномально высокую планку выше 30 % (с пиками до 37 %). Это доказывает, что цифровая финтех-модель способна извлекать кратно больше прибыли из единицы капитала, чем традиционные банки.</w:t>
      </w:r>
    </w:p>
    <w:p w:rsidR="00CE2A42" w:rsidRDefault="00CE2A42" w:rsidP="00EC17DD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801C00" w:rsidRPr="00801C00" w:rsidRDefault="00801C00" w:rsidP="00801C00">
      <w:pPr>
        <w:ind w:left="-851"/>
        <w:rPr>
          <w:rFonts w:ascii="Times New Roman" w:hAnsi="Times New Roman" w:cs="Times New Roman"/>
          <w:b/>
          <w:sz w:val="32"/>
          <w:szCs w:val="28"/>
        </w:rPr>
      </w:pPr>
      <w:r w:rsidRPr="00801C00">
        <w:rPr>
          <w:rFonts w:ascii="Times New Roman" w:hAnsi="Times New Roman" w:cs="Times New Roman"/>
          <w:b/>
          <w:sz w:val="32"/>
          <w:szCs w:val="28"/>
        </w:rPr>
        <w:t>Регрессионный анализ</w:t>
      </w:r>
    </w:p>
    <w:p w:rsidR="00801C00" w:rsidRDefault="00801C00" w:rsidP="00801C00">
      <w:pPr>
        <w:ind w:left="-851"/>
        <w:rPr>
          <w:rFonts w:ascii="Times New Roman" w:hAnsi="Times New Roman" w:cs="Times New Roman"/>
          <w:sz w:val="28"/>
          <w:szCs w:val="28"/>
        </w:rPr>
      </w:pPr>
      <w:r w:rsidRPr="00801C00">
        <w:rPr>
          <w:rFonts w:ascii="Times New Roman" w:hAnsi="Times New Roman" w:cs="Times New Roman"/>
          <w:sz w:val="28"/>
          <w:szCs w:val="28"/>
        </w:rPr>
        <w:t>Для количественной оценки влияния ключевой ставки на ROE была построена линейная регрессия ROE ~ key_rate для каждого банка на основе 8–9 кварталов (2024–2026). Результаты представлены в таблице 1.</w:t>
      </w:r>
    </w:p>
    <w:p w:rsidR="00730ABD" w:rsidRPr="00730ABD" w:rsidRDefault="00730ABD" w:rsidP="00730ABD">
      <w:pPr>
        <w:pStyle w:val="a5"/>
        <w:keepNext/>
        <w:rPr>
          <w:sz w:val="24"/>
        </w:rPr>
      </w:pPr>
      <w:r w:rsidRPr="00730ABD">
        <w:rPr>
          <w:sz w:val="24"/>
        </w:rPr>
        <w:t xml:space="preserve">Таблица </w:t>
      </w:r>
      <w:r>
        <w:rPr>
          <w:sz w:val="24"/>
        </w:rPr>
        <w:fldChar w:fldCharType="begin"/>
      </w:r>
      <w:r>
        <w:rPr>
          <w:sz w:val="24"/>
        </w:rPr>
        <w:instrText xml:space="preserve"> SEQ Таблица \* ARABIC </w:instrText>
      </w:r>
      <w:r>
        <w:rPr>
          <w:sz w:val="24"/>
        </w:rPr>
        <w:fldChar w:fldCharType="separate"/>
      </w:r>
      <w:r>
        <w:rPr>
          <w:noProof/>
          <w:sz w:val="24"/>
        </w:rPr>
        <w:t>1</w:t>
      </w:r>
      <w:r>
        <w:rPr>
          <w:sz w:val="24"/>
        </w:rPr>
        <w:fldChar w:fldCharType="end"/>
      </w:r>
      <w:r w:rsidRPr="00730ABD">
        <w:rPr>
          <w:sz w:val="24"/>
        </w:rPr>
        <w:t xml:space="preserve"> Результаты регрессионного анализа</w:t>
      </w:r>
    </w:p>
    <w:tbl>
      <w:tblPr>
        <w:tblStyle w:val="ab"/>
        <w:tblW w:w="0" w:type="auto"/>
        <w:tblInd w:w="-851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56897" w:rsidTr="00B56897">
        <w:tc>
          <w:tcPr>
            <w:tcW w:w="2336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(а)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p-value</w:t>
            </w:r>
          </w:p>
        </w:tc>
        <w:tc>
          <w:tcPr>
            <w:tcW w:w="2337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Статистически значимо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 &lt; 0.05)</w:t>
            </w:r>
          </w:p>
        </w:tc>
      </w:tr>
      <w:tr w:rsidR="00B56897" w:rsidTr="00B56897"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Т-технологии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.338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0.598</w:t>
            </w:r>
          </w:p>
        </w:tc>
        <w:tc>
          <w:tcPr>
            <w:tcW w:w="2337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56897" w:rsidTr="00B56897">
        <w:tc>
          <w:tcPr>
            <w:tcW w:w="2336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Сбер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-0.115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0.776</w:t>
            </w:r>
          </w:p>
        </w:tc>
        <w:tc>
          <w:tcPr>
            <w:tcW w:w="2337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56897" w:rsidTr="00B56897">
        <w:tc>
          <w:tcPr>
            <w:tcW w:w="2336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ВТБ(исходные)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+0.578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0.501</w:t>
            </w:r>
          </w:p>
        </w:tc>
        <w:tc>
          <w:tcPr>
            <w:tcW w:w="2337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56897" w:rsidTr="00B56897">
        <w:tc>
          <w:tcPr>
            <w:tcW w:w="2336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ВТБ(без выброса)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-0.045</w:t>
            </w:r>
          </w:p>
        </w:tc>
        <w:tc>
          <w:tcPr>
            <w:tcW w:w="2336" w:type="dxa"/>
          </w:tcPr>
          <w:p w:rsidR="00B56897" w:rsidRP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0.959</w:t>
            </w:r>
          </w:p>
        </w:tc>
        <w:tc>
          <w:tcPr>
            <w:tcW w:w="2337" w:type="dxa"/>
          </w:tcPr>
          <w:p w:rsidR="00B56897" w:rsidRDefault="00B56897" w:rsidP="00801C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B56897" w:rsidRDefault="00B56897" w:rsidP="00801C00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B56897" w:rsidRDefault="00B56897" w:rsidP="00801C00">
      <w:pPr>
        <w:ind w:left="-851"/>
        <w:rPr>
          <w:rFonts w:ascii="Times New Roman" w:hAnsi="Times New Roman" w:cs="Times New Roman"/>
          <w:sz w:val="28"/>
          <w:szCs w:val="28"/>
        </w:rPr>
      </w:pPr>
      <w:r w:rsidRPr="00B56897">
        <w:rPr>
          <w:rFonts w:ascii="Times New Roman" w:hAnsi="Times New Roman" w:cs="Times New Roman"/>
          <w:sz w:val="28"/>
          <w:szCs w:val="28"/>
        </w:rPr>
        <w:t>Вывод: Статистически значимого влияния ключевой ставки на ROE ни одного из банков не выявлено (p‑value &gt; 0.05). Это объясняется малым объёмом выборки и доминированием других факторов (комиссионные доходы, разовые события).</w:t>
      </w:r>
    </w:p>
    <w:p w:rsidR="00972BF1" w:rsidRPr="00972BF1" w:rsidRDefault="00972BF1" w:rsidP="00972BF1">
      <w:pPr>
        <w:ind w:left="-851"/>
        <w:rPr>
          <w:rFonts w:ascii="Times New Roman" w:hAnsi="Times New Roman" w:cs="Times New Roman"/>
          <w:b/>
          <w:sz w:val="32"/>
          <w:szCs w:val="28"/>
        </w:rPr>
      </w:pPr>
      <w:r w:rsidRPr="00972BF1">
        <w:rPr>
          <w:rFonts w:ascii="Times New Roman" w:hAnsi="Times New Roman" w:cs="Times New Roman"/>
          <w:b/>
          <w:sz w:val="32"/>
          <w:szCs w:val="28"/>
        </w:rPr>
        <w:t>Факторная декомпозиция изменения ROE Т‑Технологий</w:t>
      </w:r>
    </w:p>
    <w:p w:rsidR="00972BF1" w:rsidRPr="00972BF1" w:rsidRDefault="00972BF1" w:rsidP="00972BF1">
      <w:pPr>
        <w:ind w:left="-851"/>
        <w:rPr>
          <w:rFonts w:ascii="Times New Roman" w:hAnsi="Times New Roman" w:cs="Times New Roman"/>
          <w:sz w:val="28"/>
          <w:szCs w:val="28"/>
        </w:rPr>
      </w:pPr>
      <w:r w:rsidRPr="00972BF1">
        <w:rPr>
          <w:rFonts w:ascii="Times New Roman" w:hAnsi="Times New Roman" w:cs="Times New Roman"/>
          <w:sz w:val="28"/>
          <w:szCs w:val="28"/>
        </w:rPr>
        <w:t>Для выявления причин падения ROE с 37,8% (2024Q3) до 24,6% (2025Q1) был проведён анализ вклада трёх компонентов: чистой процентной маржи (NIM), стоимости риска (CoR) и комиссионной маржи (комиссионны</w:t>
      </w:r>
      <w:r>
        <w:rPr>
          <w:rFonts w:ascii="Times New Roman" w:hAnsi="Times New Roman" w:cs="Times New Roman"/>
          <w:sz w:val="28"/>
          <w:szCs w:val="28"/>
        </w:rPr>
        <w:t>е доходы / кредитный портфель).</w:t>
      </w:r>
    </w:p>
    <w:p w:rsidR="00972BF1" w:rsidRPr="00972BF1" w:rsidRDefault="00972BF1" w:rsidP="00972BF1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2BF1">
        <w:rPr>
          <w:rFonts w:ascii="Times New Roman" w:hAnsi="Times New Roman" w:cs="Times New Roman"/>
          <w:sz w:val="28"/>
          <w:szCs w:val="28"/>
        </w:rPr>
        <w:t>Изменение NIM: –1,2 п.п.</w:t>
      </w:r>
    </w:p>
    <w:p w:rsidR="00972BF1" w:rsidRPr="00972BF1" w:rsidRDefault="00972BF1" w:rsidP="00972BF1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2BF1">
        <w:rPr>
          <w:rFonts w:ascii="Times New Roman" w:hAnsi="Times New Roman" w:cs="Times New Roman"/>
          <w:sz w:val="28"/>
          <w:szCs w:val="28"/>
        </w:rPr>
        <w:t>Изменение CoR (снижение риска улучшает ROE): +3,0 п.п.</w:t>
      </w:r>
    </w:p>
    <w:p w:rsidR="00972BF1" w:rsidRPr="00972BF1" w:rsidRDefault="00972BF1" w:rsidP="00972BF1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2BF1">
        <w:rPr>
          <w:rFonts w:ascii="Times New Roman" w:hAnsi="Times New Roman" w:cs="Times New Roman"/>
          <w:sz w:val="28"/>
          <w:szCs w:val="28"/>
        </w:rPr>
        <w:t>Изменение комиссионной маржи: +0,05 п.п.</w:t>
      </w:r>
    </w:p>
    <w:p w:rsidR="00CE2A42" w:rsidRDefault="00904903" w:rsidP="00972BF1">
      <w:pPr>
        <w:ind w:left="-851"/>
        <w:rPr>
          <w:rFonts w:ascii="Times New Roman" w:hAnsi="Times New Roman" w:cs="Times New Roman"/>
          <w:sz w:val="28"/>
          <w:szCs w:val="28"/>
        </w:rPr>
      </w:pPr>
      <w:r w:rsidRPr="00904903">
        <w:rPr>
          <w:rFonts w:ascii="Times New Roman" w:hAnsi="Times New Roman" w:cs="Times New Roman"/>
          <w:sz w:val="28"/>
          <w:szCs w:val="28"/>
        </w:rPr>
        <w:lastRenderedPageBreak/>
        <w:t>Совокупный вклад трёх факторов составляет +1,85 п.п., что лишь частично объясняет общее падение на –13,2 п.п. Оставшееся падение (11,35 п.п.) может быть объяснено ростом операционных расходов (например, расходов на персонал и IT) и разовыми интеграционными издержками, которые не были учтены в упрощённой модели. Тем не менее, положительный вклад комиссионной маржи подтверждает устойчивость финтех-модели.</w:t>
      </w:r>
    </w:p>
    <w:p w:rsidR="00CE2A42" w:rsidRDefault="00CE2A42" w:rsidP="00972BF1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972BF1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972BF1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CE2A42" w:rsidRDefault="00CE2A42" w:rsidP="00972BF1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0C542D" w:rsidRPr="000C542D" w:rsidRDefault="000C542D" w:rsidP="000C542D">
      <w:pPr>
        <w:ind w:left="-851"/>
        <w:rPr>
          <w:rFonts w:ascii="Times New Roman" w:hAnsi="Times New Roman" w:cs="Times New Roman"/>
          <w:b/>
          <w:sz w:val="32"/>
          <w:szCs w:val="32"/>
        </w:rPr>
      </w:pPr>
      <w:r w:rsidRPr="000C542D">
        <w:rPr>
          <w:rFonts w:ascii="Times New Roman" w:hAnsi="Times New Roman" w:cs="Times New Roman"/>
          <w:b/>
          <w:sz w:val="32"/>
          <w:szCs w:val="32"/>
        </w:rPr>
        <w:t>Изменение ROE в 2024–2025 гг.</w:t>
      </w:r>
    </w:p>
    <w:p w:rsidR="000C542D" w:rsidRPr="000C542D" w:rsidRDefault="000C542D" w:rsidP="000C542D">
      <w:pPr>
        <w:ind w:left="-851"/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На графике ROE за 2024–2025 гг. видно синхронное снижение показателя у Т-Технологий и ВТБ в конце 2024 – начале 2025 г. (точки 2024-10 и 2025-01):</w:t>
      </w:r>
    </w:p>
    <w:p w:rsidR="000C542D" w:rsidRPr="000C542D" w:rsidRDefault="000C542D" w:rsidP="000C542D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ROE Т-Технологий снизился с 37,8% (2024Q3) до 24,6% (2025Q1) – падение на 13,2 п.п.</w:t>
      </w:r>
    </w:p>
    <w:p w:rsidR="000C542D" w:rsidRPr="000C542D" w:rsidRDefault="000C542D" w:rsidP="000C542D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ROE ВТБ снизился с 27,0% (2024Q4, аномальный выброс) до 14,5% (2025Q3) – падение на 12,5 п.п. (при исключении выброса падение менее выражено).</w:t>
      </w:r>
    </w:p>
    <w:p w:rsidR="000C542D" w:rsidRPr="000C542D" w:rsidRDefault="000C542D" w:rsidP="000C542D">
      <w:pPr>
        <w:ind w:left="-851"/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В этот период ключевая ставка была повышена с 16% до 21%. Рост ставки увеличил стоимость фондирования, что повлияло на NIM и CoR. Для Т-Технологий снижение ROE частично компенсировалось ростом комиссионных доходов (на 138% за два года). Для ВТБ отрицательный вклад процентных расходов оказался более значительным.</w:t>
      </w:r>
    </w:p>
    <w:p w:rsidR="00B66D8C" w:rsidRDefault="00B66D8C" w:rsidP="00B66D8C">
      <w:pPr>
        <w:rPr>
          <w:rFonts w:ascii="Times New Roman" w:hAnsi="Times New Roman" w:cs="Times New Roman"/>
          <w:sz w:val="28"/>
          <w:szCs w:val="32"/>
        </w:rPr>
      </w:pPr>
    </w:p>
    <w:p w:rsidR="000C542D" w:rsidRPr="000C542D" w:rsidRDefault="000C542D" w:rsidP="000C542D">
      <w:pPr>
        <w:ind w:left="-851"/>
        <w:rPr>
          <w:rFonts w:ascii="Times New Roman" w:hAnsi="Times New Roman" w:cs="Times New Roman"/>
          <w:b/>
          <w:sz w:val="32"/>
          <w:szCs w:val="32"/>
        </w:rPr>
      </w:pPr>
      <w:r w:rsidRPr="000C542D">
        <w:rPr>
          <w:rFonts w:ascii="Times New Roman" w:hAnsi="Times New Roman" w:cs="Times New Roman"/>
          <w:b/>
          <w:sz w:val="32"/>
          <w:szCs w:val="32"/>
        </w:rPr>
        <w:t>Динамика ROE в 2026 году</w:t>
      </w:r>
    </w:p>
    <w:p w:rsidR="000C542D" w:rsidRPr="000C542D" w:rsidRDefault="000C542D" w:rsidP="000C542D">
      <w:pPr>
        <w:ind w:left="-851"/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В начале 2026 года (точка 2026-01) ключевая ставка составляла 16% (до последующего снижения до 14,5%). На графике зафиксированы следующие значения ROE:</w:t>
      </w:r>
    </w:p>
    <w:p w:rsidR="000C542D" w:rsidRPr="000C542D" w:rsidRDefault="000C542D" w:rsidP="000C542D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Т-Технологии: 33,3%</w:t>
      </w:r>
    </w:p>
    <w:p w:rsidR="000C542D" w:rsidRPr="000C542D" w:rsidRDefault="000C542D" w:rsidP="000C542D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Сбер: 19,9%</w:t>
      </w:r>
    </w:p>
    <w:p w:rsidR="000C542D" w:rsidRPr="000C542D" w:rsidRDefault="000C542D" w:rsidP="000C542D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ВТБ: 17,3%</w:t>
      </w:r>
    </w:p>
    <w:p w:rsidR="000C542D" w:rsidRPr="000C542D" w:rsidRDefault="000C542D" w:rsidP="000C542D">
      <w:pPr>
        <w:ind w:left="-851"/>
        <w:rPr>
          <w:rFonts w:ascii="Times New Roman" w:hAnsi="Times New Roman" w:cs="Times New Roman"/>
          <w:sz w:val="28"/>
          <w:szCs w:val="32"/>
        </w:rPr>
      </w:pPr>
      <w:r w:rsidRPr="000C542D">
        <w:rPr>
          <w:rFonts w:ascii="Times New Roman" w:hAnsi="Times New Roman" w:cs="Times New Roman"/>
          <w:sz w:val="28"/>
          <w:szCs w:val="32"/>
        </w:rPr>
        <w:t>По сравнению с предыдущим кварталом (2025-10) ROE Т-Технологий вырос на 4,1 п.п., ROE Сбера снизился на 2,6 п.п., ROE ВТБ вырос на 2,8 п.п. Разнонаправленная динамика может объясняться различиями в структуре пассивов: у Сбера высока доля долгосрочных вкладов, зафиксированных по высоким ставкам в 2024 г., а у Т-</w:t>
      </w:r>
      <w:r w:rsidRPr="000C542D">
        <w:rPr>
          <w:rFonts w:ascii="Times New Roman" w:hAnsi="Times New Roman" w:cs="Times New Roman"/>
          <w:sz w:val="28"/>
          <w:szCs w:val="32"/>
        </w:rPr>
        <w:lastRenderedPageBreak/>
        <w:t>Технологий преобладают «короткие» пассивы, которые быстрее переоцениваются при снижении ставок.</w:t>
      </w:r>
    </w:p>
    <w:p w:rsidR="00172227" w:rsidRDefault="00172227" w:rsidP="001722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2227" w:rsidRDefault="00172227" w:rsidP="001722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6EF2" w:rsidRDefault="00C96EF2" w:rsidP="001722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542D" w:rsidRDefault="000C542D" w:rsidP="001722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542D" w:rsidRDefault="000C542D" w:rsidP="001722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542D" w:rsidRDefault="000C542D" w:rsidP="0017222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6EF2" w:rsidRDefault="00C96EF2" w:rsidP="0017222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Раздел 4. Трансформация доходов</w:t>
      </w:r>
      <w:r w:rsidRPr="00C96EF2"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ascii="Times New Roman" w:hAnsi="Times New Roman" w:cs="Times New Roman"/>
          <w:b/>
          <w:sz w:val="36"/>
          <w:szCs w:val="36"/>
        </w:rPr>
        <w:t xml:space="preserve"> Комиссионный щит экосистем</w:t>
      </w:r>
      <w:r w:rsidRPr="00C96EF2">
        <w:rPr>
          <w:rFonts w:ascii="Times New Roman" w:hAnsi="Times New Roman" w:cs="Times New Roman"/>
          <w:b/>
          <w:sz w:val="36"/>
          <w:szCs w:val="36"/>
        </w:rPr>
        <w:t>?</w:t>
      </w:r>
    </w:p>
    <w:p w:rsidR="00C96EF2" w:rsidRDefault="00C7344E" w:rsidP="00C7344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исследуется один из ключевых драйверов устойчивости современных банковских институтов – чистые комиссионные доходы (</w:t>
      </w:r>
      <w:r>
        <w:rPr>
          <w:rFonts w:ascii="Times New Roman" w:hAnsi="Times New Roman" w:cs="Times New Roman"/>
          <w:sz w:val="28"/>
          <w:szCs w:val="28"/>
          <w:lang w:val="en-US"/>
        </w:rPr>
        <w:t>Fee</w:t>
      </w:r>
      <w:r w:rsidRPr="00C734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Income</w:t>
      </w:r>
      <w:r w:rsidRPr="00C7344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В отличие от процентных доходов, которые напрямую зависят от жестокости денежно-кредитной политики ЦБ РФ и маржинальности кредитных портфелей, комиссионный бизнес привязан к транзакционной активности клиентов, объему платежей, подписочным сервисам и брокерскому обслуживанию. Это делает его естественным стабилизатором (или «щитом») прибыли в периоды макроэкономической турбулентности.</w:t>
      </w:r>
    </w:p>
    <w:p w:rsidR="00C81CE2" w:rsidRDefault="00C81CE2" w:rsidP="00C7344E">
      <w:pPr>
        <w:ind w:left="-851"/>
        <w:rPr>
          <w:rFonts w:ascii="Times New Roman" w:hAnsi="Times New Roman" w:cs="Times New Roman"/>
          <w:b/>
          <w:sz w:val="32"/>
          <w:szCs w:val="28"/>
        </w:rPr>
      </w:pPr>
      <w:r w:rsidRPr="00C81CE2">
        <w:rPr>
          <w:rFonts w:ascii="Times New Roman" w:hAnsi="Times New Roman" w:cs="Times New Roman"/>
          <w:b/>
          <w:sz w:val="32"/>
          <w:szCs w:val="28"/>
        </w:rPr>
        <w:t>Абсолютные объёмы комиссионных доходов</w:t>
      </w:r>
    </w:p>
    <w:p w:rsidR="00C7344E" w:rsidRDefault="006E0B38" w:rsidP="00C7344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D5374A" wp14:editId="70B6F9BB">
                <wp:simplePos x="0" y="0"/>
                <wp:positionH relativeFrom="column">
                  <wp:posOffset>-652780</wp:posOffset>
                </wp:positionH>
                <wp:positionV relativeFrom="paragraph">
                  <wp:posOffset>4204970</wp:posOffset>
                </wp:positionV>
                <wp:extent cx="670623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E0B38" w:rsidRPr="006E0B38" w:rsidRDefault="006E0B38" w:rsidP="006E0B38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28"/>
                              </w:rPr>
                            </w:pPr>
                            <w:r w:rsidRPr="006E0B38">
                              <w:rPr>
                                <w:sz w:val="24"/>
                              </w:rPr>
                              <w:t>Сравнительный анализ чистых комиссионных доходов эмитентов по кварталам в абсолютном выражении, млрд руб.(2024 - 2025 гг.)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5374A" id="Надпись 8" o:spid="_x0000_s1030" type="#_x0000_t202" style="position:absolute;left:0;text-align:left;margin-left:-51.4pt;margin-top:331.1pt;width:528.0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" stroked="f">
                <v:textbox style="mso-fit-shape-to-text:t" inset="0,0,0,0">
                  <w:txbxContent>
                    <w:p w:rsidR="006E0B38" w:rsidRPr="006E0B38" w:rsidRDefault="006E0B38" w:rsidP="006E0B38">
                      <w:pPr>
                        <w:pStyle w:val="a5"/>
                        <w:rPr>
                          <w:rFonts w:ascii="Times New Roman" w:hAnsi="Times New Roman" w:cs="Times New Roman"/>
                          <w:noProof/>
                          <w:sz w:val="40"/>
                          <w:szCs w:val="28"/>
                        </w:rPr>
                      </w:pPr>
                      <w:r w:rsidRPr="006E0B38">
                        <w:rPr>
                          <w:sz w:val="24"/>
                        </w:rPr>
                        <w:t>Сравнительный анализ чистых комиссионных доходов эмитентов по кварталам в абсолютном выражении, млрд руб.(2024 - 2025 гг.)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734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0E88368A" wp14:editId="1AA10BAD">
            <wp:simplePos x="0" y="0"/>
            <wp:positionH relativeFrom="page">
              <wp:align>center</wp:align>
            </wp:positionH>
            <wp:positionV relativeFrom="paragraph">
              <wp:posOffset>817068</wp:posOffset>
            </wp:positionV>
            <wp:extent cx="6706800" cy="3331534"/>
            <wp:effectExtent l="19050" t="19050" r="18415" b="21590"/>
            <wp:wrapThrough wrapText="bothSides">
              <wp:wrapPolygon edited="0">
                <wp:start x="-61" y="-124"/>
                <wp:lineTo x="-61" y="21616"/>
                <wp:lineTo x="21598" y="21616"/>
                <wp:lineTo x="21598" y="-124"/>
                <wp:lineTo x="-61" y="-124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d821883-d37e-469e-8d5e-67ab1a8b3c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800" cy="3331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44E">
        <w:rPr>
          <w:rFonts w:ascii="Times New Roman" w:hAnsi="Times New Roman" w:cs="Times New Roman"/>
          <w:sz w:val="28"/>
          <w:szCs w:val="28"/>
        </w:rPr>
        <w:t>Для первичного анализа структуры рынка рассмотрим распределение чистых комиссионных доходов анализируемых эмитентов в абсолютных величинах (миллиардах рублей).</w:t>
      </w:r>
    </w:p>
    <w:p w:rsidR="00C81CE2" w:rsidRPr="00C81CE2" w:rsidRDefault="00C81CE2" w:rsidP="00C81CE2">
      <w:pPr>
        <w:ind w:left="-851"/>
        <w:rPr>
          <w:rFonts w:ascii="Times New Roman" w:hAnsi="Times New Roman" w:cs="Times New Roman"/>
          <w:sz w:val="28"/>
          <w:szCs w:val="28"/>
        </w:rPr>
      </w:pPr>
      <w:r w:rsidRPr="00C81CE2">
        <w:rPr>
          <w:rFonts w:ascii="Times New Roman" w:hAnsi="Times New Roman" w:cs="Times New Roman"/>
          <w:sz w:val="28"/>
          <w:szCs w:val="28"/>
        </w:rPr>
        <w:t>По итогам 2025 года чистые</w:t>
      </w:r>
      <w:r>
        <w:rPr>
          <w:rFonts w:ascii="Times New Roman" w:hAnsi="Times New Roman" w:cs="Times New Roman"/>
          <w:sz w:val="28"/>
          <w:szCs w:val="28"/>
        </w:rPr>
        <w:t xml:space="preserve"> комиссионные доходы составили:</w:t>
      </w:r>
    </w:p>
    <w:p w:rsidR="00C81CE2" w:rsidRPr="00C81CE2" w:rsidRDefault="00C81CE2" w:rsidP="00C81CE2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1CE2">
        <w:rPr>
          <w:rFonts w:ascii="Times New Roman" w:hAnsi="Times New Roman" w:cs="Times New Roman"/>
          <w:sz w:val="28"/>
          <w:szCs w:val="28"/>
        </w:rPr>
        <w:t>Сбербанк — 219,0 млрд руб. (2025Q4);</w:t>
      </w:r>
    </w:p>
    <w:p w:rsidR="00C81CE2" w:rsidRPr="00C81CE2" w:rsidRDefault="00C81CE2" w:rsidP="00C81CE2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1CE2">
        <w:rPr>
          <w:rFonts w:ascii="Times New Roman" w:hAnsi="Times New Roman" w:cs="Times New Roman"/>
          <w:sz w:val="28"/>
          <w:szCs w:val="28"/>
        </w:rPr>
        <w:t>ВТБ — 80,9 млрд руб. (2025Q4);</w:t>
      </w:r>
    </w:p>
    <w:p w:rsidR="00C81CE2" w:rsidRPr="00C81CE2" w:rsidRDefault="00C81CE2" w:rsidP="00C81CE2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81CE2">
        <w:rPr>
          <w:rFonts w:ascii="Times New Roman" w:hAnsi="Times New Roman" w:cs="Times New Roman"/>
          <w:sz w:val="28"/>
          <w:szCs w:val="28"/>
        </w:rPr>
        <w:t>Т-Технологии — 43,6 млрд руб. (2025Q4).</w:t>
      </w:r>
    </w:p>
    <w:p w:rsidR="00C81CE2" w:rsidRDefault="00C81CE2" w:rsidP="00D14C5A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C81CE2" w:rsidRDefault="00C81CE2" w:rsidP="00C7344E">
      <w:pPr>
        <w:ind w:left="-851"/>
        <w:rPr>
          <w:rFonts w:ascii="Times New Roman" w:hAnsi="Times New Roman" w:cs="Times New Roman"/>
          <w:sz w:val="28"/>
          <w:szCs w:val="28"/>
        </w:rPr>
      </w:pPr>
      <w:r w:rsidRPr="00C81CE2">
        <w:rPr>
          <w:rFonts w:ascii="Times New Roman" w:hAnsi="Times New Roman" w:cs="Times New Roman"/>
          <w:sz w:val="28"/>
          <w:szCs w:val="28"/>
        </w:rPr>
        <w:t>За весь анализируемый период (2024–2025 гг.) Сбербанк стабильно занимал первое место по абсолютному объёму комиссий (от 184,1 до 231,1 млрд руб. за квартал). ВТБ удерживал второй диапазон (51,7–82,4 млрд руб.). Т-Технологии, несмотря на меньшие абсолютные значения (18,3–43,6 млрд руб.), продемонстрировали наибольший относительный рост комиссионных доходов (+138% за два года), что рассматривается в следующем разделе.</w:t>
      </w:r>
    </w:p>
    <w:p w:rsidR="00D14C5A" w:rsidRDefault="00C81CE2" w:rsidP="00C7344E">
      <w:pPr>
        <w:ind w:left="-851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Относительная динамика комиссионных доходов</w:t>
      </w:r>
    </w:p>
    <w:p w:rsidR="00D14C5A" w:rsidRDefault="002A2130" w:rsidP="00C7344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1E7A68" wp14:editId="334ABF73">
                <wp:simplePos x="0" y="0"/>
                <wp:positionH relativeFrom="column">
                  <wp:posOffset>-671830</wp:posOffset>
                </wp:positionH>
                <wp:positionV relativeFrom="paragraph">
                  <wp:posOffset>4392930</wp:posOffset>
                </wp:positionV>
                <wp:extent cx="674814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8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A2130" w:rsidRPr="002A2130" w:rsidRDefault="002A2130" w:rsidP="002A2130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28"/>
                              </w:rPr>
                            </w:pPr>
                            <w:r w:rsidRPr="002A2130">
                              <w:rPr>
                                <w:sz w:val="24"/>
                              </w:rPr>
                              <w:t>Динамика относительного прироста чистых комиссионных доходов банков, % у базисному приоду марта 2024 года (2024 - 2026 гг.)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E7A68" id="Надпись 10" o:spid="_x0000_s1031" type="#_x0000_t202" style="position:absolute;left:0;text-align:left;margin-left:-52.9pt;margin-top:345.9pt;width:531.3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" stroked="f">
                <v:textbox style="mso-fit-shape-to-text:t" inset="0,0,0,0">
                  <w:txbxContent>
                    <w:p w:rsidR="002A2130" w:rsidRPr="002A2130" w:rsidRDefault="002A2130" w:rsidP="002A2130">
                      <w:pPr>
                        <w:pStyle w:val="a5"/>
                        <w:rPr>
                          <w:rFonts w:ascii="Times New Roman" w:hAnsi="Times New Roman" w:cs="Times New Roman"/>
                          <w:noProof/>
                          <w:sz w:val="40"/>
                          <w:szCs w:val="28"/>
                        </w:rPr>
                      </w:pPr>
                      <w:r w:rsidRPr="002A2130">
                        <w:rPr>
                          <w:sz w:val="24"/>
                        </w:rPr>
                        <w:t>Динамика относительного прироста чистых комиссионных доходов банков, % у базисному приоду марта 2024 года (2024 - 2026 гг.)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D14C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 wp14:anchorId="245B84BC" wp14:editId="65FFF93C">
            <wp:simplePos x="0" y="0"/>
            <wp:positionH relativeFrom="page">
              <wp:align>center</wp:align>
            </wp:positionH>
            <wp:positionV relativeFrom="paragraph">
              <wp:posOffset>988060</wp:posOffset>
            </wp:positionV>
            <wp:extent cx="6748659" cy="3348000"/>
            <wp:effectExtent l="19050" t="19050" r="14605" b="24130"/>
            <wp:wrapThrough wrapText="bothSides">
              <wp:wrapPolygon edited="0">
                <wp:start x="-61" y="-123"/>
                <wp:lineTo x="-61" y="21633"/>
                <wp:lineTo x="21586" y="21633"/>
                <wp:lineTo x="21586" y="-123"/>
                <wp:lineTo x="-61" y="-123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d4639a8-bb99-4e1f-9680-08af7d530de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659" cy="33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A4E6D" w:rsidRPr="00FA4E6D">
        <w:t xml:space="preserve"> </w:t>
      </w:r>
      <w:r w:rsidR="00FA4E6D" w:rsidRPr="00FA4E6D">
        <w:rPr>
          <w:rFonts w:ascii="Times New Roman" w:hAnsi="Times New Roman" w:cs="Times New Roman"/>
          <w:sz w:val="28"/>
          <w:szCs w:val="28"/>
        </w:rPr>
        <w:t xml:space="preserve">Для устранения эффекта масштаба показатели чистых комиссионных доходов были пересчитаны в относительные темпы роста </w:t>
      </w:r>
      <w:r w:rsidR="00FA4E6D">
        <w:rPr>
          <w:rFonts w:ascii="Times New Roman" w:hAnsi="Times New Roman" w:cs="Times New Roman"/>
          <w:sz w:val="28"/>
          <w:szCs w:val="28"/>
        </w:rPr>
        <w:t>(база = 100% на март 2024 года)</w:t>
      </w:r>
      <w:r w:rsidR="00D14C5A">
        <w:rPr>
          <w:rFonts w:ascii="Times New Roman" w:hAnsi="Times New Roman" w:cs="Times New Roman"/>
          <w:sz w:val="28"/>
          <w:szCs w:val="28"/>
        </w:rPr>
        <w:t>.</w:t>
      </w:r>
    </w:p>
    <w:p w:rsidR="00FA4E6D" w:rsidRDefault="00FA4E6D" w:rsidP="00C7344E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904903" w:rsidRDefault="00904903" w:rsidP="00C7344E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904903" w:rsidRDefault="00904903" w:rsidP="00C7344E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904903" w:rsidRDefault="00904903" w:rsidP="00C7344E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D14C5A" w:rsidRDefault="002A2130" w:rsidP="00C7344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Относительный анализ полностью  переворачивает рыночную картинку и раскрывает истинную силу финтех-модели</w:t>
      </w:r>
      <w:r w:rsidRPr="002A2130">
        <w:rPr>
          <w:rFonts w:ascii="Times New Roman" w:hAnsi="Times New Roman" w:cs="Times New Roman"/>
          <w:sz w:val="28"/>
          <w:szCs w:val="28"/>
        </w:rPr>
        <w:t>:</w:t>
      </w:r>
    </w:p>
    <w:p w:rsidR="00FA4E6D" w:rsidRDefault="00FA4E6D" w:rsidP="00FA4E6D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Т-Технологии к началу 2026 года увеличили комиссионные доходы на 138% (рост в 2,38 раза относительно марта 2024 года).</w:t>
      </w:r>
    </w:p>
    <w:p w:rsidR="00FA4E6D" w:rsidRDefault="00FA4E6D" w:rsidP="00FA4E6D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ВТБ показал рост на 56%.</w:t>
      </w:r>
    </w:p>
    <w:p w:rsidR="00FA4E6D" w:rsidRDefault="00FA4E6D" w:rsidP="00FA4E6D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Сбербанк – наименьший прирост (менее 20% за два года).</w:t>
      </w:r>
    </w:p>
    <w:p w:rsidR="00FA4E6D" w:rsidRDefault="00FA4E6D" w:rsidP="00FA4E6D">
      <w:pPr>
        <w:pStyle w:val="a6"/>
        <w:ind w:left="-131"/>
        <w:rPr>
          <w:rFonts w:ascii="Times New Roman" w:hAnsi="Times New Roman" w:cs="Times New Roman"/>
          <w:sz w:val="28"/>
          <w:szCs w:val="28"/>
        </w:rPr>
      </w:pPr>
    </w:p>
    <w:p w:rsidR="00FA4E6D" w:rsidRPr="00FA4E6D" w:rsidRDefault="00FA4E6D" w:rsidP="00FA4E6D">
      <w:pPr>
        <w:pStyle w:val="a6"/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Динамика Т-Технологий объясняется агрессивным наращиванием транзакционных сервисов и подписочных продуктов, что позволило частично компенсировать сжатие кредитной маржи в конце 2024 года. Рост комиссий ВТБ был умеренным и </w:t>
      </w:r>
      <w:r w:rsidR="00E6751F">
        <w:rPr>
          <w:rFonts w:ascii="Times New Roman" w:hAnsi="Times New Roman" w:cs="Times New Roman"/>
          <w:sz w:val="28"/>
          <w:szCs w:val="28"/>
        </w:rPr>
        <w:t>замедлился во</w:t>
      </w:r>
      <w:r>
        <w:rPr>
          <w:rFonts w:ascii="Times New Roman" w:hAnsi="Times New Roman" w:cs="Times New Roman"/>
          <w:sz w:val="28"/>
          <w:szCs w:val="28"/>
        </w:rPr>
        <w:t xml:space="preserve"> второй половине 2025 года (плато). Низкая динамика Сбербанка св</w:t>
      </w:r>
      <w:r w:rsidR="00E6751F">
        <w:rPr>
          <w:rFonts w:ascii="Times New Roman" w:hAnsi="Times New Roman" w:cs="Times New Roman"/>
          <w:sz w:val="28"/>
          <w:szCs w:val="28"/>
        </w:rPr>
        <w:t>язана с высокой насыщенностью клиентской базы.</w:t>
      </w:r>
    </w:p>
    <w:p w:rsidR="009218EE" w:rsidRPr="009218EE" w:rsidRDefault="004D7B5E" w:rsidP="003D7181">
      <w:pPr>
        <w:ind w:left="-851"/>
        <w:rPr>
          <w:rFonts w:ascii="Times New Roman" w:hAnsi="Times New Roman" w:cs="Times New Roman"/>
          <w:sz w:val="28"/>
          <w:szCs w:val="28"/>
        </w:rPr>
      </w:pPr>
      <w:r w:rsidRPr="004D7B5E">
        <w:rPr>
          <w:rFonts w:ascii="Times New Roman" w:hAnsi="Times New Roman" w:cs="Times New Roman"/>
          <w:b/>
          <w:sz w:val="28"/>
          <w:szCs w:val="28"/>
        </w:rPr>
        <w:t xml:space="preserve">Вывод раздела: </w:t>
      </w:r>
      <w:r w:rsidR="003D7181" w:rsidRPr="003D7181">
        <w:rPr>
          <w:rFonts w:ascii="Times New Roman" w:hAnsi="Times New Roman" w:cs="Times New Roman"/>
          <w:sz w:val="28"/>
          <w:szCs w:val="28"/>
        </w:rPr>
        <w:t xml:space="preserve">Т-Технологии, несмотря на меньшие абсолютные объёмы комиссий, демонстрируют наиболее высокие темпы их прироста (+138% за два </w:t>
      </w:r>
      <w:r w:rsidR="003D7181" w:rsidRPr="003D7181">
        <w:rPr>
          <w:rFonts w:ascii="Times New Roman" w:hAnsi="Times New Roman" w:cs="Times New Roman"/>
          <w:sz w:val="28"/>
          <w:szCs w:val="28"/>
        </w:rPr>
        <w:lastRenderedPageBreak/>
        <w:t>года). Это подтверждает, что диверсификация доходов за счёт транзакционных сервисов и подписочных продуктов позволяет финтех-модели частично компенсировать сжатие процентной маржи в периоды высоких ставок. Напротив, Сбербанк, обладая крупнейшей клиентской базой, сталкивается с насыщением и низкой динамикой комиссионного дохода.</w:t>
      </w: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P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9218EE" w:rsidRDefault="009218EE" w:rsidP="009218EE">
      <w:pPr>
        <w:rPr>
          <w:rFonts w:ascii="Times New Roman" w:hAnsi="Times New Roman" w:cs="Times New Roman"/>
          <w:sz w:val="28"/>
          <w:szCs w:val="28"/>
        </w:rPr>
      </w:pPr>
    </w:p>
    <w:p w:rsidR="004D7B5E" w:rsidRDefault="004D7B5E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8EE" w:rsidRDefault="009218EE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8EE" w:rsidRDefault="009218EE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18EE" w:rsidRDefault="009218EE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81CE2" w:rsidRDefault="00C81CE2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81CE2" w:rsidRDefault="00C81CE2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6751F" w:rsidRDefault="00E6751F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6751F" w:rsidRDefault="00E6751F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6751F" w:rsidRDefault="00E6751F" w:rsidP="009218E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7056" w:rsidRDefault="009218EE" w:rsidP="00CA705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Заключение. Анализ прогнозных сценариев эффективности капитала </w:t>
      </w:r>
      <w:r w:rsidRPr="009218EE">
        <w:rPr>
          <w:rFonts w:ascii="Times New Roman" w:hAnsi="Times New Roman" w:cs="Times New Roman"/>
          <w:b/>
          <w:sz w:val="36"/>
          <w:szCs w:val="36"/>
        </w:rPr>
        <w:t>(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ROE</w:t>
      </w:r>
      <w:r w:rsidRPr="009218EE">
        <w:rPr>
          <w:rFonts w:ascii="Times New Roman" w:hAnsi="Times New Roman" w:cs="Times New Roman"/>
          <w:b/>
          <w:sz w:val="36"/>
          <w:szCs w:val="36"/>
        </w:rPr>
        <w:t xml:space="preserve">) </w:t>
      </w:r>
      <w:r w:rsidR="00CA7056">
        <w:rPr>
          <w:rFonts w:ascii="Times New Roman" w:hAnsi="Times New Roman" w:cs="Times New Roman"/>
          <w:b/>
          <w:sz w:val="36"/>
          <w:szCs w:val="36"/>
        </w:rPr>
        <w:t>на остаток 2026 года</w:t>
      </w:r>
    </w:p>
    <w:p w:rsidR="00730ABD" w:rsidRDefault="00730ABD" w:rsidP="00730ABD">
      <w:pPr>
        <w:rPr>
          <w:rFonts w:ascii="Times New Roman" w:hAnsi="Times New Roman" w:cs="Times New Roman"/>
          <w:sz w:val="28"/>
          <w:szCs w:val="36"/>
        </w:rPr>
      </w:pPr>
    </w:p>
    <w:p w:rsidR="00730ABD" w:rsidRPr="00730ABD" w:rsidRDefault="00730ABD" w:rsidP="00730ABD">
      <w:pPr>
        <w:ind w:left="-851"/>
        <w:rPr>
          <w:rFonts w:ascii="Times New Roman" w:hAnsi="Times New Roman" w:cs="Times New Roman"/>
          <w:sz w:val="28"/>
          <w:szCs w:val="36"/>
        </w:rPr>
      </w:pPr>
      <w:r w:rsidRPr="00730ABD">
        <w:rPr>
          <w:rFonts w:ascii="Times New Roman" w:hAnsi="Times New Roman" w:cs="Times New Roman"/>
          <w:sz w:val="28"/>
          <w:szCs w:val="36"/>
        </w:rPr>
        <w:t xml:space="preserve">Прогноз построен на основе линейной регрессии ROE ~ key_rate (коэффициенты чувствительности) и последних исторических значений ROE (Т‑Банк – 26,7% на </w:t>
      </w:r>
      <w:r w:rsidRPr="00730ABD">
        <w:rPr>
          <w:rFonts w:ascii="Times New Roman" w:hAnsi="Times New Roman" w:cs="Times New Roman"/>
          <w:sz w:val="28"/>
          <w:szCs w:val="36"/>
        </w:rPr>
        <w:lastRenderedPageBreak/>
        <w:t>2026Q1, Сбер – 19,9% на 2025Q4, ВТБ – 17,3% на 2025Q4). Текущая ключевая ставка – 15%. Рассмотрены три сценария:</w:t>
      </w:r>
    </w:p>
    <w:p w:rsidR="00730ABD" w:rsidRPr="00730ABD" w:rsidRDefault="00730ABD" w:rsidP="00730ABD">
      <w:pPr>
        <w:ind w:left="-851"/>
        <w:rPr>
          <w:rFonts w:ascii="Times New Roman" w:hAnsi="Times New Roman" w:cs="Times New Roman"/>
          <w:sz w:val="28"/>
          <w:szCs w:val="36"/>
        </w:rPr>
      </w:pPr>
    </w:p>
    <w:p w:rsidR="00730ABD" w:rsidRPr="00730ABD" w:rsidRDefault="00730ABD" w:rsidP="00730ABD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36"/>
        </w:rPr>
      </w:pPr>
      <w:r w:rsidRPr="00730ABD">
        <w:rPr>
          <w:rFonts w:ascii="Times New Roman" w:hAnsi="Times New Roman" w:cs="Times New Roman"/>
          <w:sz w:val="28"/>
          <w:szCs w:val="36"/>
        </w:rPr>
        <w:t>Оптимистичный: 13%</w:t>
      </w:r>
    </w:p>
    <w:p w:rsidR="00730ABD" w:rsidRPr="00730ABD" w:rsidRDefault="00730ABD" w:rsidP="00730ABD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36"/>
        </w:rPr>
      </w:pPr>
      <w:r w:rsidRPr="00730ABD">
        <w:rPr>
          <w:rFonts w:ascii="Times New Roman" w:hAnsi="Times New Roman" w:cs="Times New Roman"/>
          <w:sz w:val="28"/>
          <w:szCs w:val="36"/>
        </w:rPr>
        <w:t>Базовый: 14,5%</w:t>
      </w:r>
    </w:p>
    <w:p w:rsidR="00730ABD" w:rsidRPr="00CE2A42" w:rsidRDefault="00730ABD" w:rsidP="00730ABD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36"/>
        </w:rPr>
      </w:pPr>
      <w:r w:rsidRPr="00730ABD">
        <w:rPr>
          <w:rFonts w:ascii="Times New Roman" w:hAnsi="Times New Roman" w:cs="Times New Roman"/>
          <w:sz w:val="28"/>
          <w:szCs w:val="36"/>
        </w:rPr>
        <w:t>Пессимистичный: 16%</w:t>
      </w:r>
    </w:p>
    <w:p w:rsidR="00730ABD" w:rsidRDefault="00730ABD" w:rsidP="00730ABD">
      <w:pPr>
        <w:rPr>
          <w:rFonts w:ascii="Times New Roman" w:hAnsi="Times New Roman" w:cs="Times New Roman"/>
          <w:sz w:val="28"/>
          <w:szCs w:val="3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30ABD" w:rsidTr="00730ABD"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Банк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Пессимистичный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Базовый</w:t>
            </w:r>
          </w:p>
        </w:tc>
        <w:tc>
          <w:tcPr>
            <w:tcW w:w="2337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Оптимистичный</w:t>
            </w:r>
          </w:p>
        </w:tc>
      </w:tr>
      <w:tr w:rsidR="00730ABD" w:rsidTr="00730ABD"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Т-Технологии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26.36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26.87</w:t>
            </w:r>
          </w:p>
        </w:tc>
        <w:tc>
          <w:tcPr>
            <w:tcW w:w="2337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27.38</w:t>
            </w:r>
          </w:p>
        </w:tc>
      </w:tr>
      <w:tr w:rsidR="00730ABD" w:rsidTr="00730ABD"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Сбер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19.79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19.96</w:t>
            </w:r>
          </w:p>
        </w:tc>
        <w:tc>
          <w:tcPr>
            <w:tcW w:w="2337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20.12</w:t>
            </w:r>
          </w:p>
        </w:tc>
      </w:tr>
      <w:tr w:rsidR="00730ABD" w:rsidTr="00730ABD"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ВТБ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17.26</w:t>
            </w:r>
          </w:p>
        </w:tc>
        <w:tc>
          <w:tcPr>
            <w:tcW w:w="2336" w:type="dxa"/>
          </w:tcPr>
          <w:p w:rsidR="00730ABD" w:rsidRDefault="00730ABD" w:rsidP="00730ABD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17.32</w:t>
            </w:r>
          </w:p>
        </w:tc>
        <w:tc>
          <w:tcPr>
            <w:tcW w:w="2337" w:type="dxa"/>
          </w:tcPr>
          <w:p w:rsidR="00730ABD" w:rsidRDefault="00730ABD" w:rsidP="00730ABD">
            <w:pPr>
              <w:keepNext/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17.39</w:t>
            </w:r>
          </w:p>
        </w:tc>
      </w:tr>
    </w:tbl>
    <w:p w:rsidR="00730ABD" w:rsidRDefault="00730ABD" w:rsidP="00730ABD">
      <w:pPr>
        <w:pStyle w:val="a5"/>
        <w:rPr>
          <w:rFonts w:ascii="Times New Roman" w:hAnsi="Times New Roman" w:cs="Times New Roman"/>
          <w:sz w:val="40"/>
          <w:szCs w:val="36"/>
        </w:rPr>
      </w:pPr>
      <w:r w:rsidRPr="00730ABD">
        <w:rPr>
          <w:sz w:val="24"/>
        </w:rPr>
        <w:t xml:space="preserve">Таблица </w:t>
      </w:r>
      <w:r w:rsidRPr="00730ABD">
        <w:rPr>
          <w:sz w:val="24"/>
        </w:rPr>
        <w:fldChar w:fldCharType="begin"/>
      </w:r>
      <w:r w:rsidRPr="00730ABD">
        <w:rPr>
          <w:sz w:val="24"/>
        </w:rPr>
        <w:instrText xml:space="preserve"> SEQ Таблица \* ARABIC </w:instrText>
      </w:r>
      <w:r w:rsidRPr="00730ABD">
        <w:rPr>
          <w:sz w:val="24"/>
        </w:rPr>
        <w:fldChar w:fldCharType="separate"/>
      </w:r>
      <w:r w:rsidRPr="00730ABD">
        <w:rPr>
          <w:noProof/>
          <w:sz w:val="24"/>
        </w:rPr>
        <w:t>2</w:t>
      </w:r>
      <w:r w:rsidRPr="00730ABD">
        <w:rPr>
          <w:sz w:val="24"/>
        </w:rPr>
        <w:fldChar w:fldCharType="end"/>
      </w:r>
      <w:r w:rsidRPr="00730ABD">
        <w:rPr>
          <w:sz w:val="24"/>
        </w:rPr>
        <w:t xml:space="preserve"> Прогнозные значения </w:t>
      </w:r>
      <w:r w:rsidRPr="00730ABD">
        <w:rPr>
          <w:sz w:val="24"/>
          <w:lang w:val="en-US"/>
        </w:rPr>
        <w:t>ROE, %</w:t>
      </w:r>
    </w:p>
    <w:p w:rsidR="003D7181" w:rsidRPr="003D7181" w:rsidRDefault="00730ABD" w:rsidP="00904903">
      <w:pPr>
        <w:ind w:left="-851"/>
        <w:rPr>
          <w:rFonts w:ascii="Times New Roman" w:hAnsi="Times New Roman" w:cs="Times New Roman"/>
          <w:sz w:val="28"/>
        </w:rPr>
      </w:pPr>
      <w:r w:rsidRPr="00904903">
        <w:rPr>
          <w:rFonts w:ascii="Times New Roman" w:hAnsi="Times New Roman" w:cs="Times New Roman"/>
          <w:b/>
          <w:sz w:val="28"/>
        </w:rPr>
        <w:t>Вывод:</w:t>
      </w:r>
      <w:r w:rsidRPr="00730ABD">
        <w:rPr>
          <w:rFonts w:ascii="Times New Roman" w:hAnsi="Times New Roman" w:cs="Times New Roman"/>
          <w:sz w:val="28"/>
        </w:rPr>
        <w:t xml:space="preserve"> </w:t>
      </w:r>
      <w:r w:rsidR="003D7181" w:rsidRPr="003D7181">
        <w:rPr>
          <w:rFonts w:ascii="Times New Roman" w:hAnsi="Times New Roman" w:cs="Times New Roman"/>
          <w:sz w:val="28"/>
        </w:rPr>
        <w:t>Снижение прогнозных значений по сравнению со среднеисторическими уровнями (например, у Т-Технологий средний ROE в 2024 году составлял около 32%) об</w:t>
      </w:r>
      <w:r w:rsidR="00904903">
        <w:rPr>
          <w:rFonts w:ascii="Times New Roman" w:hAnsi="Times New Roman" w:cs="Times New Roman"/>
          <w:sz w:val="28"/>
        </w:rPr>
        <w:t>ъясняется следующими факторами:</w:t>
      </w:r>
    </w:p>
    <w:p w:rsidR="003D7181" w:rsidRPr="00904903" w:rsidRDefault="003D7181" w:rsidP="00904903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904903">
        <w:rPr>
          <w:rFonts w:ascii="Times New Roman" w:hAnsi="Times New Roman" w:cs="Times New Roman"/>
          <w:sz w:val="28"/>
        </w:rPr>
        <w:t>Для Т-Технологий – замедление органического роста после интеграции Росбанка и возможное ужесточение конкур</w:t>
      </w:r>
      <w:r w:rsidR="00904903" w:rsidRPr="00904903">
        <w:rPr>
          <w:rFonts w:ascii="Times New Roman" w:hAnsi="Times New Roman" w:cs="Times New Roman"/>
          <w:sz w:val="28"/>
        </w:rPr>
        <w:t>енции в комиссионных сегментах.</w:t>
      </w:r>
    </w:p>
    <w:p w:rsidR="003D7181" w:rsidRPr="00904903" w:rsidRDefault="003D7181" w:rsidP="00904903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904903">
        <w:rPr>
          <w:rFonts w:ascii="Times New Roman" w:hAnsi="Times New Roman" w:cs="Times New Roman"/>
          <w:sz w:val="28"/>
        </w:rPr>
        <w:t xml:space="preserve">Для Сбера – высокая база пассивов с фиксированной доходностью (долгосрочные вклады), которые продолжают давить на чистую процентную </w:t>
      </w:r>
      <w:r w:rsidR="00904903" w:rsidRPr="00904903">
        <w:rPr>
          <w:rFonts w:ascii="Times New Roman" w:hAnsi="Times New Roman" w:cs="Times New Roman"/>
          <w:sz w:val="28"/>
        </w:rPr>
        <w:t>маржу даже при снижении ставки.</w:t>
      </w:r>
    </w:p>
    <w:p w:rsidR="00904903" w:rsidRPr="00904903" w:rsidRDefault="003D7181" w:rsidP="00904903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904903">
        <w:rPr>
          <w:rFonts w:ascii="Times New Roman" w:hAnsi="Times New Roman" w:cs="Times New Roman"/>
          <w:sz w:val="28"/>
        </w:rPr>
        <w:t>Для ВТБ – сохраняющаяся чувствительность к стоимости фондирования и отсутствие повторения разовых факторов (роспуск резервов в 2024Q4).</w:t>
      </w:r>
    </w:p>
    <w:p w:rsidR="00730ABD" w:rsidRPr="00730ABD" w:rsidRDefault="003D7181" w:rsidP="003D7181">
      <w:pPr>
        <w:ind w:left="-851"/>
        <w:rPr>
          <w:rFonts w:ascii="Times New Roman" w:hAnsi="Times New Roman" w:cs="Times New Roman"/>
          <w:sz w:val="28"/>
        </w:rPr>
      </w:pPr>
      <w:r w:rsidRPr="003D7181">
        <w:rPr>
          <w:rFonts w:ascii="Times New Roman" w:hAnsi="Times New Roman" w:cs="Times New Roman"/>
          <w:sz w:val="28"/>
        </w:rPr>
        <w:t>Прогноз носит ориентировочный характер ввиду незначимости коэффициентов регрессии и малой выборки.</w:t>
      </w:r>
    </w:p>
    <w:sectPr w:rsidR="00730ABD" w:rsidRPr="00730ABD" w:rsidSect="00F5313E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44E" w:rsidRDefault="0073244E" w:rsidP="00172227">
      <w:pPr>
        <w:spacing w:after="0" w:line="240" w:lineRule="auto"/>
      </w:pPr>
      <w:r>
        <w:separator/>
      </w:r>
    </w:p>
  </w:endnote>
  <w:endnote w:type="continuationSeparator" w:id="0">
    <w:p w:rsidR="0073244E" w:rsidRDefault="0073244E" w:rsidP="00172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44E" w:rsidRDefault="0073244E" w:rsidP="00172227">
      <w:pPr>
        <w:spacing w:after="0" w:line="240" w:lineRule="auto"/>
      </w:pPr>
      <w:r>
        <w:separator/>
      </w:r>
    </w:p>
  </w:footnote>
  <w:footnote w:type="continuationSeparator" w:id="0">
    <w:p w:rsidR="0073244E" w:rsidRDefault="0073244E" w:rsidP="00172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F558B"/>
    <w:multiLevelType w:val="hybridMultilevel"/>
    <w:tmpl w:val="E6E0ACF2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5E834C9"/>
    <w:multiLevelType w:val="hybridMultilevel"/>
    <w:tmpl w:val="5F42EFD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>
    <w:nsid w:val="073646AF"/>
    <w:multiLevelType w:val="hybridMultilevel"/>
    <w:tmpl w:val="CE6224D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>
    <w:nsid w:val="0C787A2B"/>
    <w:multiLevelType w:val="hybridMultilevel"/>
    <w:tmpl w:val="148CAF32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24B60537"/>
    <w:multiLevelType w:val="hybridMultilevel"/>
    <w:tmpl w:val="81A66288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5">
    <w:nsid w:val="262C1B90"/>
    <w:multiLevelType w:val="hybridMultilevel"/>
    <w:tmpl w:val="28FA6F1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>
    <w:nsid w:val="28B435CB"/>
    <w:multiLevelType w:val="hybridMultilevel"/>
    <w:tmpl w:val="33407FE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>
    <w:nsid w:val="2CD35D63"/>
    <w:multiLevelType w:val="hybridMultilevel"/>
    <w:tmpl w:val="C8E8E11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>
    <w:nsid w:val="3A1160CA"/>
    <w:multiLevelType w:val="hybridMultilevel"/>
    <w:tmpl w:val="EAD24296"/>
    <w:lvl w:ilvl="0" w:tplc="4FDACAA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9">
    <w:nsid w:val="43D1680C"/>
    <w:multiLevelType w:val="hybridMultilevel"/>
    <w:tmpl w:val="AA90CB2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>
    <w:nsid w:val="44547DAE"/>
    <w:multiLevelType w:val="hybridMultilevel"/>
    <w:tmpl w:val="A2E80838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>
    <w:nsid w:val="44960449"/>
    <w:multiLevelType w:val="hybridMultilevel"/>
    <w:tmpl w:val="0CC2E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8C5166"/>
    <w:multiLevelType w:val="hybridMultilevel"/>
    <w:tmpl w:val="60DC7550"/>
    <w:lvl w:ilvl="0" w:tplc="0D4EC31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3">
    <w:nsid w:val="574837C0"/>
    <w:multiLevelType w:val="hybridMultilevel"/>
    <w:tmpl w:val="087865B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>
    <w:nsid w:val="7CC30AAD"/>
    <w:multiLevelType w:val="hybridMultilevel"/>
    <w:tmpl w:val="7E02A5C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3"/>
  </w:num>
  <w:num w:numId="5">
    <w:abstractNumId w:val="4"/>
  </w:num>
  <w:num w:numId="6">
    <w:abstractNumId w:val="14"/>
  </w:num>
  <w:num w:numId="7">
    <w:abstractNumId w:val="8"/>
  </w:num>
  <w:num w:numId="8">
    <w:abstractNumId w:val="1"/>
  </w:num>
  <w:num w:numId="9">
    <w:abstractNumId w:val="0"/>
  </w:num>
  <w:num w:numId="10">
    <w:abstractNumId w:val="6"/>
  </w:num>
  <w:num w:numId="11">
    <w:abstractNumId w:val="2"/>
  </w:num>
  <w:num w:numId="12">
    <w:abstractNumId w:val="11"/>
  </w:num>
  <w:num w:numId="13">
    <w:abstractNumId w:val="5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99"/>
    <w:rsid w:val="000C542D"/>
    <w:rsid w:val="000D59A0"/>
    <w:rsid w:val="000E57A4"/>
    <w:rsid w:val="00172227"/>
    <w:rsid w:val="002A2130"/>
    <w:rsid w:val="003345B1"/>
    <w:rsid w:val="003B3FF4"/>
    <w:rsid w:val="003D7181"/>
    <w:rsid w:val="00442870"/>
    <w:rsid w:val="00460AE2"/>
    <w:rsid w:val="00477577"/>
    <w:rsid w:val="0048504F"/>
    <w:rsid w:val="00487468"/>
    <w:rsid w:val="004C4914"/>
    <w:rsid w:val="004D7B5E"/>
    <w:rsid w:val="004F51E1"/>
    <w:rsid w:val="004F5FCD"/>
    <w:rsid w:val="0059200E"/>
    <w:rsid w:val="00673BA2"/>
    <w:rsid w:val="0068734A"/>
    <w:rsid w:val="006961CA"/>
    <w:rsid w:val="006A19F3"/>
    <w:rsid w:val="006C791B"/>
    <w:rsid w:val="006E0B38"/>
    <w:rsid w:val="006E4F15"/>
    <w:rsid w:val="00730ABD"/>
    <w:rsid w:val="0073244E"/>
    <w:rsid w:val="00742F11"/>
    <w:rsid w:val="007472AF"/>
    <w:rsid w:val="00801C00"/>
    <w:rsid w:val="00870163"/>
    <w:rsid w:val="00904903"/>
    <w:rsid w:val="009218EE"/>
    <w:rsid w:val="00967A4C"/>
    <w:rsid w:val="00972BF1"/>
    <w:rsid w:val="00A7796F"/>
    <w:rsid w:val="00A90B40"/>
    <w:rsid w:val="00B56897"/>
    <w:rsid w:val="00B63599"/>
    <w:rsid w:val="00B66D8C"/>
    <w:rsid w:val="00C272A5"/>
    <w:rsid w:val="00C31E35"/>
    <w:rsid w:val="00C642F9"/>
    <w:rsid w:val="00C7344E"/>
    <w:rsid w:val="00C81CE2"/>
    <w:rsid w:val="00C96EF2"/>
    <w:rsid w:val="00CA7056"/>
    <w:rsid w:val="00CB146B"/>
    <w:rsid w:val="00CB570A"/>
    <w:rsid w:val="00CE2A42"/>
    <w:rsid w:val="00D12FB8"/>
    <w:rsid w:val="00D14C5A"/>
    <w:rsid w:val="00DD7FF8"/>
    <w:rsid w:val="00E26EB6"/>
    <w:rsid w:val="00E6751F"/>
    <w:rsid w:val="00EC17DD"/>
    <w:rsid w:val="00EC525A"/>
    <w:rsid w:val="00F268EB"/>
    <w:rsid w:val="00F5313E"/>
    <w:rsid w:val="00FA4E6D"/>
    <w:rsid w:val="00FC1484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0E0719-1AB7-4CB6-A16C-1BE21D91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5313E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F5313E"/>
    <w:rPr>
      <w:rFonts w:eastAsiaTheme="minorEastAsia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E26E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6E4F1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722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72227"/>
  </w:style>
  <w:style w:type="paragraph" w:styleId="a9">
    <w:name w:val="footer"/>
    <w:basedOn w:val="a"/>
    <w:link w:val="aa"/>
    <w:uiPriority w:val="99"/>
    <w:unhideWhenUsed/>
    <w:rsid w:val="001722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72227"/>
  </w:style>
  <w:style w:type="table" w:styleId="ab">
    <w:name w:val="Table Grid"/>
    <w:basedOn w:val="a1"/>
    <w:uiPriority w:val="39"/>
    <w:rsid w:val="00B568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7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0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8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06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64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4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60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81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3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69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001DEAB1CC14F7198DFD8DDF6D18D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BF6C11-1CC5-4377-BAFA-6B3899CE2271}"/>
      </w:docPartPr>
      <w:docPartBody>
        <w:p w:rsidR="0007397B" w:rsidRDefault="00804BEA" w:rsidP="00804BEA">
          <w:pPr>
            <w:pStyle w:val="9001DEAB1CC14F7198DFD8DDF6D18DED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[Заголовок документа]</w:t>
          </w:r>
        </w:p>
      </w:docPartBody>
    </w:docPart>
    <w:docPart>
      <w:docPartPr>
        <w:name w:val="4A5F200EEAE74A3DACEAE53861BDD7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EC3577-74A4-4FC7-B3BF-7F92F894662E}"/>
      </w:docPartPr>
      <w:docPartBody>
        <w:p w:rsidR="0007397B" w:rsidRDefault="00804BEA" w:rsidP="00804BEA">
          <w:pPr>
            <w:pStyle w:val="4A5F200EEAE74A3DACEAE53861BDD77B"/>
          </w:pPr>
          <w:r>
            <w:rPr>
              <w:color w:val="5B9BD5" w:themeColor="accent1"/>
              <w:sz w:val="28"/>
              <w:szCs w:val="28"/>
            </w:rPr>
            <w:t>[Подзаголовок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BEA"/>
    <w:rsid w:val="000450F6"/>
    <w:rsid w:val="0007397B"/>
    <w:rsid w:val="0027277C"/>
    <w:rsid w:val="00291BF4"/>
    <w:rsid w:val="004C2D89"/>
    <w:rsid w:val="00801DF4"/>
    <w:rsid w:val="00804BEA"/>
    <w:rsid w:val="00967982"/>
    <w:rsid w:val="00DB7A60"/>
    <w:rsid w:val="00DD1CF6"/>
    <w:rsid w:val="00E9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001DEAB1CC14F7198DFD8DDF6D18DED">
    <w:name w:val="9001DEAB1CC14F7198DFD8DDF6D18DED"/>
    <w:rsid w:val="00804BEA"/>
  </w:style>
  <w:style w:type="paragraph" w:customStyle="1" w:styleId="4A5F200EEAE74A3DACEAE53861BDD77B">
    <w:name w:val="4A5F200EEAE74A3DACEAE53861BDD77B"/>
    <w:rsid w:val="00804B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14</Pages>
  <Words>2263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Анализ банков в период 2024 – 2026 ГГ.</vt:lpstr>
    </vt:vector>
  </TitlesOfParts>
  <Company>SPecialiST RePak</Company>
  <LinksUpToDate>false</LinksUpToDate>
  <CharactersWithSpaces>15138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банков в период 2024 – 2026 ГГ.</dc:title>
  <dc:subject>Связь экономических факторов на прибыль банков</dc:subject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2026-05-17T07:42:00Z</dcterms:created>
  <dcterms:modified xsi:type="dcterms:W3CDTF">2026-05-31T09:26:00Z</dcterms:modified>
</cp:coreProperties>
</file>