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67" w:rsidRPr="00590038" w:rsidRDefault="00E03A13" w:rsidP="00E03A13">
      <w:pPr>
        <w:jc w:val="center"/>
        <w:rPr>
          <w:rFonts w:ascii="仿宋_GB2312" w:eastAsia="仿宋_GB2312"/>
          <w:b/>
          <w:sz w:val="28"/>
          <w:szCs w:val="28"/>
        </w:rPr>
      </w:pPr>
      <w:r w:rsidRPr="00590038">
        <w:rPr>
          <w:rFonts w:ascii="仿宋_GB2312" w:eastAsia="仿宋_GB2312" w:hint="eastAsia"/>
          <w:b/>
          <w:sz w:val="28"/>
          <w:szCs w:val="28"/>
        </w:rPr>
        <w:t>关于增加大盘左上菜单“成交详情”的信息化需求</w:t>
      </w:r>
    </w:p>
    <w:p w:rsidR="00E03A13" w:rsidRPr="00B746E2" w:rsidRDefault="00E03A13" w:rsidP="00E03A13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sz w:val="28"/>
          <w:szCs w:val="28"/>
        </w:rPr>
        <w:t>1、增加“成交详情”菜单：</w:t>
      </w:r>
    </w:p>
    <w:p w:rsidR="00E03A13" w:rsidRPr="00B746E2" w:rsidRDefault="00E03A13" w:rsidP="00E03A13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2886075" cy="1209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13" w:rsidRPr="00B746E2" w:rsidRDefault="00E03A13" w:rsidP="00E03A13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sz w:val="28"/>
          <w:szCs w:val="28"/>
        </w:rPr>
        <w:t>2、点击“成交详情”，</w:t>
      </w:r>
      <w:commentRangeStart w:id="0"/>
      <w:r w:rsidRPr="00B746E2">
        <w:rPr>
          <w:rFonts w:ascii="仿宋_GB2312" w:eastAsia="仿宋_GB2312" w:hint="eastAsia"/>
          <w:sz w:val="28"/>
          <w:szCs w:val="28"/>
        </w:rPr>
        <w:t>主盘变为：</w:t>
      </w:r>
      <w:commentRangeEnd w:id="0"/>
      <w:r w:rsidR="009A541A">
        <w:rPr>
          <w:rStyle w:val="a7"/>
        </w:rPr>
        <w:commentReference w:id="0"/>
      </w:r>
    </w:p>
    <w:p w:rsidR="00E03A13" w:rsidRPr="00B746E2" w:rsidRDefault="00173B7A" w:rsidP="00E03A13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6188710" cy="20955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46" w:rsidRPr="00B746E2" w:rsidRDefault="00AD03EE" w:rsidP="00590038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sz w:val="28"/>
          <w:szCs w:val="28"/>
        </w:rPr>
        <w:t>3、</w:t>
      </w:r>
      <w:r w:rsidR="00590038">
        <w:rPr>
          <w:rFonts w:ascii="仿宋_GB2312" w:eastAsia="仿宋_GB2312" w:hint="eastAsia"/>
          <w:sz w:val="28"/>
          <w:szCs w:val="28"/>
        </w:rPr>
        <w:t>按定标</w:t>
      </w:r>
      <w:r w:rsidR="00173B7A">
        <w:rPr>
          <w:rFonts w:ascii="仿宋_GB2312" w:eastAsia="仿宋_GB2312" w:hint="eastAsia"/>
          <w:sz w:val="28"/>
          <w:szCs w:val="28"/>
        </w:rPr>
        <w:t>时间从晚到早</w:t>
      </w:r>
      <w:r w:rsidR="00382243">
        <w:rPr>
          <w:rFonts w:ascii="仿宋_GB2312" w:eastAsia="仿宋_GB2312" w:hint="eastAsia"/>
          <w:sz w:val="28"/>
          <w:szCs w:val="28"/>
        </w:rPr>
        <w:t>显示最近一</w:t>
      </w:r>
      <w:r w:rsidR="00173B7A">
        <w:rPr>
          <w:rFonts w:ascii="仿宋_GB2312" w:eastAsia="仿宋_GB2312" w:hint="eastAsia"/>
          <w:sz w:val="28"/>
          <w:szCs w:val="28"/>
        </w:rPr>
        <w:t>年</w:t>
      </w:r>
      <w:commentRangeStart w:id="1"/>
      <w:r w:rsidR="00382243">
        <w:rPr>
          <w:rFonts w:ascii="仿宋_GB2312" w:eastAsia="仿宋_GB2312" w:hint="eastAsia"/>
          <w:sz w:val="28"/>
          <w:szCs w:val="28"/>
        </w:rPr>
        <w:t>定标的</w:t>
      </w:r>
      <w:commentRangeEnd w:id="1"/>
      <w:r w:rsidR="00683640">
        <w:rPr>
          <w:rStyle w:val="a7"/>
        </w:rPr>
        <w:commentReference w:id="1"/>
      </w:r>
      <w:r w:rsidR="00382243">
        <w:rPr>
          <w:rFonts w:ascii="仿宋_GB2312" w:eastAsia="仿宋_GB2312" w:hint="eastAsia"/>
          <w:sz w:val="28"/>
          <w:szCs w:val="28"/>
        </w:rPr>
        <w:t>信息，金额相同按成交买家数。</w:t>
      </w:r>
      <w:r w:rsidR="00382243">
        <w:rPr>
          <w:rFonts w:ascii="仿宋_GB2312" w:eastAsia="仿宋_GB2312" w:hint="eastAsia"/>
          <w:sz w:val="28"/>
          <w:szCs w:val="28"/>
        </w:rPr>
        <w:br/>
      </w:r>
      <w:r w:rsidR="003E7746" w:rsidRPr="00B746E2">
        <w:rPr>
          <w:rFonts w:ascii="仿宋_GB2312" w:eastAsia="仿宋_GB2312" w:hint="eastAsia"/>
          <w:sz w:val="28"/>
          <w:szCs w:val="28"/>
        </w:rPr>
        <w:t>4、字段说明：</w:t>
      </w:r>
    </w:p>
    <w:p w:rsidR="003E7746" w:rsidRPr="00B746E2" w:rsidRDefault="003E7746" w:rsidP="00E03A13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sz w:val="28"/>
          <w:szCs w:val="28"/>
        </w:rPr>
        <w:t>（</w:t>
      </w:r>
      <w:r w:rsidR="006C46E2">
        <w:rPr>
          <w:rFonts w:ascii="仿宋_GB2312" w:eastAsia="仿宋_GB2312" w:hint="eastAsia"/>
          <w:sz w:val="28"/>
          <w:szCs w:val="28"/>
        </w:rPr>
        <w:t>1</w:t>
      </w:r>
      <w:r w:rsidRPr="00B746E2">
        <w:rPr>
          <w:rFonts w:ascii="仿宋_GB2312" w:eastAsia="仿宋_GB2312" w:hint="eastAsia"/>
          <w:sz w:val="28"/>
          <w:szCs w:val="28"/>
        </w:rPr>
        <w:t>）“</w:t>
      </w:r>
      <w:commentRangeStart w:id="3"/>
      <w:r w:rsidRPr="00B746E2">
        <w:rPr>
          <w:rFonts w:ascii="仿宋_GB2312" w:eastAsia="仿宋_GB2312" w:hint="eastAsia"/>
          <w:sz w:val="28"/>
          <w:szCs w:val="28"/>
        </w:rPr>
        <w:t>已提货数量</w:t>
      </w:r>
      <w:commentRangeEnd w:id="3"/>
      <w:r w:rsidR="009A541A">
        <w:rPr>
          <w:rStyle w:val="a7"/>
        </w:rPr>
        <w:commentReference w:id="3"/>
      </w:r>
      <w:r w:rsidRPr="00B746E2">
        <w:rPr>
          <w:rFonts w:ascii="仿宋_GB2312" w:eastAsia="仿宋_GB2312" w:hint="eastAsia"/>
          <w:sz w:val="28"/>
          <w:szCs w:val="28"/>
        </w:rPr>
        <w:t>”是指该《电子购货合同》下当前</w:t>
      </w:r>
      <w:r w:rsidR="006C46E2">
        <w:rPr>
          <w:rFonts w:ascii="仿宋_GB2312" w:eastAsia="仿宋_GB2312" w:hint="eastAsia"/>
          <w:sz w:val="28"/>
          <w:szCs w:val="28"/>
        </w:rPr>
        <w:t>买家</w:t>
      </w:r>
      <w:r w:rsidRPr="00B746E2">
        <w:rPr>
          <w:rFonts w:ascii="仿宋_GB2312" w:eastAsia="仿宋_GB2312" w:hint="eastAsia"/>
          <w:sz w:val="28"/>
          <w:szCs w:val="28"/>
        </w:rPr>
        <w:t>已下达《提货单》的总数量；</w:t>
      </w:r>
    </w:p>
    <w:p w:rsidR="003E7746" w:rsidRPr="00B746E2" w:rsidRDefault="003E7746" w:rsidP="00E03A13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sz w:val="28"/>
          <w:szCs w:val="28"/>
        </w:rPr>
        <w:t>（2）“</w:t>
      </w:r>
      <w:commentRangeStart w:id="4"/>
      <w:r w:rsidRPr="00B746E2">
        <w:rPr>
          <w:rFonts w:ascii="仿宋_GB2312" w:eastAsia="仿宋_GB2312" w:hint="eastAsia"/>
          <w:sz w:val="28"/>
          <w:szCs w:val="28"/>
        </w:rPr>
        <w:t>已发货数量”</w:t>
      </w:r>
      <w:commentRangeEnd w:id="4"/>
      <w:r w:rsidR="009A541A">
        <w:rPr>
          <w:rStyle w:val="a7"/>
        </w:rPr>
        <w:commentReference w:id="4"/>
      </w:r>
      <w:r w:rsidRPr="00B746E2">
        <w:rPr>
          <w:rFonts w:ascii="仿宋_GB2312" w:eastAsia="仿宋_GB2312" w:hint="eastAsia"/>
          <w:sz w:val="28"/>
          <w:szCs w:val="28"/>
        </w:rPr>
        <w:t>是指该《电子购货合同》下卖家已生成的《发货单》的总数量，只统计已录入发货信息的《发货单》；</w:t>
      </w:r>
    </w:p>
    <w:p w:rsidR="006C46E2" w:rsidRPr="00B746E2" w:rsidRDefault="003E7746" w:rsidP="00E03A13">
      <w:pPr>
        <w:rPr>
          <w:rFonts w:ascii="仿宋_GB2312" w:eastAsia="仿宋_GB2312"/>
          <w:sz w:val="28"/>
          <w:szCs w:val="28"/>
        </w:rPr>
      </w:pPr>
      <w:r w:rsidRPr="00B746E2">
        <w:rPr>
          <w:rFonts w:ascii="仿宋_GB2312" w:eastAsia="仿宋_GB2312" w:hint="eastAsia"/>
          <w:sz w:val="28"/>
          <w:szCs w:val="28"/>
        </w:rPr>
        <w:t>（3）</w:t>
      </w:r>
      <w:r w:rsidR="00173B7A">
        <w:rPr>
          <w:rFonts w:ascii="仿宋_GB2312" w:eastAsia="仿宋_GB2312" w:hint="eastAsia"/>
          <w:sz w:val="28"/>
          <w:szCs w:val="28"/>
        </w:rPr>
        <w:t>用户不可点击查看《电子购货合同》的详情</w:t>
      </w:r>
      <w:r w:rsidR="00590038">
        <w:rPr>
          <w:rFonts w:ascii="仿宋_GB2312" w:eastAsia="仿宋_GB2312" w:hint="eastAsia"/>
          <w:sz w:val="28"/>
          <w:szCs w:val="28"/>
        </w:rPr>
        <w:t>。</w:t>
      </w:r>
    </w:p>
    <w:sectPr w:rsidR="006C46E2" w:rsidRPr="00B746E2" w:rsidSect="00E03A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cy" w:date="2013-07-16T09:13:00Z" w:initials="gcy">
    <w:p w:rsidR="009A541A" w:rsidRDefault="009A541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买家区域覆盖率，同主盘</w:t>
      </w:r>
    </w:p>
    <w:p w:rsidR="009A541A" w:rsidRPr="009A2D87" w:rsidRDefault="009A541A">
      <w:pPr>
        <w:pStyle w:val="a8"/>
      </w:pPr>
      <w:r w:rsidRPr="00521500">
        <w:rPr>
          <w:rFonts w:hint="eastAsia"/>
        </w:rPr>
        <w:t>当前</w:t>
      </w:r>
      <w:r>
        <w:rPr>
          <w:rFonts w:hint="eastAsia"/>
        </w:rPr>
        <w:t>品类商品、同一合同期内所有标的</w:t>
      </w:r>
      <w:r w:rsidRPr="00521500">
        <w:rPr>
          <w:rFonts w:hint="eastAsia"/>
        </w:rPr>
        <w:t>自开始之日起截止当前所有买家已覆盖区域与全国所有区域比例</w:t>
      </w:r>
      <w:r>
        <w:rPr>
          <w:rFonts w:hint="eastAsia"/>
        </w:rPr>
        <w:t>，具体到区县。</w:t>
      </w:r>
      <w:r w:rsidR="009A2D87">
        <w:br/>
      </w:r>
      <w:r w:rsidR="009A2D87">
        <w:rPr>
          <w:rFonts w:hint="eastAsia"/>
        </w:rPr>
        <w:br/>
      </w:r>
      <w:r w:rsidR="009A2D87">
        <w:br/>
      </w:r>
      <w:r w:rsidR="009A2D87">
        <w:rPr>
          <w:rFonts w:hint="eastAsia"/>
        </w:rPr>
        <w:t>去掉：买家数量、卖家数量、买家区域覆盖率。</w:t>
      </w:r>
    </w:p>
  </w:comment>
  <w:comment w:id="1" w:author="gcy" w:date="2013-07-16T10:20:00Z" w:initials="gcy">
    <w:p w:rsidR="00A92D8C" w:rsidRDefault="00683640" w:rsidP="00A92D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数据来自“中标定标信息表”中合同状态为：定标、</w:t>
      </w:r>
      <w:r w:rsidRPr="00683640">
        <w:rPr>
          <w:rFonts w:hint="eastAsia"/>
        </w:rPr>
        <w:t>定标</w:t>
      </w:r>
      <w:r w:rsidRPr="00683640">
        <w:rPr>
          <w:rFonts w:hint="eastAsia"/>
        </w:rPr>
        <w:t>,</w:t>
      </w:r>
      <w:r w:rsidRPr="00683640">
        <w:rPr>
          <w:rFonts w:hint="eastAsia"/>
        </w:rPr>
        <w:t>定标合同到期</w:t>
      </w:r>
      <w:r>
        <w:rPr>
          <w:rFonts w:hint="eastAsia"/>
        </w:rPr>
        <w:t>，</w:t>
      </w:r>
      <w:r w:rsidRPr="00683640">
        <w:rPr>
          <w:rFonts w:hint="eastAsia"/>
        </w:rPr>
        <w:t>定标合同终止</w:t>
      </w:r>
      <w:r>
        <w:rPr>
          <w:rFonts w:hint="eastAsia"/>
        </w:rPr>
        <w:t>，</w:t>
      </w:r>
      <w:r w:rsidRPr="00683640">
        <w:rPr>
          <w:rFonts w:hint="eastAsia"/>
        </w:rPr>
        <w:t>定标执行完成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若合同状态为“定标”，则清盘时间与清盘类型显示</w:t>
      </w:r>
      <w:r w:rsidR="00207C08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未开始清盘</w:t>
      </w:r>
      <w:r>
        <w:rPr>
          <w:rFonts w:hint="eastAsia"/>
        </w:rPr>
        <w:t>；</w:t>
      </w:r>
    </w:p>
    <w:p w:rsidR="00683640" w:rsidRPr="00683640" w:rsidRDefault="00683640">
      <w:pPr>
        <w:pStyle w:val="a8"/>
      </w:pPr>
      <w:r>
        <w:rPr>
          <w:rFonts w:hint="eastAsia"/>
        </w:rPr>
        <w:t>若合同状态为</w:t>
      </w:r>
      <w:r w:rsidR="001319A9">
        <w:rPr>
          <w:rFonts w:hint="eastAsia"/>
        </w:rPr>
        <w:t>后面三个，</w:t>
      </w:r>
      <w:r w:rsidR="00A92D8C">
        <w:rPr>
          <w:rFonts w:hint="eastAsia"/>
        </w:rPr>
        <w:t>若清盘时间</w:t>
      </w:r>
      <w:r w:rsidR="00A92D8C">
        <w:rPr>
          <w:rFonts w:hint="eastAsia"/>
        </w:rPr>
        <w:t>=</w:t>
      </w:r>
      <w:r w:rsidR="00A92D8C">
        <w:rPr>
          <w:rFonts w:hint="eastAsia"/>
        </w:rPr>
        <w:t>结束时间，清盘类型是自动清盘。若不等于，刚是人工清盘，若有时间刚显示，若没有刚显示</w:t>
      </w:r>
      <w:r w:rsidR="00207C08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未开始清盘</w:t>
      </w:r>
      <w:bookmarkStart w:id="2" w:name="_GoBack"/>
      <w:bookmarkEnd w:id="2"/>
      <w:r w:rsidR="001319A9">
        <w:rPr>
          <w:rFonts w:hint="eastAsia"/>
        </w:rPr>
        <w:t>。</w:t>
      </w:r>
      <w:r>
        <w:br/>
      </w:r>
    </w:p>
  </w:comment>
  <w:comment w:id="3" w:author="gcy" w:date="2013-07-12T16:59:00Z" w:initials="gcy">
    <w:p w:rsidR="009A541A" w:rsidRDefault="009A541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当前电子购货合同除撤销以外的所有下达过的提货单对应的数量</w:t>
      </w:r>
    </w:p>
  </w:comment>
  <w:comment w:id="4" w:author="gcy" w:date="2013-07-12T17:01:00Z" w:initials="gcy">
    <w:p w:rsidR="009A541A" w:rsidRDefault="009A541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当前电子购货合同除撤销、</w:t>
      </w:r>
      <w:r w:rsidRPr="00B01612">
        <w:rPr>
          <w:rFonts w:hint="eastAsia"/>
        </w:rPr>
        <w:t>未生成发货单、已生成发货单</w:t>
      </w:r>
      <w:r>
        <w:rPr>
          <w:rFonts w:hint="eastAsia"/>
        </w:rPr>
        <w:t>以外的所有提货单对应的数量。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F6A" w:rsidRDefault="002B7F6A" w:rsidP="00E03A13">
      <w:r>
        <w:separator/>
      </w:r>
    </w:p>
  </w:endnote>
  <w:endnote w:type="continuationSeparator" w:id="0">
    <w:p w:rsidR="002B7F6A" w:rsidRDefault="002B7F6A" w:rsidP="00E0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F6A" w:rsidRDefault="002B7F6A" w:rsidP="00E03A13">
      <w:r>
        <w:separator/>
      </w:r>
    </w:p>
  </w:footnote>
  <w:footnote w:type="continuationSeparator" w:id="0">
    <w:p w:rsidR="002B7F6A" w:rsidRDefault="002B7F6A" w:rsidP="00E03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A13"/>
    <w:rsid w:val="000211F9"/>
    <w:rsid w:val="000C78EF"/>
    <w:rsid w:val="0011262C"/>
    <w:rsid w:val="001319A9"/>
    <w:rsid w:val="00173B7A"/>
    <w:rsid w:val="00207C08"/>
    <w:rsid w:val="002B7F6A"/>
    <w:rsid w:val="0037030F"/>
    <w:rsid w:val="00382243"/>
    <w:rsid w:val="00390FA2"/>
    <w:rsid w:val="003E7746"/>
    <w:rsid w:val="0053777B"/>
    <w:rsid w:val="00590038"/>
    <w:rsid w:val="00683640"/>
    <w:rsid w:val="006C1873"/>
    <w:rsid w:val="006C46E2"/>
    <w:rsid w:val="007B752C"/>
    <w:rsid w:val="009952DE"/>
    <w:rsid w:val="009A2D87"/>
    <w:rsid w:val="009A541A"/>
    <w:rsid w:val="009C0A0F"/>
    <w:rsid w:val="00A92D8C"/>
    <w:rsid w:val="00AD03EE"/>
    <w:rsid w:val="00B12967"/>
    <w:rsid w:val="00B746E2"/>
    <w:rsid w:val="00C6726A"/>
    <w:rsid w:val="00CC0965"/>
    <w:rsid w:val="00E03A13"/>
    <w:rsid w:val="00E5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9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A13"/>
    <w:rPr>
      <w:sz w:val="18"/>
      <w:szCs w:val="18"/>
    </w:rPr>
  </w:style>
  <w:style w:type="paragraph" w:styleId="a5">
    <w:name w:val="List Paragraph"/>
    <w:basedOn w:val="a"/>
    <w:uiPriority w:val="34"/>
    <w:qFormat/>
    <w:rsid w:val="00E03A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3A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A1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50152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E50152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E5015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5015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501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A13"/>
    <w:rPr>
      <w:sz w:val="18"/>
      <w:szCs w:val="18"/>
    </w:rPr>
  </w:style>
  <w:style w:type="paragraph" w:styleId="a5">
    <w:name w:val="List Paragraph"/>
    <w:basedOn w:val="a"/>
    <w:uiPriority w:val="34"/>
    <w:qFormat/>
    <w:rsid w:val="00E03A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3A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A1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5015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5015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5015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5015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5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7816071</dc:creator>
  <cp:lastModifiedBy>gcy</cp:lastModifiedBy>
  <cp:revision>16</cp:revision>
  <cp:lastPrinted>2013-07-09T07:00:00Z</cp:lastPrinted>
  <dcterms:created xsi:type="dcterms:W3CDTF">2013-07-09T03:44:00Z</dcterms:created>
  <dcterms:modified xsi:type="dcterms:W3CDTF">2013-07-16T02:20:00Z</dcterms:modified>
</cp:coreProperties>
</file>