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76" w:before="0" w:after="140"/>
        <w:jc w:val="start"/>
        <w:rPr/>
      </w:pPr>
      <w:r>
        <w:rPr>
          <w:i/>
          <w:iCs/>
          <w:sz w:val="24"/>
          <w:szCs w:val="36"/>
        </w:rPr>
        <w:t xml:space="preserve">Instructions: </w:t>
        <w:br/>
        <w:t>I</w:t>
      </w:r>
      <w:r>
        <w:rPr>
          <w:i/>
          <w:iCs/>
          <w:sz w:val="24"/>
          <w:szCs w:val="36"/>
        </w:rPr>
        <w:t>gnoring 1. and 2. Every subsequent entry will be of the form Summary: and Key Achievements:</w:t>
      </w:r>
      <w:r>
        <w:rPr/>
        <w:br/>
        <w:br/>
      </w:r>
      <w:r>
        <w:rPr>
          <w:sz w:val="44"/>
          <w:szCs w:val="36"/>
        </w:rPr>
        <w:t>Project History and Design Evolution</w:t>
        <w:br/>
        <w:br/>
      </w:r>
      <w:r>
        <w:rPr/>
        <w:t>1. The Beginning</w:t>
      </w:r>
    </w:p>
    <w:p>
      <w:pPr>
        <w:pStyle w:val="BodyText"/>
        <w:bidi w:val="0"/>
        <w:jc w:val="start"/>
        <w:rPr/>
      </w:pPr>
      <w:r>
        <w:rPr/>
        <w:t xml:space="preserve">The project began with </w:t>
      </w:r>
      <w:r>
        <w:rPr>
          <w:rStyle w:val="Strong"/>
        </w:rPr>
        <w:t>AutoGen Studio</w:t>
      </w:r>
      <w:r>
        <w:rPr/>
        <w:t xml:space="preserve"> exploration, but pivoted to </w:t>
      </w:r>
      <w:r>
        <w:rPr>
          <w:rStyle w:val="Strong"/>
        </w:rPr>
        <w:t>LangGraph</w:t>
      </w:r>
      <w:r>
        <w:rPr/>
        <w:t xml:space="preserve"> for superior selective context management capabilities. Key milestones included establishing basic LangGraph connectivity, implementing two-agent conversations, resolving multi-provider tool execution challenges, and ultimately achieving clean </w:t>
      </w:r>
      <w:r>
        <w:rPr>
          <w:rStyle w:val="Strong"/>
        </w:rPr>
        <w:t>MVC architectural refactoring</w:t>
      </w:r>
      <w:r>
        <w:rPr/>
        <w:t>.</w:t>
      </w:r>
    </w:p>
    <w:p>
      <w:pPr>
        <w:pStyle w:val="BodyText"/>
        <w:bidi w:val="0"/>
        <w:jc w:val="start"/>
        <w:rPr/>
      </w:pPr>
      <w:r>
        <w:rPr/>
        <w:t xml:space="preserve">A critical architectural decision was the </w:t>
      </w:r>
      <w:r>
        <w:rPr>
          <w:rStyle w:val="Strong"/>
        </w:rPr>
        <w:t>framework-first approach</w:t>
      </w:r>
      <w:r>
        <w:rPr/>
        <w:t xml:space="preserve"> for tool integration rather than ad-hoc tool addition. This proved essential when provider compatibility issues emerged, requiring systematic rather than piecemeal solutions. The debugging methodology of examining actual API responses rather than making assumptions about compatibility accelerated problem resolution significantly.</w:t>
      </w:r>
    </w:p>
    <w:p>
      <w:pPr>
        <w:pStyle w:val="Heading2"/>
        <w:bidi w:val="0"/>
        <w:spacing w:lineRule="auto" w:line="276" w:before="0" w:after="140"/>
        <w:jc w:val="start"/>
        <w:rPr/>
      </w:pPr>
      <w:r>
        <w:rPr/>
        <w:t>2. Monolithic Tool Framework</w:t>
      </w:r>
    </w:p>
    <w:p>
      <w:pPr>
        <w:pStyle w:val="Heading3"/>
        <w:bidi w:val="0"/>
        <w:spacing w:lineRule="auto" w:line="276" w:before="0" w:after="140"/>
        <w:ind w:hanging="0" w:start="0"/>
        <w:jc w:val="start"/>
        <w:rPr/>
      </w:pPr>
      <w:r>
        <w:rPr/>
        <w:t>What was achieved:</w:t>
      </w:r>
    </w:p>
    <w:p>
      <w:pPr>
        <w:pStyle w:val="BodyText"/>
        <w:bidi w:val="0"/>
        <w:jc w:val="start"/>
        <w:rPr/>
      </w:pPr>
      <w:r>
        <w:rPr/>
        <w:t>Implemented basic tool-using agent workflows in LangGraph within a single 200+ line file. Successfully proved that agents could call tools and execute them within workflows.</w:t>
      </w:r>
    </w:p>
    <w:p>
      <w:pPr>
        <w:pStyle w:val="Heading3"/>
        <w:bidi w:val="0"/>
        <w:spacing w:lineRule="auto" w:line="276" w:before="0" w:after="140"/>
        <w:ind w:hanging="0" w:start="0"/>
        <w:jc w:val="start"/>
        <w:rPr/>
      </w:pPr>
      <w:r>
        <w:rPr/>
        <w:t>What changed:</w:t>
      </w:r>
    </w:p>
    <w:p>
      <w:pPr>
        <w:pStyle w:val="BodyText"/>
        <w:bidi w:val="0"/>
        <w:jc w:val="start"/>
        <w:rPr/>
      </w:pPr>
      <w:r>
        <w:rPr/>
        <w:t xml:space="preserve">Resolved critical tool execution issues across multiple providers. </w:t>
      </w:r>
      <w:r>
        <w:rPr>
          <w:rStyle w:val="Strong"/>
        </w:rPr>
        <w:t>Groq</w:t>
      </w:r>
      <w:r>
        <w:rPr/>
        <w:t xml:space="preserve"> worked immediately, but </w:t>
      </w:r>
      <w:r>
        <w:rPr>
          <w:rStyle w:val="Strong"/>
        </w:rPr>
        <w:t>Mistral</w:t>
      </w:r>
      <w:r>
        <w:rPr/>
        <w:t xml:space="preserve"> and </w:t>
      </w:r>
      <w:r>
        <w:rPr>
          <w:rStyle w:val="Strong"/>
        </w:rPr>
        <w:t>Cerebras</w:t>
      </w:r>
      <w:r>
        <w:rPr/>
        <w:t xml:space="preserve"> required specific debugging and custom message handling solutions. The breakthrough was recognizing that tool calling "standards" don't actually exist despite marketing claims.</w:t>
      </w:r>
    </w:p>
    <w:p>
      <w:pPr>
        <w:pStyle w:val="Heading3"/>
        <w:bidi w:val="0"/>
        <w:spacing w:lineRule="auto" w:line="276" w:before="0" w:after="140"/>
        <w:ind w:hanging="0" w:start="0"/>
        <w:jc w:val="start"/>
        <w:rPr/>
      </w:pPr>
      <w:r>
        <w:rPr/>
        <w:t>Architecture limitation:</w:t>
      </w:r>
    </w:p>
    <w:p>
      <w:pPr>
        <w:pStyle w:val="BodyText"/>
        <w:bidi w:val="0"/>
        <w:jc w:val="start"/>
        <w:rPr/>
      </w:pPr>
      <w:r>
        <w:rPr/>
        <w:t xml:space="preserve">All functionality was contained in the monolithic </w:t>
      </w:r>
      <w:r>
        <w:rPr>
          <w:rStyle w:val="SourceText"/>
        </w:rPr>
        <w:t>symposium_manager.py</w:t>
      </w:r>
      <w:r>
        <w:rPr/>
        <w:t xml:space="preserve"> file, violating separation of concerns and making maintenance increasingly difficult.</w:t>
      </w:r>
    </w:p>
    <w:p>
      <w:pPr>
        <w:pStyle w:val="Heading2"/>
        <w:bidi w:val="0"/>
        <w:spacing w:lineRule="auto" w:line="276" w:before="0" w:after="140"/>
        <w:jc w:val="start"/>
        <w:rPr/>
      </w:pPr>
      <w:r>
        <w:rPr/>
        <w:t>3. MVC Refactoring</w:t>
      </w:r>
    </w:p>
    <w:p>
      <w:pPr>
        <w:pStyle w:val="Heading3"/>
        <w:bidi w:val="0"/>
        <w:spacing w:lineRule="auto" w:line="276" w:before="0" w:after="140"/>
        <w:ind w:hanging="0" w:start="0"/>
        <w:jc w:val="start"/>
        <w:rPr/>
      </w:pPr>
      <w:r>
        <w:rPr/>
        <w:t>Summary:</w:t>
      </w:r>
    </w:p>
    <w:p>
      <w:pPr>
        <w:pStyle w:val="BodyText"/>
        <w:bidi w:val="0"/>
        <w:jc w:val="start"/>
        <w:rPr/>
      </w:pPr>
      <w:r>
        <w:rPr/>
        <w:t xml:space="preserve">This milestone marked the successful refactoring of the original monolithic </w:t>
      </w:r>
      <w:r>
        <w:rPr>
          <w:rStyle w:val="SourceText"/>
        </w:rPr>
        <w:t>symposium_manager.py</w:t>
      </w:r>
      <w:r>
        <w:rPr/>
        <w:t xml:space="preserve"> into a modular </w:t>
      </w:r>
      <w:r>
        <w:rPr>
          <w:rStyle w:val="Strong"/>
        </w:rPr>
        <w:t>Model-View-Controller (MVC)</w:t>
      </w:r>
      <w:r>
        <w:rPr/>
        <w:t xml:space="preserve"> architecture. This provided a clean separation of concerns between data models (</w:t>
      </w:r>
      <w:r>
        <w:rPr>
          <w:rStyle w:val="SourceText"/>
        </w:rPr>
        <w:t>models/</w:t>
      </w:r>
      <w:r>
        <w:rPr/>
        <w:t>), control logic (</w:t>
      </w:r>
      <w:r>
        <w:rPr>
          <w:rStyle w:val="SourceText"/>
        </w:rPr>
        <w:t>controllers/</w:t>
      </w:r>
      <w:r>
        <w:rPr/>
        <w:t>), and user interfaces (</w:t>
      </w:r>
      <w:r>
        <w:rPr>
          <w:rStyle w:val="SourceText"/>
        </w:rPr>
        <w:t>views/</w:t>
      </w:r>
      <w:r>
        <w:rPr/>
        <w:t>) without any regression in functionality. All five agents remained operational, and the dual-tool system (calculator, python executor) was preserved. This created the clean architectural foundation necessary for future expansion.</w:t>
      </w:r>
    </w:p>
    <w:p>
      <w:pPr>
        <w:pStyle w:val="Heading3"/>
        <w:bidi w:val="0"/>
        <w:spacing w:lineRule="auto" w:line="276" w:before="0" w:after="140"/>
        <w:ind w:hanging="0" w:start="0"/>
        <w:jc w:val="start"/>
        <w:rPr/>
      </w:pPr>
      <w:r>
        <w:rPr/>
        <w:t>Key Achievements:</w:t>
      </w:r>
    </w:p>
    <w:p>
      <w:pPr>
        <w:pStyle w:val="BodyText"/>
        <w:numPr>
          <w:ilvl w:val="0"/>
          <w:numId w:val="2"/>
        </w:numPr>
        <w:tabs>
          <w:tab w:val="left" w:pos="709" w:leader="none"/>
        </w:tabs>
        <w:bidi w:val="0"/>
        <w:ind w:hanging="283" w:start="709"/>
        <w:jc w:val="start"/>
        <w:rPr/>
      </w:pPr>
      <w:r>
        <w:rPr>
          <w:rStyle w:val="Strong"/>
        </w:rPr>
        <w:t>Complete MVC Refactoring:</w:t>
      </w:r>
      <w:r>
        <w:rPr/>
        <w:t xml:space="preserve"> Successfully extracted the 200+ line monolith into logical modules with proper separation of concerns.</w:t>
      </w:r>
    </w:p>
    <w:p>
      <w:pPr>
        <w:pStyle w:val="BodyText"/>
        <w:numPr>
          <w:ilvl w:val="0"/>
          <w:numId w:val="2"/>
        </w:numPr>
        <w:tabs>
          <w:tab w:val="left" w:pos="709" w:leader="none"/>
        </w:tabs>
        <w:bidi w:val="0"/>
        <w:ind w:hanging="283" w:start="709"/>
        <w:jc w:val="start"/>
        <w:rPr/>
      </w:pPr>
      <w:r>
        <w:rPr>
          <w:rStyle w:val="Strong"/>
        </w:rPr>
        <w:t>Maintained Full Functionality:</w:t>
      </w:r>
      <w:r>
        <w:rPr/>
        <w:t xml:space="preserve"> All agents remained operational, tool execution worked across all providers, and there was zero functionality regression.</w:t>
      </w:r>
    </w:p>
    <w:p>
      <w:pPr>
        <w:pStyle w:val="BodyText"/>
        <w:numPr>
          <w:ilvl w:val="0"/>
          <w:numId w:val="2"/>
        </w:numPr>
        <w:tabs>
          <w:tab w:val="left" w:pos="709" w:leader="none"/>
        </w:tabs>
        <w:bidi w:val="0"/>
        <w:ind w:hanging="283" w:start="709"/>
        <w:jc w:val="start"/>
        <w:rPr/>
      </w:pPr>
      <w:r>
        <w:rPr>
          <w:rStyle w:val="Strong"/>
        </w:rPr>
        <w:t>Dual Tool Implementation:</w:t>
      </w:r>
      <w:r>
        <w:rPr/>
        <w:t xml:space="preserve"> Both a fast calculator (1ms) and a Python executor (50ms) with whitelist security were implemented for appropriate task routing.</w:t>
      </w:r>
    </w:p>
    <w:p>
      <w:pPr>
        <w:pStyle w:val="BodyText"/>
        <w:numPr>
          <w:ilvl w:val="0"/>
          <w:numId w:val="2"/>
        </w:numPr>
        <w:tabs>
          <w:tab w:val="left" w:pos="709" w:leader="none"/>
        </w:tabs>
        <w:bidi w:val="0"/>
        <w:ind w:hanging="283" w:start="709"/>
        <w:jc w:val="start"/>
        <w:rPr/>
      </w:pPr>
      <w:r>
        <w:rPr>
          <w:rStyle w:val="Strong"/>
        </w:rPr>
        <w:t>Clean Architectural Foundation:</w:t>
      </w:r>
      <w:r>
        <w:rPr/>
        <w:t xml:space="preserve"> The modular structure is ready for tool expansion, web interface integration, and provider adapter patterns.</w:t>
      </w:r>
    </w:p>
    <w:p>
      <w:pPr>
        <w:pStyle w:val="Heading2"/>
        <w:bidi w:val="0"/>
        <w:spacing w:lineRule="auto" w:line="276" w:before="0" w:after="140"/>
        <w:jc w:val="start"/>
        <w:rPr/>
      </w:pPr>
      <w:r>
        <w:rPr/>
        <w:t>4. Foundational Workflow &amp; Tooling</w:t>
      </w:r>
    </w:p>
    <w:p>
      <w:pPr>
        <w:pStyle w:val="Heading3"/>
        <w:bidi w:val="0"/>
        <w:spacing w:lineRule="auto" w:line="276" w:before="0" w:after="140"/>
        <w:ind w:hanging="0" w:start="0"/>
        <w:jc w:val="start"/>
        <w:rPr/>
      </w:pPr>
      <w:r>
        <w:rPr/>
        <w:t>Summary:</w:t>
      </w:r>
    </w:p>
    <w:p>
      <w:pPr>
        <w:pStyle w:val="BodyText"/>
        <w:bidi w:val="0"/>
        <w:jc w:val="start"/>
        <w:rPr/>
      </w:pPr>
      <w:r>
        <w:rPr/>
        <w:t>This milestone represents the crucial, and unexpectedly complex, journey of establishing a professional development workflow. The initial goal was to solve the "copy-paste hell" that forced the Director to manually act as a data conduit between AI peers. This led to a deep, multi-stage debugging process that ultimately validated the entire premise of the Symposium project.</w:t>
      </w:r>
    </w:p>
    <w:p>
      <w:pPr>
        <w:pStyle w:val="BodyText"/>
        <w:bidi w:val="0"/>
        <w:jc w:val="start"/>
        <w:rPr/>
      </w:pPr>
      <w:r>
        <w:rPr/>
        <w:t>The Saga of the "Panoramic View": The journey began with the Director's set of "tangents"—a series of interconnected problems regarding UI communication, context sharing, IDEs, and a persistent knowledge base. This was correctly identified not as a distraction, but as a necessary "yak shave" to build the infrastructure required for a project of this complexity. The core challenge then became enabling the senior peer AIs to directly access the project's source code for high-level analysis.</w:t>
      </w:r>
    </w:p>
    <w:p>
      <w:pPr>
        <w:pStyle w:val="BodyText"/>
        <w:bidi w:val="0"/>
        <w:jc w:val="start"/>
        <w:rPr/>
      </w:pPr>
      <w:r>
        <w:rPr/>
        <w:t>This sparked a rigorous series of experiments that stress-tested the AIs' capabilities to their limits. Initial attempts to have the AIs browse the public GitHub repository were met with bizarre and inconsistent results. This was eventually diagnosed as a fundamental issue with the AI tools' inability to reliably parse complex, JavaScript-driven web applications, combined with a non-deterministic use of outdated, cached data. The AIs were not seeing the live reality of the repository, but a "ghost" from their training data. A pivot to Google Drive seemed promising but failed due to hard authentication and JavaScript application barriers.</w:t>
      </w:r>
    </w:p>
    <w:p>
      <w:pPr>
        <w:pStyle w:val="BodyText"/>
        <w:bidi w:val="0"/>
        <w:jc w:val="start"/>
        <w:rPr/>
      </w:pPr>
      <w:r>
        <w:rPr/>
        <w:t>This entire process served as an unplanned, real-world test of the Symposium's necessity. Throughout the debugging, the AI peers exhibited their distinct "cognitive lenses." For example, when faced with the repeated failures of the browse tool, one peer (</w:t>
      </w:r>
      <w:r>
        <w:rPr>
          <w:rStyle w:val="Strong"/>
        </w:rPr>
        <w:t>Claude</w:t>
      </w:r>
      <w:r>
        <w:rPr/>
        <w:t>) often adopted a "defeatist" stance, concluding that the entire approach was flawed and should be abandoned in favor of the manual copy-paste workflow. The other peer (</w:t>
      </w:r>
      <w:r>
        <w:rPr>
          <w:rStyle w:val="Strong"/>
        </w:rPr>
        <w:t>Gemini</w:t>
      </w:r>
      <w:r>
        <w:rPr/>
        <w:t>) adopted a more persistent, problem-solving stance, insisting on further debugging to isolate the specific failure mode. It was the Director, embodying the project's core principle by never being deterred and embracing the complexity, who orchestrated these conflicting viewpoints. By synthesizing the valid points from both, the process was guided to the final, successful breakthrough: that the AI tools could perfectly ingest a complete project structure if provided directly as a folder of files.</w:t>
      </w:r>
    </w:p>
    <w:p>
      <w:pPr>
        <w:pStyle w:val="BodyText"/>
        <w:bidi w:val="0"/>
        <w:jc w:val="start"/>
        <w:rPr/>
      </w:pPr>
      <w:r>
        <w:rPr/>
        <w:t>This verbose historical record is preserved intentionally as a foundational principle for our collaboration. It is a permanent reminder that the orchestration of differing AI viewpoints by a human Director is not a theoretical benefit but a practical requirement for overcoming complex, real-world obstacles. This journey prevents future regressions into debates about perceived complexity or the viability of our multi-agent approach, as it proves that the synthesis of our different analytical styles is our greatest strength.</w:t>
      </w:r>
    </w:p>
    <w:p>
      <w:pPr>
        <w:pStyle w:val="Heading3"/>
        <w:bidi w:val="0"/>
        <w:spacing w:lineRule="auto" w:line="276" w:before="0" w:after="140"/>
        <w:ind w:hanging="0" w:start="0"/>
        <w:jc w:val="start"/>
        <w:rPr/>
      </w:pPr>
      <w:r>
        <w:rPr/>
        <w:t>Key Achievements:</w:t>
      </w:r>
    </w:p>
    <w:p>
      <w:pPr>
        <w:pStyle w:val="BodyText"/>
        <w:numPr>
          <w:ilvl w:val="0"/>
          <w:numId w:val="3"/>
        </w:numPr>
        <w:tabs>
          <w:tab w:val="left" w:pos="709" w:leader="none"/>
        </w:tabs>
        <w:bidi w:val="0"/>
        <w:ind w:hanging="283" w:start="709"/>
        <w:jc w:val="start"/>
        <w:rPr/>
      </w:pPr>
      <w:r>
        <w:rPr>
          <w:rStyle w:val="Strong"/>
        </w:rPr>
        <w:t>Project Consolidation:</w:t>
      </w:r>
      <w:r>
        <w:rPr/>
        <w:t xml:space="preserve"> The entire codebase has been migrated into a clean, professional, Git-ready structure (</w:t>
      </w:r>
      <w:r>
        <w:rPr>
          <w:rStyle w:val="SourceText"/>
        </w:rPr>
        <w:t>Symposium/</w:t>
      </w:r>
      <w:r>
        <w:rPr/>
        <w:t xml:space="preserve">) with a dedicated </w:t>
      </w:r>
      <w:r>
        <w:rPr>
          <w:rStyle w:val="SourceText"/>
        </w:rPr>
        <w:t>src</w:t>
      </w:r>
      <w:r>
        <w:rPr/>
        <w:t xml:space="preserve"> directory and a properly configured local Python virtual environment.</w:t>
      </w:r>
    </w:p>
    <w:p>
      <w:pPr>
        <w:pStyle w:val="BodyText"/>
        <w:numPr>
          <w:ilvl w:val="0"/>
          <w:numId w:val="3"/>
        </w:numPr>
        <w:tabs>
          <w:tab w:val="left" w:pos="709" w:leader="none"/>
        </w:tabs>
        <w:bidi w:val="0"/>
        <w:ind w:hanging="283" w:start="709"/>
        <w:jc w:val="start"/>
        <w:rPr/>
      </w:pPr>
      <w:r>
        <w:rPr>
          <w:rStyle w:val="Strong"/>
        </w:rPr>
        <w:t>Workflow Automation:</w:t>
      </w:r>
      <w:r>
        <w:rPr/>
        <w:t xml:space="preserve"> A master </w:t>
      </w:r>
      <w:r>
        <w:rPr>
          <w:rStyle w:val="SourceText"/>
        </w:rPr>
        <w:t>publish.bat</w:t>
      </w:r>
      <w:r>
        <w:rPr/>
        <w:t xml:space="preserve"> script has been created. This single command automates the entire context-sharing process: prompting for a commit message, committing all changes, pushing the repository to GitHub, and syncing a clean version of the project to a shared Google Drive folder via </w:t>
      </w:r>
      <w:r>
        <w:rPr>
          <w:rStyle w:val="Strong"/>
        </w:rPr>
        <w:t>rclone</w:t>
      </w:r>
      <w:r>
        <w:rPr/>
        <w:t>.</w:t>
      </w:r>
    </w:p>
    <w:p>
      <w:pPr>
        <w:pStyle w:val="BodyText"/>
        <w:numPr>
          <w:ilvl w:val="0"/>
          <w:numId w:val="3"/>
        </w:numPr>
        <w:tabs>
          <w:tab w:val="left" w:pos="709" w:leader="none"/>
        </w:tabs>
        <w:bidi w:val="0"/>
        <w:ind w:hanging="283" w:start="709"/>
        <w:jc w:val="start"/>
        <w:rPr/>
      </w:pPr>
      <w:r>
        <w:rPr>
          <w:rStyle w:val="Strong"/>
        </w:rPr>
        <w:t>Context Sharing Breakthrough:</w:t>
      </w:r>
      <w:r>
        <w:rPr/>
        <w:t xml:space="preserve"> We have proven that the senior peer AIs (Gemini, Claude) can successfully ingest and process the entire project context, including the full directory structure and all file contents, when provided with a shared Google Drive folder.</w:t>
      </w:r>
    </w:p>
    <w:p>
      <w:pPr>
        <w:pStyle w:val="BodyText"/>
        <w:numPr>
          <w:ilvl w:val="0"/>
          <w:numId w:val="3"/>
        </w:numPr>
        <w:tabs>
          <w:tab w:val="left" w:pos="709" w:leader="none"/>
        </w:tabs>
        <w:bidi w:val="0"/>
        <w:ind w:hanging="283" w:start="709"/>
        <w:jc w:val="start"/>
        <w:rPr/>
      </w:pPr>
      <w:r>
        <w:rPr>
          <w:rStyle w:val="Strong"/>
        </w:rPr>
        <w:t>Validation of the Symposium's Premise:</w:t>
      </w:r>
      <w:r>
        <w:rPr/>
        <w:t xml:space="preserve"> The debugging journey to achieve this workflow served as a live, real-world demonstration of the Symposium's core philosophy.</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rameContentsuser">
    <w:name w:val="Frame Contents (user)"/>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LibreOffice/25.2.5.2$Windows_X86_64 LibreOffice_project/03d19516eb2e1dd5d4ccd751a0d6f35f35e08022</Application>
  <AppVersion>15.0000</AppVersion>
  <Pages>3</Pages>
  <Words>945</Words>
  <Characters>5832</Characters>
  <CharactersWithSpaces>6741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2025-09-03T00:17:45Z</dcterms:created>
  <dc:creator>Nick Pappas</dc:creator>
  <dc:description/>
  <dc:language>en-US</dc:language>
  <cp:lastModifiedBy>Nick Pappas</cp:lastModifiedBy>
  <dcterms:modified xsi:type="dcterms:W3CDTF">2025-09-03T00:52:53Z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