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3sy2re7pjsyq" w:id="0"/>
      <w:bookmarkEnd w:id="0"/>
      <w:r w:rsidDel="00000000" w:rsidR="00000000" w:rsidRPr="00000000">
        <w:rPr>
          <w:rtl w:val="0"/>
        </w:rPr>
        <w:t xml:space="preserve">Avoid term Medical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2010"/>
        <w:gridCol w:w="5100"/>
        <w:tblGridChange w:id="0">
          <w:tblGrid>
            <w:gridCol w:w="1890"/>
            <w:gridCol w:w="201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เธอเสพติดยา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She’s addicted to drugs.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labels someone in a negative way, it implies that a person behaves in a bad way, not emphasizing that a person deserves to be corrected. The preferred term is a person with a substance use disorder.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เธออ้วนมาก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She’s very fat.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It’s used to mock people and dehumanizes human beings that results in 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body shaming. The preferred term is a person with a larger body or a plus-sized person.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เขามีปัญหาสุขภาพจิต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He has a mental health problem.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It’s vague and has a negative connotation, it implies that there’s something wrong with a person. The preferred term is a person who has a mental health condition.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คนป่วยหัวใจ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 heart patient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labels someone by condition, not person-first language.The preferred term is person with a heart condition.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6b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คนนี้เป็นซึมเศร้า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This person is depressed.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labels someone by condition, not person-first language.The preferred term is a person who has depression.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