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Analytics Task 2 Report</w:t>
      </w:r>
    </w:p>
    <w:p>
      <w:r>
        <w:rPr>
          <w:b/>
        </w:rPr>
        <w:t>KPI Summary</w:t>
        <w:br/>
      </w:r>
      <w:r>
        <w:t>Total Sales: ₹7,747,564</w:t>
        <w:br/>
        <w:t>Total Profit: ₹1,561,686.91</w:t>
        <w:br/>
        <w:t>Average Profit Margin: 20.21%</w:t>
        <w:br/>
        <w:t>Total Quantity Sold: 3,050</w:t>
        <w:br/>
        <w:br/>
      </w:r>
    </w:p>
    <w:p>
      <w:pPr>
        <w:pStyle w:val="Heading2"/>
      </w:pPr>
      <w:r>
        <w:t>Key Insights</w:t>
      </w:r>
    </w:p>
    <w:p>
      <w:r>
        <w:t>North region generated the highest sales and profit.</w:t>
      </w:r>
    </w:p>
    <w:p>
      <w:r>
        <w:t>East region achieved the highest profit margin.</w:t>
      </w:r>
    </w:p>
    <w:p>
      <w:r>
        <w:t>Furniture is the strongest category by revenue and profit.</w:t>
      </w:r>
    </w:p>
    <w:p>
      <w:r>
        <w:t>Cabinet is the top-selling product.</w:t>
      </w:r>
    </w:p>
    <w:p>
      <w:r>
        <w:t>Smartphone is the lowest-performing product.</w:t>
      </w:r>
    </w:p>
    <w:p>
      <w:r>
        <w:t>June recorded the highest sales activity.</w:t>
      </w:r>
    </w:p>
    <w:p>
      <w:pPr>
        <w:pStyle w:val="Heading2"/>
      </w:pPr>
      <w:r>
        <w:t>Recommendations</w:t>
      </w:r>
    </w:p>
    <w:p>
      <w:r>
        <w:t>Increase focus on Furniture and top-performing products.</w:t>
      </w:r>
    </w:p>
    <w:p>
      <w:r>
        <w:t>Replicate East region profitability strategies.</w:t>
      </w:r>
    </w:p>
    <w:p>
      <w:r>
        <w:t>Review pricing and promotion of low-performing products.</w:t>
      </w:r>
    </w:p>
    <w:p>
      <w:r>
        <w:t>Prepare inventory ahead of seasonal peaks.</w:t>
      </w:r>
    </w:p>
    <w:p>
      <w:r>
        <w:t>Improve margins in lower-performing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