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i w:val="0"/>
          <w:sz w:val="32"/>
        </w:rPr>
        <w:t>A Privacy-Preserving and Verifiable Cloud Forensic Framework</w:t>
        <w:br/>
        <w:t>Using Permissioned Blockchain and Cryptographic Evidence</w:t>
        <w:br/>
        <w:t>Provenance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00"/>
        <w:gridCol w:w="3600"/>
        <w:gridCol w:w="3600"/>
      </w:tblGrid>
      <w:tr>
        <w:tc>
          <w:tcPr>
            <w:tcW w:type="dxa" w:w="3528"/>
          </w:tcPr>
          <w:p>
            <w:pPr>
              <w:spacing w:after="20"/>
              <w:jc w:val="center"/>
            </w:pPr>
            <w:r/>
            <w:r>
              <w:rPr>
                <w:rFonts w:ascii="Times New Roman" w:hAnsi="Times New Roman"/>
                <w:b/>
                <w:sz w:val="18"/>
              </w:rPr>
              <w:t>Parth Pusadkar</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c>
          <w:tcPr>
            <w:tcW w:type="dxa" w:w="3528"/>
          </w:tcPr>
          <w:p>
            <w:pPr>
              <w:spacing w:after="20"/>
              <w:jc w:val="center"/>
            </w:pPr>
            <w:r/>
            <w:r>
              <w:rPr>
                <w:rFonts w:ascii="Times New Roman" w:hAnsi="Times New Roman"/>
                <w:b/>
                <w:sz w:val="18"/>
              </w:rPr>
              <w:t>Atharv Sankulwar</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c>
          <w:tcPr>
            <w:tcW w:type="dxa" w:w="3528"/>
          </w:tcPr>
          <w:p>
            <w:pPr>
              <w:spacing w:after="20"/>
              <w:jc w:val="center"/>
            </w:pPr>
            <w:r/>
            <w:r>
              <w:rPr>
                <w:rFonts w:ascii="Times New Roman" w:hAnsi="Times New Roman"/>
                <w:b/>
                <w:sz w:val="18"/>
              </w:rPr>
              <w:t>Abhinav Gunjal</w:t>
            </w:r>
          </w:p>
          <w:p>
            <w:pPr>
              <w:spacing w:after="0"/>
              <w:jc w:val="center"/>
            </w:pPr>
            <w:r>
              <w:rPr>
                <w:rFonts w:ascii="Times New Roman" w:hAnsi="Times New Roman"/>
                <w:i/>
                <w:sz w:val="16"/>
              </w:rPr>
              <w:t>Department of Computer Science and Engineering,</w:t>
            </w:r>
          </w:p>
          <w:p>
            <w:pPr>
              <w:spacing w:after="0"/>
              <w:jc w:val="center"/>
            </w:pPr>
            <w:r>
              <w:rPr>
                <w:rFonts w:ascii="Times New Roman" w:hAnsi="Times New Roman"/>
                <w:i/>
                <w:sz w:val="16"/>
              </w:rPr>
              <w:t>Symbiosis Institute of Technology, Nagpur</w:t>
            </w:r>
          </w:p>
          <w:p>
            <w:pPr>
              <w:spacing w:after="0"/>
              <w:jc w:val="center"/>
            </w:pPr>
            <w:r>
              <w:rPr>
                <w:rFonts w:ascii="Times New Roman" w:hAnsi="Times New Roman"/>
                <w:i/>
                <w:sz w:val="16"/>
              </w:rPr>
              <w:t>Symbiosis International (Deemed University),</w:t>
            </w:r>
          </w:p>
          <w:p>
            <w:pPr>
              <w:spacing w:after="0"/>
              <w:jc w:val="center"/>
            </w:pPr>
            <w:r>
              <w:rPr>
                <w:rFonts w:ascii="Times New Roman" w:hAnsi="Times New Roman"/>
                <w:i/>
                <w:sz w:val="16"/>
              </w:rPr>
              <w:t>Pune, India</w:t>
            </w:r>
          </w:p>
        </w:tc>
      </w:tr>
    </w:tbl>
    <w:p>
      <w:pPr>
        <w:sectPr>
          <w:footerReference w:type="default" r:id="rId11"/>
          <w:pgSz w:w="12240" w:h="15840"/>
          <w:pgMar w:top="936" w:right="720" w:bottom="576" w:left="720" w:header="720" w:footer="720" w:gutter="0"/>
          <w:cols w:space="720"/>
          <w:docGrid w:linePitch="360"/>
        </w:sectPr>
      </w:pPr>
    </w:p>
    <w:p>
      <w:r>
        <w:t>Abstract—Cloud-hosted digital evidence must remain confidential, verifiable, and traceable as it moves between investigators and storage services. This paper presents PrivCloud-Chain, a prototype that combines a FastAPI service, AES-256-GCM authenticated encryption, SHA-256 evidence fingerprints, MinIO object storage, role- and policy-based access checks, and Hyperledger Fabric audit records. Evidence content is stored off-chain as ciphertext, while the ledger records selected metadata and lifecycle events. The workflow registers evidence, checks identity and permissions before retrieval, verifies integrity, and records grants and denials. A supplied Verification Center report records 15 configured checks covering authentication, authorization, encryption, integrity, MinIO, Fabric connectivity, audit history, and an end-to-end workflow; all 15 passed in 38.658 s. We also provide a reproducible 60-record synthetic event corpus and report a separate local SHA-256/AES-GCM primitive microbenchmark. That benchmark excludes the application, object store, database, blockchain, and network. No application-level baseline or ablation measurements were available because the source code was not supplied. The evidence therefore supports functional behavior in one configured run and local cryptographic timing only; it does not establish comparative performance, scalability, comprehensive privacy, or superiority over prior frameworks.</w:t>
      </w:r>
    </w:p>
    <w:p>
      <w:r>
        <w:rPr>
          <w:rFonts w:ascii="Times New Roman" w:hAnsi="Times New Roman" w:eastAsia="Times New Roman"/>
          <w:b/>
          <w:i/>
          <w:sz w:val="16"/>
        </w:rPr>
        <w:t>Keywords—cloud forensics, chain of custody, digital evidence, Hyperledger Fabric, authenticated encryption, access control, MinIO.</w:t>
      </w:r>
    </w:p>
    <w:p>
      <w:pPr>
        <w:pStyle w:val="Heading1"/>
      </w:pPr>
      <w:r>
        <w:t>I. INTRODUCTION</w:t>
      </w:r>
    </w:p>
    <w:p>
      <w:r>
        <w:rPr>
          <w:rFonts w:ascii="Times New Roman" w:hAnsi="Times New Roman" w:eastAsia="Times New Roman"/>
          <w:b w:val="0"/>
          <w:i w:val="0"/>
        </w:rPr>
        <w:t>Cloud platforms generate logs, snapshots, object versions, and service records that may become relevant to an investigation. Preserving such material is difficult because evidence is easy to copy, alter, move across jurisdictions, or lose among multi-tenant services. Investigators must explain where evidence came from, how it was protected, who handled it, and whether the item examined later is the same item collected. NIST defines chain of custody as documenting evidence movement through collection, safeguarding, and analysis, including handlers, times, and transfer purposes [1]. Digital preservation guidance likewise treats integrity verification and custody documentation as core evidence-handling practices [2].</w:t>
      </w:r>
    </w:p>
    <w:p>
      <w:r>
        <w:rPr>
          <w:rFonts w:ascii="Times New Roman" w:hAnsi="Times New Roman" w:eastAsia="Times New Roman"/>
          <w:b w:val="0"/>
          <w:i w:val="0"/>
        </w:rPr>
        <w:t>A storage system can protect availability and access, but its privileged operators may control both evidence and its audit database. A distributed ledger can make history independently verifiable among participating organizations, yet cannot prove that the original evidence was collected correctly or that an authorized endpoint behaved honestly. Encryption protects file contents but does not hide every associated fact: object identifiers, timestamps, sizes, access frequency, and ledger metadata may remain visible. Strong claims require an explicit threat model and tests of metadata exposure as well as encryption.</w:t>
      </w:r>
    </w:p>
    <w:p>
      <w:r>
        <w:rPr>
          <w:rFonts w:ascii="Times New Roman" w:hAnsi="Times New Roman" w:eastAsia="Times New Roman"/>
          <w:b w:val="0"/>
          <w:i w:val="0"/>
        </w:rPr>
        <w:t>PrivCloud-Chain is a prototype for evidence registration and custody tracking. A web dashboard submits requests to a FastAPI backend. The service authenticates users through bcrypt-protected credentials and JWT sessions, applies role and policy checks, computes SHA-256 fingerprints, encrypts evidence using AES-256-GCM, and stores ciphertext in MinIO. A Fabric client and Go chaincode record registration metadata and access decisions on a permissioned channel. The application is designed to return plaintext only after authorization and integrity checks succeed. We treat the Verification Center as evidence about implemented scenarios, rather than proof of complete security.</w:t>
      </w:r>
    </w:p>
    <w:p>
      <w:r>
        <w:rPr>
          <w:rFonts w:ascii="Times New Roman" w:hAnsi="Times New Roman" w:eastAsia="Times New Roman"/>
          <w:b w:val="0"/>
          <w:i w:val="0"/>
        </w:rPr>
        <w:t>The contribution is a concrete, testable prototype workflow and its verification suite. The integrated workflow connects encrypted off-chain storage to permissioned ledger events and checks successful and denied access paths. The supplied audit report documents 15 successful checks in its configured environment. This work does not claim that blockchain improves performance or privacy over existing systems: no comparable baseline, workload sweep, ablation, or metadata-leakage evaluation was supplied. The remainder of the paper reviews related work, defines the threat model, presents the architecture and formalization, describes the implementation and tests, analyzes the bounded results, and proposes a reproducible evaluation plan.</w:t>
      </w:r>
    </w:p>
    <w:p>
      <w:pPr>
        <w:pStyle w:val="Heading1"/>
      </w:pPr>
      <w:r>
        <w:t>II. RELATED WORK</w:t>
      </w:r>
    </w:p>
    <w:p>
      <w:pPr>
        <w:pStyle w:val="Heading2"/>
      </w:pPr>
      <w:r>
        <w:t>A. Evidence preservation and cloud forensics</w:t>
      </w:r>
    </w:p>
    <w:p>
      <w:r>
        <w:rPr>
          <w:rFonts w:ascii="Times New Roman" w:hAnsi="Times New Roman" w:eastAsia="Times New Roman"/>
          <w:b w:val="0"/>
          <w:i w:val="0"/>
        </w:rPr>
        <w:t>Evidence handling requires more than file storage. A custody record should connect collection, safeguarding, transfer, analysis, and presentation to identifiable actors and times [1], [2]. Cryptographic digests detect changes between observations, but only when the reference digest and its handling are trustworthy. A hash cannot establish that a log was complete at acquisition, identify a collector without authenticated records, or prove that a provider exposed every relevant source. Operational procedures and acquisition context remain necessary.</w:t>
      </w:r>
    </w:p>
    <w:p>
      <w:r>
        <w:rPr>
          <w:rFonts w:ascii="Times New Roman" w:hAnsi="Times New Roman" w:eastAsia="Times New Roman"/>
          <w:b w:val="0"/>
          <w:i w:val="0"/>
        </w:rPr>
        <w:t>Cloud forensics adds provider-controlled interfaces, distributed locations, service-level agreements, tenant isolation, and volatility. Ruan et al. discuss how cloud characteristics complicate forensic acquisition and analysis [3]. Zawoad and Hasan proposed Secure-Logging-as-a-Service (SecLaaS) to preserve cloud log confidentiality and availability to investigators [4]. These works show that acquisition and provider trust are broader challenges than custody recording alone.</w:t>
      </w:r>
    </w:p>
    <w:p>
      <w:pPr>
        <w:pStyle w:val="Heading2"/>
      </w:pPr>
      <w:r>
        <w:t>B. Blockchain provenance</w:t>
      </w:r>
    </w:p>
    <w:p>
      <w:r>
        <w:rPr>
          <w:rFonts w:ascii="Times New Roman" w:hAnsi="Times New Roman" w:eastAsia="Times New Roman"/>
          <w:b w:val="0"/>
          <w:i w:val="0"/>
        </w:rPr>
        <w:t>Lone and Mir proposed Forensic-Chain, a blockchain-based chain-of-custody proof of concept using Hyperledger Composer and evaluated its performance [5]. B-CoC models evidence custody events on a blockchain to improve traceability [6]. BCFL integrates permissioned blockchain logging into a cloud ecosystem and studies acquisition and preservation of cloud logs [7]. Designs differ in ledger platform, storage, actor model, and evaluation method; superiority claims require comparable workloads and configurations.</w:t>
      </w:r>
    </w:p>
    <w:p>
      <w:r>
        <w:rPr>
          <w:rFonts w:ascii="Times New Roman" w:hAnsi="Times New Roman" w:eastAsia="Times New Roman"/>
          <w:b w:val="0"/>
          <w:i w:val="0"/>
        </w:rPr>
        <w:t>Hyperledger Fabric is permissioned: organizations and peers participate under membership and endorsement policies. Transaction processing separates proposal execution and endorsement, ordering, and peer validation/commit [8]. Fabric supports multi-organization workflows without public cryptocurrency, but depends on correct identity management, policy configuration, and governance. Raft ordering is crash-fault tolerant and must not be described as Byzantine-fault tolerant against malicious orderers [8].</w:t>
      </w:r>
    </w:p>
    <w:p>
      <w:pPr>
        <w:pStyle w:val="Heading2"/>
      </w:pPr>
      <w:r>
        <w:t>C. Cryptographic building blocks and research gap</w:t>
      </w:r>
    </w:p>
    <w:p>
      <w:r>
        <w:rPr>
          <w:rFonts w:ascii="Times New Roman" w:hAnsi="Times New Roman" w:eastAsia="Times New Roman"/>
          <w:b w:val="0"/>
          <w:i w:val="0"/>
        </w:rPr>
        <w:t>SHA-256 is a standardized digest function intended to reveal message changes when a trusted reference digest is available [9]. AES-GCM combines encryption with authentication [10]. Correct use requires nonce uniqueness and sound key management. It can detect ciphertext or authenticated-data modification at decryption, but cannot compensate for leaked keys, compromised endpoints, incorrect authorization, or a malicious administrator.</w:t>
      </w:r>
    </w:p>
    <w:p>
      <w:r>
        <w:rPr>
          <w:rFonts w:ascii="Times New Roman" w:hAnsi="Times New Roman" w:eastAsia="Times New Roman"/>
          <w:b w:val="0"/>
          <w:i w:val="0"/>
        </w:rPr>
        <w:t>Blockchain custody ledgers and cloud forensic logging are established directions. The defensible gap for this project is not the absence of earlier frameworks. Rather, this work can be evaluated as an implementation-level integration of authentication, role/policy decisions, authenticated encryption, object storage, and Fabric-backed lifecycle audit in one dashboard workflow. The testable contribution claimed here is demonstrating and documenting that integrated workflow and its negative access path through an automated suite. Whether it improves security, privacy, or performance over prior systems remains an open empirical question.</w:t>
      </w:r>
    </w:p>
    <w:p>
      <w:r>
        <w:rPr>
          <w:rFonts w:ascii="Times New Roman" w:hAnsi="Times New Roman" w:eastAsia="Times New Roman"/>
          <w:b w:val="0"/>
          <w:i/>
        </w:rPr>
        <w:t>TABLE I. Qualitative scope comparison; not a controlled ranking.</w:t>
      </w:r>
    </w:p>
    <w:tbl>
      <w:tblPr>
        <w:tblStyle w:val="TableGrid"/>
        <w:tblW w:type="auto" w:w="0"/>
        <w:jc w:val="center"/>
        <w:tblLayout w:type="fixed"/>
        <w:tblLook w:firstColumn="1" w:firstRow="1" w:lastColumn="0" w:lastRow="0" w:noHBand="0" w:noVBand="1" w:val="04A0"/>
      </w:tblPr>
      <w:tblGrid>
        <w:gridCol w:w="1267"/>
        <w:gridCol w:w="1440"/>
        <w:gridCol w:w="2261"/>
      </w:tblGrid>
      <w:tr>
        <w:tc>
          <w:tcPr>
            <w:tcW w:type="dxa" w:w="1267"/>
            <w:shd w:fill="D9E2F3"/>
          </w:tcPr>
          <w:p>
            <w:pPr>
              <w:spacing w:after="20"/>
            </w:pPr>
            <w:r>
              <w:rPr>
                <w:rFonts w:ascii="Times New Roman" w:hAnsi="Times New Roman"/>
                <w:sz w:val="15"/>
              </w:rPr>
              <w:t>Aspect</w:t>
            </w:r>
          </w:p>
        </w:tc>
        <w:tc>
          <w:tcPr>
            <w:tcW w:type="dxa" w:w="1440"/>
            <w:shd w:fill="D9E2F3"/>
          </w:tcPr>
          <w:p>
            <w:pPr>
              <w:spacing w:after="20"/>
            </w:pPr>
            <w:r>
              <w:rPr>
                <w:rFonts w:ascii="Times New Roman" w:hAnsi="Times New Roman"/>
                <w:sz w:val="15"/>
              </w:rPr>
              <w:t>Prior approaches</w:t>
            </w:r>
          </w:p>
        </w:tc>
        <w:tc>
          <w:tcPr>
            <w:tcW w:type="dxa" w:w="2261"/>
            <w:shd w:fill="D9E2F3"/>
          </w:tcPr>
          <w:p>
            <w:pPr>
              <w:spacing w:after="20"/>
            </w:pPr>
            <w:r>
              <w:rPr>
                <w:rFonts w:ascii="Times New Roman" w:hAnsi="Times New Roman"/>
                <w:sz w:val="15"/>
              </w:rPr>
              <w:t>PrivCloud-Chain scope</w:t>
            </w:r>
          </w:p>
        </w:tc>
      </w:tr>
      <w:tr>
        <w:tc>
          <w:tcPr>
            <w:tcW w:type="dxa" w:w="1267"/>
          </w:tcPr>
          <w:p>
            <w:pPr>
              <w:spacing w:after="20"/>
            </w:pPr>
            <w:r>
              <w:rPr>
                <w:rFonts w:ascii="Times New Roman" w:hAnsi="Times New Roman"/>
                <w:sz w:val="15"/>
              </w:rPr>
              <w:t>Payload</w:t>
            </w:r>
          </w:p>
        </w:tc>
        <w:tc>
          <w:tcPr>
            <w:tcW w:type="dxa" w:w="1440"/>
          </w:tcPr>
          <w:p>
            <w:pPr>
              <w:spacing w:after="20"/>
            </w:pPr>
            <w:r>
              <w:rPr>
                <w:rFonts w:ascii="Times New Roman" w:hAnsi="Times New Roman"/>
                <w:sz w:val="15"/>
              </w:rPr>
              <w:t>Off-chain storage or provider logs [4], [7]</w:t>
            </w:r>
          </w:p>
        </w:tc>
        <w:tc>
          <w:tcPr>
            <w:tcW w:type="dxa" w:w="2261"/>
          </w:tcPr>
          <w:p>
            <w:pPr>
              <w:spacing w:after="20"/>
            </w:pPr>
            <w:r>
              <w:rPr>
                <w:rFonts w:ascii="Times New Roman" w:hAnsi="Times New Roman"/>
                <w:sz w:val="15"/>
              </w:rPr>
              <w:t>MinIO ciphertext; plaintext exclusion reported</w:t>
            </w:r>
          </w:p>
        </w:tc>
      </w:tr>
      <w:tr>
        <w:tc>
          <w:tcPr>
            <w:tcW w:type="dxa" w:w="1267"/>
          </w:tcPr>
          <w:p>
            <w:pPr>
              <w:spacing w:after="20"/>
            </w:pPr>
            <w:r>
              <w:rPr>
                <w:rFonts w:ascii="Times New Roman" w:hAnsi="Times New Roman"/>
                <w:sz w:val="15"/>
              </w:rPr>
              <w:t>Custody</w:t>
            </w:r>
          </w:p>
        </w:tc>
        <w:tc>
          <w:tcPr>
            <w:tcW w:type="dxa" w:w="1440"/>
          </w:tcPr>
          <w:p>
            <w:pPr>
              <w:spacing w:after="20"/>
            </w:pPr>
            <w:r>
              <w:rPr>
                <w:rFonts w:ascii="Times New Roman" w:hAnsi="Times New Roman"/>
                <w:sz w:val="15"/>
              </w:rPr>
              <w:t>Blockchain lifecycle events [5]–[7]</w:t>
            </w:r>
          </w:p>
        </w:tc>
        <w:tc>
          <w:tcPr>
            <w:tcW w:type="dxa" w:w="2261"/>
          </w:tcPr>
          <w:p>
            <w:pPr>
              <w:spacing w:after="20"/>
            </w:pPr>
            <w:r>
              <w:rPr>
                <w:rFonts w:ascii="Times New Roman" w:hAnsi="Times New Roman"/>
                <w:sz w:val="15"/>
              </w:rPr>
              <w:t>Fabric registration, access, custody events</w:t>
            </w:r>
          </w:p>
        </w:tc>
      </w:tr>
      <w:tr>
        <w:tc>
          <w:tcPr>
            <w:tcW w:type="dxa" w:w="1267"/>
          </w:tcPr>
          <w:p>
            <w:pPr>
              <w:spacing w:after="20"/>
            </w:pPr>
            <w:r>
              <w:rPr>
                <w:rFonts w:ascii="Times New Roman" w:hAnsi="Times New Roman"/>
                <w:sz w:val="15"/>
              </w:rPr>
              <w:t>Access control</w:t>
            </w:r>
          </w:p>
        </w:tc>
        <w:tc>
          <w:tcPr>
            <w:tcW w:type="dxa" w:w="1440"/>
          </w:tcPr>
          <w:p>
            <w:pPr>
              <w:spacing w:after="20"/>
            </w:pPr>
            <w:r>
              <w:rPr>
                <w:rFonts w:ascii="Times New Roman" w:hAnsi="Times New Roman"/>
                <w:sz w:val="15"/>
              </w:rPr>
              <w:t>Varies by framework</w:t>
            </w:r>
          </w:p>
        </w:tc>
        <w:tc>
          <w:tcPr>
            <w:tcW w:type="dxa" w:w="2261"/>
          </w:tcPr>
          <w:p>
            <w:pPr>
              <w:spacing w:after="20"/>
            </w:pPr>
            <w:r>
              <w:rPr>
                <w:rFonts w:ascii="Times New Roman" w:hAnsi="Times New Roman"/>
                <w:sz w:val="15"/>
              </w:rPr>
              <w:t>JWT plus application policy; Investigator/Guest paths</w:t>
            </w:r>
          </w:p>
        </w:tc>
      </w:tr>
      <w:tr>
        <w:tc>
          <w:tcPr>
            <w:tcW w:type="dxa" w:w="1267"/>
          </w:tcPr>
          <w:p>
            <w:pPr>
              <w:spacing w:after="20"/>
            </w:pPr>
            <w:r>
              <w:rPr>
                <w:rFonts w:ascii="Times New Roman" w:hAnsi="Times New Roman"/>
                <w:sz w:val="15"/>
              </w:rPr>
              <w:t>Evaluation</w:t>
            </w:r>
          </w:p>
        </w:tc>
        <w:tc>
          <w:tcPr>
            <w:tcW w:type="dxa" w:w="1440"/>
          </w:tcPr>
          <w:p>
            <w:pPr>
              <w:spacing w:after="20"/>
            </w:pPr>
            <w:r>
              <w:rPr>
                <w:rFonts w:ascii="Times New Roman" w:hAnsi="Times New Roman"/>
                <w:sz w:val="15"/>
              </w:rPr>
              <w:t>System-specific experiments</w:t>
            </w:r>
          </w:p>
        </w:tc>
        <w:tc>
          <w:tcPr>
            <w:tcW w:type="dxa" w:w="2261"/>
          </w:tcPr>
          <w:p>
            <w:pPr>
              <w:spacing w:after="20"/>
            </w:pPr>
            <w:r>
              <w:rPr>
                <w:rFonts w:ascii="Times New Roman" w:hAnsi="Times New Roman"/>
                <w:sz w:val="15"/>
              </w:rPr>
              <w:t>15 functional checks; no comparative performance data</w:t>
            </w:r>
          </w:p>
        </w:tc>
      </w:tr>
    </w:tbl>
    <w:p/>
    <w:p>
      <w:pPr>
        <w:pStyle w:val="Heading1"/>
      </w:pPr>
      <w:r>
        <w:t>III. PROBLEM DEFINITION AND THREAT MODEL</w:t>
      </w:r>
    </w:p>
    <w:p>
      <w:r>
        <w:rPr>
          <w:rFonts w:ascii="Times New Roman" w:hAnsi="Times New Roman" w:eastAsia="Times New Roman"/>
          <w:b w:val="0"/>
          <w:i w:val="0"/>
        </w:rPr>
        <w:t>Let evidence object E be bytes collected from a cloud source and M its case metadata. The system should preserve confidentiality of E at rest, detect changes to the registered object, enforce access rules, and provide an ordered record of custody and access events. Actors are Investigators who register and request evidence, Auditors who inspect history, Administrators who configure users and services, and Guests whose retrieval is restricted. Exact privileges must be bound to deployed policies; role labels alone do not guarantee enforcement.</w:t>
      </w:r>
    </w:p>
    <w:p>
      <w:pPr>
        <w:pStyle w:val="Heading2"/>
      </w:pPr>
      <w:r>
        <w:t>A. Adversary and assumptions</w:t>
      </w:r>
    </w:p>
    <w:p>
      <w:r>
        <w:rPr>
          <w:rFonts w:ascii="Times New Roman" w:hAnsi="Times New Roman" w:eastAsia="Times New Roman"/>
          <w:b w:val="0"/>
          <w:i w:val="0"/>
        </w:rPr>
        <w:t>The adversary may be an unauthenticated caller, an authenticated low-privilege user, or a party able to modify a stored object. The supplied suite reports rejection of tampered or expired JWTs and user-ID or role spoofing. We assume cryptographic libraries behave as specified, initial acquisition is performed by an authorized process, the key is not disclosed, Fabric identities and endorsement policies are correctly configured, and the supplied audit report corresponds to the described deployment. These are assumptions, not properties established by 15 checks.</w:t>
      </w:r>
    </w:p>
    <w:p>
      <w:r>
        <w:rPr>
          <w:rFonts w:ascii="Times New Roman" w:hAnsi="Times New Roman" w:eastAsia="Times New Roman"/>
          <w:b w:val="0"/>
          <w:i w:val="0"/>
        </w:rPr>
        <w:t>Out of scope are privileged administrator compromise, collusion among endorsing organizations, host malware capturing plaintext or keys, denial of service, malicious provider behavior before registration, compromised time sources, jurisdiction-specific admissibility, and side-channel attacks. MinIO object encryption does not prevent size or access-pattern leakage. Ledger metadata may expose case identifiers, event frequency, pseudonyms, or timestamps. Evaluation must enumerate persisted fields and observers; mitigations may include minimizing ledger data, pseudonymous identifiers, private data collections, and encrypted off-chain metadata.</w:t>
      </w:r>
    </w:p>
    <w:p>
      <w:r>
        <w:rPr>
          <w:rFonts w:ascii="Times New Roman" w:hAnsi="Times New Roman" w:eastAsia="Times New Roman"/>
          <w:b w:val="0"/>
          <w:i/>
        </w:rPr>
        <w:t>TABLE II. Threat requirements and current evidence.</w:t>
      </w:r>
    </w:p>
    <w:tbl>
      <w:tblPr>
        <w:tblStyle w:val="TableGrid"/>
        <w:tblW w:type="auto" w:w="0"/>
        <w:jc w:val="center"/>
        <w:tblLayout w:type="fixed"/>
        <w:tblLook w:firstColumn="1" w:firstRow="1" w:lastColumn="0" w:lastRow="0" w:noHBand="0" w:noVBand="1" w:val="04A0"/>
      </w:tblPr>
      <w:tblGrid>
        <w:gridCol w:w="1325"/>
        <w:gridCol w:w="1296"/>
        <w:gridCol w:w="2347"/>
      </w:tblGrid>
      <w:tr>
        <w:tc>
          <w:tcPr>
            <w:tcW w:type="dxa" w:w="1325"/>
            <w:shd w:fill="D9E2F3"/>
          </w:tcPr>
          <w:p>
            <w:pPr>
              <w:spacing w:after="20"/>
            </w:pPr>
            <w:r>
              <w:rPr>
                <w:rFonts w:ascii="Times New Roman" w:hAnsi="Times New Roman"/>
                <w:sz w:val="15"/>
              </w:rPr>
              <w:t>Requirement</w:t>
            </w:r>
          </w:p>
        </w:tc>
        <w:tc>
          <w:tcPr>
            <w:tcW w:type="dxa" w:w="1296"/>
            <w:shd w:fill="D9E2F3"/>
          </w:tcPr>
          <w:p>
            <w:pPr>
              <w:spacing w:after="20"/>
            </w:pPr>
            <w:r>
              <w:rPr>
                <w:rFonts w:ascii="Times New Roman" w:hAnsi="Times New Roman"/>
                <w:sz w:val="15"/>
              </w:rPr>
              <w:t>Mechanism</w:t>
            </w:r>
          </w:p>
        </w:tc>
        <w:tc>
          <w:tcPr>
            <w:tcW w:type="dxa" w:w="2347"/>
            <w:shd w:fill="D9E2F3"/>
          </w:tcPr>
          <w:p>
            <w:pPr>
              <w:spacing w:after="20"/>
            </w:pPr>
            <w:r>
              <w:rPr>
                <w:rFonts w:ascii="Times New Roman" w:hAnsi="Times New Roman"/>
                <w:sz w:val="15"/>
              </w:rPr>
              <w:t>Evidence / limitation</w:t>
            </w:r>
          </w:p>
        </w:tc>
      </w:tr>
      <w:tr>
        <w:tc>
          <w:tcPr>
            <w:tcW w:type="dxa" w:w="1325"/>
          </w:tcPr>
          <w:p>
            <w:pPr>
              <w:spacing w:after="20"/>
            </w:pPr>
            <w:r>
              <w:rPr>
                <w:rFonts w:ascii="Times New Roman" w:hAnsi="Times New Roman"/>
                <w:sz w:val="15"/>
              </w:rPr>
              <w:t>Privacy</w:t>
            </w:r>
          </w:p>
        </w:tc>
        <w:tc>
          <w:tcPr>
            <w:tcW w:type="dxa" w:w="1296"/>
          </w:tcPr>
          <w:p>
            <w:pPr>
              <w:spacing w:after="20"/>
            </w:pPr>
            <w:r>
              <w:rPr>
                <w:rFonts w:ascii="Times New Roman" w:hAnsi="Times New Roman"/>
                <w:sz w:val="15"/>
              </w:rPr>
              <w:t>AES-256-GCM; encrypted object</w:t>
            </w:r>
          </w:p>
        </w:tc>
        <w:tc>
          <w:tcPr>
            <w:tcW w:type="dxa" w:w="2347"/>
          </w:tcPr>
          <w:p>
            <w:pPr>
              <w:spacing w:after="20"/>
            </w:pPr>
            <w:r>
              <w:rPr>
                <w:rFonts w:ascii="Times New Roman" w:hAnsi="Times New Roman"/>
                <w:sz w:val="15"/>
              </w:rPr>
              <w:t>Encryption/plaintext checks reported; key lifecycle and metadata not evaluated</w:t>
            </w:r>
          </w:p>
        </w:tc>
      </w:tr>
      <w:tr>
        <w:tc>
          <w:tcPr>
            <w:tcW w:type="dxa" w:w="1325"/>
          </w:tcPr>
          <w:p>
            <w:pPr>
              <w:spacing w:after="20"/>
            </w:pPr>
            <w:r>
              <w:rPr>
                <w:rFonts w:ascii="Times New Roman" w:hAnsi="Times New Roman"/>
                <w:sz w:val="15"/>
              </w:rPr>
              <w:t>Integrity</w:t>
            </w:r>
          </w:p>
        </w:tc>
        <w:tc>
          <w:tcPr>
            <w:tcW w:type="dxa" w:w="1296"/>
          </w:tcPr>
          <w:p>
            <w:pPr>
              <w:spacing w:after="20"/>
            </w:pPr>
            <w:r>
              <w:rPr>
                <w:rFonts w:ascii="Times New Roman" w:hAnsi="Times New Roman"/>
                <w:sz w:val="15"/>
              </w:rPr>
              <w:t>SHA-256 and GCM tag</w:t>
            </w:r>
          </w:p>
        </w:tc>
        <w:tc>
          <w:tcPr>
            <w:tcW w:type="dxa" w:w="2347"/>
          </w:tcPr>
          <w:p>
            <w:pPr>
              <w:spacing w:after="20"/>
            </w:pPr>
            <w:r>
              <w:rPr>
                <w:rFonts w:ascii="Times New Roman" w:hAnsi="Times New Roman"/>
                <w:sz w:val="15"/>
              </w:rPr>
              <w:t>Digest and ciphertext-tamper checks reported; source authenticity not established</w:t>
            </w:r>
          </w:p>
        </w:tc>
      </w:tr>
      <w:tr>
        <w:tc>
          <w:tcPr>
            <w:tcW w:type="dxa" w:w="1325"/>
          </w:tcPr>
          <w:p>
            <w:pPr>
              <w:spacing w:after="20"/>
            </w:pPr>
            <w:r>
              <w:rPr>
                <w:rFonts w:ascii="Times New Roman" w:hAnsi="Times New Roman"/>
                <w:sz w:val="15"/>
              </w:rPr>
              <w:t>Access control</w:t>
            </w:r>
          </w:p>
        </w:tc>
        <w:tc>
          <w:tcPr>
            <w:tcW w:type="dxa" w:w="1296"/>
          </w:tcPr>
          <w:p>
            <w:pPr>
              <w:spacing w:after="20"/>
            </w:pPr>
            <w:r>
              <w:rPr>
                <w:rFonts w:ascii="Times New Roman" w:hAnsi="Times New Roman"/>
                <w:sz w:val="15"/>
              </w:rPr>
              <w:t>JWT and role/policy</w:t>
            </w:r>
          </w:p>
        </w:tc>
        <w:tc>
          <w:tcPr>
            <w:tcW w:type="dxa" w:w="2347"/>
          </w:tcPr>
          <w:p>
            <w:pPr>
              <w:spacing w:after="20"/>
            </w:pPr>
            <w:r>
              <w:rPr>
                <w:rFonts w:ascii="Times New Roman" w:hAnsi="Times New Roman"/>
                <w:sz w:val="15"/>
              </w:rPr>
              <w:t>Investigator grant, Guest denial, spoofing checks reported</w:t>
            </w:r>
          </w:p>
        </w:tc>
      </w:tr>
      <w:tr>
        <w:tc>
          <w:tcPr>
            <w:tcW w:type="dxa" w:w="1325"/>
          </w:tcPr>
          <w:p>
            <w:pPr>
              <w:spacing w:after="20"/>
            </w:pPr>
            <w:r>
              <w:rPr>
                <w:rFonts w:ascii="Times New Roman" w:hAnsi="Times New Roman"/>
                <w:sz w:val="15"/>
              </w:rPr>
              <w:t>Auditability</w:t>
            </w:r>
          </w:p>
        </w:tc>
        <w:tc>
          <w:tcPr>
            <w:tcW w:type="dxa" w:w="1296"/>
          </w:tcPr>
          <w:p>
            <w:pPr>
              <w:spacing w:after="20"/>
            </w:pPr>
            <w:r>
              <w:rPr>
                <w:rFonts w:ascii="Times New Roman" w:hAnsi="Times New Roman"/>
                <w:sz w:val="15"/>
              </w:rPr>
              <w:t>Fabric events</w:t>
            </w:r>
          </w:p>
        </w:tc>
        <w:tc>
          <w:tcPr>
            <w:tcW w:type="dxa" w:w="2347"/>
          </w:tcPr>
          <w:p>
            <w:pPr>
              <w:spacing w:after="20"/>
            </w:pPr>
            <w:r>
              <w:rPr>
                <w:rFonts w:ascii="Times New Roman" w:hAnsi="Times New Roman"/>
                <w:sz w:val="15"/>
              </w:rPr>
              <w:t>Transaction/history checks reported; governance not evaluated</w:t>
            </w:r>
          </w:p>
        </w:tc>
      </w:tr>
      <w:tr>
        <w:tc>
          <w:tcPr>
            <w:tcW w:type="dxa" w:w="1325"/>
          </w:tcPr>
          <w:p>
            <w:pPr>
              <w:spacing w:after="20"/>
            </w:pPr>
            <w:r>
              <w:rPr>
                <w:rFonts w:ascii="Times New Roman" w:hAnsi="Times New Roman"/>
                <w:sz w:val="15"/>
              </w:rPr>
              <w:t>Availability</w:t>
            </w:r>
          </w:p>
        </w:tc>
        <w:tc>
          <w:tcPr>
            <w:tcW w:type="dxa" w:w="1296"/>
          </w:tcPr>
          <w:p>
            <w:pPr>
              <w:spacing w:after="20"/>
            </w:pPr>
            <w:r>
              <w:rPr>
                <w:rFonts w:ascii="Times New Roman" w:hAnsi="Times New Roman"/>
                <w:sz w:val="15"/>
              </w:rPr>
              <w:t>API/database/MinIO/Fabric health</w:t>
            </w:r>
          </w:p>
        </w:tc>
        <w:tc>
          <w:tcPr>
            <w:tcW w:type="dxa" w:w="2347"/>
          </w:tcPr>
          <w:p>
            <w:pPr>
              <w:spacing w:after="20"/>
            </w:pPr>
            <w:r>
              <w:rPr>
                <w:rFonts w:ascii="Times New Roman" w:hAnsi="Times New Roman"/>
                <w:sz w:val="15"/>
              </w:rPr>
              <w:t>Health reported at test time only</w:t>
            </w:r>
          </w:p>
        </w:tc>
      </w:tr>
    </w:tbl>
    <w:p/>
    <w:p>
      <w:pPr>
        <w:pStyle w:val="Heading1"/>
      </w:pPr>
      <w:r>
        <w:t>IV. PROPOSED FRAMEWORK</w:t>
      </w:r>
    </w:p>
    <w:p>
      <w:pPr>
        <w:pStyle w:val="Heading2"/>
      </w:pPr>
      <w:r>
        <w:t>A. Architecture and data flow</w:t>
      </w:r>
    </w:p>
    <w:p>
      <w:r>
        <w:rPr>
          <w:rFonts w:ascii="Times New Roman" w:hAnsi="Times New Roman" w:eastAsia="Times New Roman"/>
          <w:b w:val="0"/>
          <w:i w:val="0"/>
        </w:rPr>
        <w:t>The design separates user interface, application control plane, object store, database, and ledger. The HTML/CSS/JavaScript dashboard submits to FastAPI. The backend verifies JWT claims, applies access rules, performs cryptographic operations, writes encrypted objects to MinIO, and invokes the Fabric client/gateway bridge. PostgreSQL and/or SQLite hold application data depending on configuration. MinIO stores large evidence payloads off-chain. Fabric peers, an ordering service, and Go chaincode named “forensics” maintain ledger state and events. The exact database backend and ordering configuration used for each run should be reported.</w:t>
      </w:r>
    </w:p>
    <w:p>
      <w:r>
        <w:rPr>
          <w:rFonts w:ascii="Times New Roman" w:hAnsi="Times New Roman" w:eastAsia="Times New Roman"/>
          <w:b w:val="0"/>
          <w:i w:val="0"/>
        </w:rPr>
        <w:t>At registration, the backend receives evidence and case metadata, computes a digest from submitted bytes, encrypts the payload using an AES-GCM key and unique nonce, uploads ciphertext and required parameters to MinIO, and submits the fingerprint and selected metadata to Fabric. At retrieval, it authenticates the user, evaluates policy, records the access result, loads ciphertext only for an approved request, authenticates decryption, and returns plaintext only after successful verification. If policy denies access or GCM authentication fails, plaintext is withheld. The supplied tests report this behavior; source-code review is needed to confirm exact transaction ordering and all exception paths.</w:t>
      </w:r>
    </w:p>
    <w:p>
      <w:pPr>
        <w:jc w:val="center"/>
      </w:pPr>
      <w:r>
        <w:drawing>
          <wp:inline xmlns:a="http://schemas.openxmlformats.org/drawingml/2006/main" xmlns:pic="http://schemas.openxmlformats.org/drawingml/2006/picture">
            <wp:extent cx="2880360" cy="2025253"/>
            <wp:docPr id="1" name="Picture 1" descr="Fig. 1. PrivCloud-Chain architecture and evidence flow."/>
            <wp:cNvGraphicFramePr>
              <a:graphicFrameLocks noChangeAspect="1"/>
            </wp:cNvGraphicFramePr>
            <a:graphic>
              <a:graphicData uri="http://schemas.openxmlformats.org/drawingml/2006/picture">
                <pic:pic>
                  <pic:nvPicPr>
                    <pic:cNvPr id="0" name="codex-clipboard-94d7686b-ba41-4486-9d2c-b93c394d619c.jpg"/>
                    <pic:cNvPicPr/>
                  </pic:nvPicPr>
                  <pic:blipFill>
                    <a:blip r:embed="rId9"/>
                    <a:stretch>
                      <a:fillRect/>
                    </a:stretch>
                  </pic:blipFill>
                  <pic:spPr>
                    <a:xfrm>
                      <a:off x="0" y="0"/>
                      <a:ext cx="2880360" cy="2025253"/>
                    </a:xfrm>
                    <a:prstGeom prst="rect"/>
                  </pic:spPr>
                </pic:pic>
              </a:graphicData>
            </a:graphic>
          </wp:inline>
        </w:drawing>
      </w:r>
    </w:p>
    <w:p>
      <w:pPr>
        <w:jc w:val="center"/>
      </w:pPr>
      <w:r>
        <w:rPr>
          <w:rFonts w:ascii="Times New Roman" w:hAnsi="Times New Roman" w:eastAsia="Times New Roman"/>
          <w:b w:val="0"/>
          <w:i/>
          <w:sz w:val="16"/>
        </w:rPr>
        <w:t>Fig. 1. PrivCloud-Chain architecture and evidence flow.</w:t>
      </w:r>
    </w:p>
    <w:p>
      <w:r>
        <w:rPr>
          <w:rFonts w:ascii="Times New Roman" w:hAnsi="Times New Roman" w:eastAsia="Times New Roman"/>
          <w:b w:val="0"/>
          <w:i w:val="0"/>
        </w:rPr>
        <w:t>Large evidence files remain off-chain to avoid replicating them to every ledger participant. The ledger stores a digest and lifecycle information for later comparison. Metadata on a shared ledger may remain visible even when the file is encrypted. The precise fields and visibility rules must be documented before making privacy claims.</w:t>
      </w:r>
    </w:p>
    <w:p>
      <w:pPr>
        <w:pStyle w:val="Heading2"/>
      </w:pPr>
      <w:r>
        <w:t>B. Cryptographic and policy formulation</w:t>
      </w:r>
    </w:p>
    <w:p>
      <w:r>
        <w:rPr>
          <w:rFonts w:ascii="Times New Roman" w:hAnsi="Times New Roman" w:eastAsia="Times New Roman"/>
          <w:b w:val="0"/>
          <w:i w:val="0"/>
        </w:rPr>
        <w:t>For evidence bytes E, the registration fingerprint is:</w:t>
      </w:r>
    </w:p>
    <w:p>
      <w:pPr>
        <w:jc w:val="center"/>
      </w:pPr>
      <w:r>
        <w:rPr>
          <w:rFonts w:ascii="Times New Roman" w:hAnsi="Times New Roman" w:eastAsia="Times New Roman"/>
          <w:b w:val="0"/>
          <w:i w:val="0"/>
        </w:rPr>
        <w:t>h_E = SHA-256(E),     h_E ∈ {0,1}^256.                                      (1)</w:t>
      </w:r>
    </w:p>
    <w:p>
      <w:r>
        <w:rPr>
          <w:rFonts w:ascii="Times New Roman" w:hAnsi="Times New Roman" w:eastAsia="Times New Roman"/>
          <w:b w:val="0"/>
          <w:i w:val="0"/>
        </w:rPr>
        <w:t>For secret key K, unique nonce N, optional associated data A, and plaintext E, authenticated encryption yields ciphertext C and tag T:</w:t>
      </w:r>
    </w:p>
    <w:p>
      <w:pPr>
        <w:jc w:val="center"/>
      </w:pPr>
      <w:r>
        <w:rPr>
          <w:rFonts w:ascii="Times New Roman" w:hAnsi="Times New Roman" w:eastAsia="Times New Roman"/>
          <w:b w:val="0"/>
          <w:i w:val="0"/>
        </w:rPr>
        <w:t>(C,T) = AES-GCM-Encrypt(K,N,E,A).                                            (2)</w:t>
      </w:r>
    </w:p>
    <w:p>
      <w:r>
        <w:rPr>
          <w:rFonts w:ascii="Times New Roman" w:hAnsi="Times New Roman" w:eastAsia="Times New Roman"/>
          <w:b w:val="0"/>
          <w:i w:val="0"/>
        </w:rPr>
        <w:t>Decryption returns E only if the tag validates:</w:t>
      </w:r>
    </w:p>
    <w:p>
      <w:pPr>
        <w:jc w:val="center"/>
      </w:pPr>
      <w:r>
        <w:rPr>
          <w:rFonts w:ascii="Times New Roman" w:hAnsi="Times New Roman" w:eastAsia="Times New Roman"/>
          <w:b w:val="0"/>
          <w:i w:val="0"/>
        </w:rPr>
        <w:t>E = AES-GCM-Decrypt(K,N,C,A,T); otherwise return ⊥.                           (3)</w:t>
      </w:r>
    </w:p>
    <w:p>
      <w:r>
        <w:rPr>
          <w:rFonts w:ascii="Times New Roman" w:hAnsi="Times New Roman" w:eastAsia="Times New Roman"/>
          <w:b w:val="0"/>
          <w:i w:val="0"/>
        </w:rPr>
        <w:t>Whether associated data is used is not specified in the supplied material. A fresh nonce must be used for each encryption under a key, and keys must be protected and rotated under a documented policy [10]. Key source, storage, backup, rotation, access, and compromise response must be reported before claiming key-management security.</w:t>
      </w:r>
    </w:p>
    <w:p>
      <w:r>
        <w:rPr>
          <w:rFonts w:ascii="Times New Roman" w:hAnsi="Times New Roman" w:eastAsia="Times New Roman"/>
          <w:b w:val="0"/>
          <w:i w:val="0"/>
        </w:rPr>
        <w:t>A custody event e_i may be represented as (id_i, actor_i, action_i, time_i, h_E, context_i). A hash-linked event model would compute:</w:t>
      </w:r>
    </w:p>
    <w:p>
      <w:pPr>
        <w:jc w:val="center"/>
      </w:pPr>
      <w:r>
        <w:rPr>
          <w:rFonts w:ascii="Times New Roman" w:hAnsi="Times New Roman" w:eastAsia="Times New Roman"/>
          <w:b w:val="0"/>
          <w:i w:val="0"/>
        </w:rPr>
        <w:t>h_i = SHA-256(h_{i−1} || Canonical(e_i)),     i ≥ 1.                           (4)</w:t>
      </w:r>
    </w:p>
    <w:p>
      <w:r>
        <w:rPr>
          <w:rFonts w:ascii="Times New Roman" w:hAnsi="Times New Roman" w:eastAsia="Times New Roman"/>
          <w:b w:val="0"/>
          <w:i w:val="0"/>
        </w:rPr>
        <w:t>The project description says Fabric stores event history but does not confirm this event-level formula is implemented in chaincode. Equation (4) is a design model, not a verified implementation fact. Fabric block history and endorsement/commit provide ledger-level ordering and validation under network policy [8]; do not claim extra event linkage without code evidence.</w:t>
      </w:r>
    </w:p>
    <w:p>
      <w:r>
        <w:rPr>
          <w:rFonts w:ascii="Times New Roman" w:hAnsi="Times New Roman" w:eastAsia="Times New Roman"/>
          <w:b w:val="0"/>
          <w:i w:val="0"/>
        </w:rPr>
        <w:t>Let u be an authenticated user, r(u) the verified role, a the action, and x the evidence record. The authorization function is:</w:t>
      </w:r>
    </w:p>
    <w:p>
      <w:pPr>
        <w:jc w:val="center"/>
      </w:pPr>
      <w:r>
        <w:rPr>
          <w:rFonts w:ascii="Times New Roman" w:hAnsi="Times New Roman" w:eastAsia="Times New Roman"/>
          <w:b w:val="0"/>
          <w:i w:val="0"/>
        </w:rPr>
        <w:t>Allow(u,a,x) = 1 if Authenticated(u) ∧ Policy(r(u),a,x); otherwise 0.             (5)</w:t>
      </w:r>
    </w:p>
    <w:p>
      <w:r>
        <w:rPr>
          <w:rFonts w:ascii="Times New Roman" w:hAnsi="Times New Roman" w:eastAsia="Times New Roman"/>
          <w:b w:val="0"/>
          <w:i w:val="0"/>
        </w:rPr>
        <w:t>Decisions must use trusted claims and server-side policy, not a user-supplied role or identifier. Denial should return no evidence bytes and be auditable, subject to ledger availability.</w:t>
      </w:r>
    </w:p>
    <w:p>
      <w:pPr>
        <w:pStyle w:val="Heading2"/>
      </w:pPr>
      <w:r>
        <w:t>C. Registration and retrieval algorithms</w:t>
      </w:r>
    </w:p>
    <w:p>
      <w:r>
        <w:rPr>
          <w:rFonts w:ascii="Times New Roman" w:hAnsi="Times New Roman" w:eastAsia="Times New Roman"/>
          <w:b w:val="0"/>
          <w:i/>
        </w:rPr>
        <w:t>Algorithm 1: RegisterEvidence(E,M,u)</w:t>
        <w:br/>
        <w:t>1) Verify JWT and registration role. 2) Compute h_E ← SHA-256(E). 3) Generate nonce N and encrypt (C,T) ← AES-GCM(K,N,E,A). 4) Store (C,N,T) in MinIO under an opaque identifier. 5) Submit selected metadata, h_E, object reference, and registration event to Fabric. 6) Persist application reference and return status.</w:t>
      </w:r>
    </w:p>
    <w:p>
      <w:r>
        <w:rPr>
          <w:rFonts w:ascii="Times New Roman" w:hAnsi="Times New Roman" w:eastAsia="Times New Roman"/>
          <w:b w:val="0"/>
          <w:i/>
        </w:rPr>
        <w:t>Algorithm 2: RetrieveEvidence(id,u)</w:t>
        <w:br/>
        <w:t>1) Verify JWT signature, expiry, subject, and role. 2) Evaluate server-side policy. 3) Record grant or denial under the audit policy. 4) If denied, return an error with no evidence bytes. 5) Retrieve ciphertext and cryptographic parameters. 6) Authenticate/decrypt; on tag failure, withhold plaintext and raise an integrity alert. 7) Compare resulting evidence fingerprint with the registered digest. 8) Return evidence only if all checks succeed.</w:t>
      </w:r>
    </w:p>
    <w:p>
      <w:pPr>
        <w:pStyle w:val="Heading2"/>
      </w:pPr>
      <w:r>
        <w:t>D. Privacy scope</w:t>
      </w:r>
    </w:p>
    <w:p>
      <w:r>
        <w:rPr>
          <w:rFonts w:ascii="Times New Roman" w:hAnsi="Times New Roman" w:eastAsia="Times New Roman"/>
          <w:b w:val="0"/>
          <w:i w:val="0"/>
        </w:rPr>
        <w:t>The framework protects evidence contents at rest if AES-GCM is correctly used and keys remain secret. Architecture alone does not provide anonymity, unlinkability, differential privacy, secure multi-party analysis, or zero-knowledge proofs. Role identifiers and case metadata may be visible to ledger participants. A privacy audit should inventory fields in the ledger, database, object metadata, application logs, and browser responses, identify observers, and test inference from metadata and access patterns. Key compromise and endpoint compromise are distinct from storage tampering.</w:t>
      </w:r>
    </w:p>
    <w:p>
      <w:pPr>
        <w:pStyle w:val="Heading1"/>
      </w:pPr>
      <w:r>
        <w:t>V. IMPLEMENTATION AND EXPERIMENTAL SETUP</w:t>
      </w:r>
    </w:p>
    <w:p>
      <w:r>
        <w:rPr>
          <w:rFonts w:ascii="Times New Roman" w:hAnsi="Times New Roman" w:eastAsia="Times New Roman"/>
          <w:b w:val="0"/>
          <w:i w:val="0"/>
        </w:rPr>
        <w:t>The project description identifies Python FastAPI, an HTML/CSS/JavaScript dashboard, bcrypt and JWT, AES-256-GCM, SHA-256, MinIO S3-compatible storage, Hyperledger Fabric 2.5, and Go chaincode named “forensics.” The supplied report lists Fabric channel “mychannel,” chaincode version 2.2, sequence 4, and a Verification Center. PostgreSQL and/or SQLite are reported depending on component configuration. We do not infer machine specifications, library versions, nonce size, token lifetime, organization count, endorsement policy, MinIO version, network topology, or evidence-size distribution.</w:t>
      </w:r>
    </w:p>
    <w:p>
      <w:r>
        <w:rPr>
          <w:rFonts w:ascii="Times New Roman" w:hAnsi="Times New Roman" w:eastAsia="Times New Roman"/>
          <w:b w:val="0"/>
          <w:i/>
        </w:rPr>
        <w:t>TABLE III. Reported implementation configuration.</w:t>
      </w:r>
    </w:p>
    <w:tbl>
      <w:tblPr>
        <w:tblStyle w:val="TableGrid"/>
        <w:tblW w:type="auto" w:w="0"/>
        <w:jc w:val="center"/>
        <w:tblLayout w:type="fixed"/>
        <w:tblLook w:firstColumn="1" w:firstRow="1" w:lastColumn="0" w:lastRow="0" w:noHBand="0" w:noVBand="1" w:val="04A0"/>
      </w:tblPr>
      <w:tblGrid>
        <w:gridCol w:w="1368"/>
        <w:gridCol w:w="3600"/>
      </w:tblGrid>
      <w:tr>
        <w:tc>
          <w:tcPr>
            <w:tcW w:type="dxa" w:w="1368"/>
            <w:shd w:fill="D9E2F3"/>
          </w:tcPr>
          <w:p>
            <w:pPr>
              <w:spacing w:after="20"/>
            </w:pPr>
            <w:r>
              <w:rPr>
                <w:rFonts w:ascii="Times New Roman" w:hAnsi="Times New Roman"/>
                <w:sz w:val="15"/>
              </w:rPr>
              <w:t>Component</w:t>
            </w:r>
          </w:p>
        </w:tc>
        <w:tc>
          <w:tcPr>
            <w:tcW w:type="dxa" w:w="3600"/>
            <w:shd w:fill="D9E2F3"/>
          </w:tcPr>
          <w:p>
            <w:pPr>
              <w:spacing w:after="20"/>
            </w:pPr>
            <w:r>
              <w:rPr>
                <w:rFonts w:ascii="Times New Roman" w:hAnsi="Times New Roman"/>
                <w:sz w:val="15"/>
              </w:rPr>
              <w:t>Reported configuration</w:t>
            </w:r>
          </w:p>
        </w:tc>
      </w:tr>
      <w:tr>
        <w:tc>
          <w:tcPr>
            <w:tcW w:type="dxa" w:w="1368"/>
          </w:tcPr>
          <w:p>
            <w:pPr>
              <w:spacing w:after="20"/>
            </w:pPr>
            <w:r>
              <w:rPr>
                <w:rFonts w:ascii="Times New Roman" w:hAnsi="Times New Roman"/>
                <w:sz w:val="15"/>
              </w:rPr>
              <w:t>API and UI</w:t>
            </w:r>
          </w:p>
        </w:tc>
        <w:tc>
          <w:tcPr>
            <w:tcW w:type="dxa" w:w="3600"/>
          </w:tcPr>
          <w:p>
            <w:pPr>
              <w:spacing w:after="20"/>
            </w:pPr>
            <w:r>
              <w:rPr>
                <w:rFonts w:ascii="Times New Roman" w:hAnsi="Times New Roman"/>
                <w:sz w:val="15"/>
              </w:rPr>
              <w:t>FastAPI; HTML, CSS, JavaScript</w:t>
            </w:r>
          </w:p>
        </w:tc>
      </w:tr>
      <w:tr>
        <w:tc>
          <w:tcPr>
            <w:tcW w:type="dxa" w:w="1368"/>
          </w:tcPr>
          <w:p>
            <w:pPr>
              <w:spacing w:after="20"/>
            </w:pPr>
            <w:r>
              <w:rPr>
                <w:rFonts w:ascii="Times New Roman" w:hAnsi="Times New Roman"/>
                <w:sz w:val="15"/>
              </w:rPr>
              <w:t>Authentication</w:t>
            </w:r>
          </w:p>
        </w:tc>
        <w:tc>
          <w:tcPr>
            <w:tcW w:type="dxa" w:w="3600"/>
          </w:tcPr>
          <w:p>
            <w:pPr>
              <w:spacing w:after="20"/>
            </w:pPr>
            <w:r>
              <w:rPr>
                <w:rFonts w:ascii="Times New Roman" w:hAnsi="Times New Roman"/>
                <w:sz w:val="15"/>
              </w:rPr>
              <w:t>bcrypt; JWT</w:t>
            </w:r>
          </w:p>
        </w:tc>
      </w:tr>
      <w:tr>
        <w:tc>
          <w:tcPr>
            <w:tcW w:type="dxa" w:w="1368"/>
          </w:tcPr>
          <w:p>
            <w:pPr>
              <w:spacing w:after="20"/>
            </w:pPr>
            <w:r>
              <w:rPr>
                <w:rFonts w:ascii="Times New Roman" w:hAnsi="Times New Roman"/>
                <w:sz w:val="15"/>
              </w:rPr>
              <w:t>Cryptography</w:t>
            </w:r>
          </w:p>
        </w:tc>
        <w:tc>
          <w:tcPr>
            <w:tcW w:type="dxa" w:w="3600"/>
          </w:tcPr>
          <w:p>
            <w:pPr>
              <w:spacing w:after="20"/>
            </w:pPr>
            <w:r>
              <w:rPr>
                <w:rFonts w:ascii="Times New Roman" w:hAnsi="Times New Roman"/>
                <w:sz w:val="15"/>
              </w:rPr>
              <w:t>AES-256-GCM; SHA-256</w:t>
            </w:r>
          </w:p>
        </w:tc>
      </w:tr>
      <w:tr>
        <w:tc>
          <w:tcPr>
            <w:tcW w:type="dxa" w:w="1368"/>
          </w:tcPr>
          <w:p>
            <w:pPr>
              <w:spacing w:after="20"/>
            </w:pPr>
            <w:r>
              <w:rPr>
                <w:rFonts w:ascii="Times New Roman" w:hAnsi="Times New Roman"/>
                <w:sz w:val="15"/>
              </w:rPr>
              <w:t>Object storage</w:t>
            </w:r>
          </w:p>
        </w:tc>
        <w:tc>
          <w:tcPr>
            <w:tcW w:type="dxa" w:w="3600"/>
          </w:tcPr>
          <w:p>
            <w:pPr>
              <w:spacing w:after="20"/>
            </w:pPr>
            <w:r>
              <w:rPr>
                <w:rFonts w:ascii="Times New Roman" w:hAnsi="Times New Roman"/>
                <w:sz w:val="15"/>
              </w:rPr>
              <w:t>MinIO; bucket forensic-evidence</w:t>
            </w:r>
          </w:p>
        </w:tc>
      </w:tr>
      <w:tr>
        <w:tc>
          <w:tcPr>
            <w:tcW w:type="dxa" w:w="1368"/>
          </w:tcPr>
          <w:p>
            <w:pPr>
              <w:spacing w:after="20"/>
            </w:pPr>
            <w:r>
              <w:rPr>
                <w:rFonts w:ascii="Times New Roman" w:hAnsi="Times New Roman"/>
                <w:sz w:val="15"/>
              </w:rPr>
              <w:t>Ledger</w:t>
            </w:r>
          </w:p>
        </w:tc>
        <w:tc>
          <w:tcPr>
            <w:tcW w:type="dxa" w:w="3600"/>
          </w:tcPr>
          <w:p>
            <w:pPr>
              <w:spacing w:after="20"/>
            </w:pPr>
            <w:r>
              <w:rPr>
                <w:rFonts w:ascii="Times New Roman" w:hAnsi="Times New Roman"/>
                <w:sz w:val="15"/>
              </w:rPr>
              <w:t>Fabric 2.5; channel mychannel; Go chaincode forensics</w:t>
            </w:r>
          </w:p>
        </w:tc>
      </w:tr>
      <w:tr>
        <w:tc>
          <w:tcPr>
            <w:tcW w:type="dxa" w:w="1368"/>
          </w:tcPr>
          <w:p>
            <w:pPr>
              <w:spacing w:after="20"/>
            </w:pPr>
            <w:r>
              <w:rPr>
                <w:rFonts w:ascii="Times New Roman" w:hAnsi="Times New Roman"/>
                <w:sz w:val="15"/>
              </w:rPr>
              <w:t>Chaincode</w:t>
            </w:r>
          </w:p>
        </w:tc>
        <w:tc>
          <w:tcPr>
            <w:tcW w:type="dxa" w:w="3600"/>
          </w:tcPr>
          <w:p>
            <w:pPr>
              <w:spacing w:after="20"/>
            </w:pPr>
            <w:r>
              <w:rPr>
                <w:rFonts w:ascii="Times New Roman" w:hAnsi="Times New Roman"/>
                <w:sz w:val="15"/>
              </w:rPr>
              <w:t>Version 2.2; sequence 4, as reported</w:t>
            </w:r>
          </w:p>
        </w:tc>
      </w:tr>
      <w:tr>
        <w:tc>
          <w:tcPr>
            <w:tcW w:type="dxa" w:w="1368"/>
          </w:tcPr>
          <w:p>
            <w:pPr>
              <w:spacing w:after="20"/>
            </w:pPr>
            <w:r>
              <w:rPr>
                <w:rFonts w:ascii="Times New Roman" w:hAnsi="Times New Roman"/>
                <w:sz w:val="15"/>
              </w:rPr>
              <w:t>Database</w:t>
            </w:r>
          </w:p>
        </w:tc>
        <w:tc>
          <w:tcPr>
            <w:tcW w:type="dxa" w:w="3600"/>
          </w:tcPr>
          <w:p>
            <w:pPr>
              <w:spacing w:after="20"/>
            </w:pPr>
            <w:r>
              <w:rPr>
                <w:rFonts w:ascii="Times New Roman" w:hAnsi="Times New Roman"/>
                <w:sz w:val="15"/>
              </w:rPr>
              <w:t>PostgreSQL and/or SQLite by component</w:t>
            </w:r>
          </w:p>
        </w:tc>
      </w:tr>
      <w:tr>
        <w:tc>
          <w:tcPr>
            <w:tcW w:type="dxa" w:w="1368"/>
          </w:tcPr>
          <w:p>
            <w:pPr>
              <w:spacing w:after="20"/>
            </w:pPr>
            <w:r>
              <w:rPr>
                <w:rFonts w:ascii="Times New Roman" w:hAnsi="Times New Roman"/>
                <w:sz w:val="15"/>
              </w:rPr>
              <w:t>Audit</w:t>
            </w:r>
          </w:p>
        </w:tc>
        <w:tc>
          <w:tcPr>
            <w:tcW w:type="dxa" w:w="3600"/>
          </w:tcPr>
          <w:p>
            <w:pPr>
              <w:spacing w:after="20"/>
            </w:pPr>
            <w:r>
              <w:rPr>
                <w:rFonts w:ascii="Times New Roman" w:hAnsi="Times New Roman"/>
                <w:sz w:val="15"/>
              </w:rPr>
              <w:t>15 checks; 38.658 s aggregate duration</w:t>
            </w:r>
          </w:p>
        </w:tc>
      </w:tr>
    </w:tbl>
    <w:p/>
    <w:p>
      <w:pPr>
        <w:pStyle w:val="Heading2"/>
      </w:pPr>
      <w:r>
        <w:t>A. Verification methodology</w:t>
      </w:r>
    </w:p>
    <w:p>
      <w:r>
        <w:rPr>
          <w:rFonts w:ascii="Times New Roman" w:hAnsi="Times New Roman" w:eastAsia="Times New Roman"/>
          <w:b w:val="0"/>
          <w:i w:val="0"/>
        </w:rPr>
        <w:t>The supplied report groups tests into functional, security, cryptographic, and integration behavior. Functional checks cover registration, authorized retrieval, denial, and history. Security checks cover token tampering and expiry, identity/role spoofing, Guest requests, and plaintext withholding. Cryptographic checks cover encryption/decryption, deterministic SHA-256 output, and modified-ciphertext rejection. Integration checks cover MinIO, Fabric connectivity and transactions, chain-of-custody records, service health, and the lifecycle. Raw outputs, repeated trials, per-case timings, file sizes, workload scripts, and independent replication instructions were not supplied.</w:t>
      </w:r>
    </w:p>
    <w:p>
      <w:r>
        <w:rPr>
          <w:rFonts w:ascii="Times New Roman" w:hAnsi="Times New Roman" w:eastAsia="Times New Roman"/>
          <w:b w:val="0"/>
          <w:i/>
        </w:rPr>
        <w:t>TABLE IV. Verification cases as reported by the project audit material.</w:t>
      </w:r>
    </w:p>
    <w:tbl>
      <w:tblPr>
        <w:tblStyle w:val="TableGrid"/>
        <w:tblW w:type="auto" w:w="0"/>
        <w:jc w:val="center"/>
        <w:tblLayout w:type="fixed"/>
        <w:tblLook w:firstColumn="1" w:firstRow="1" w:lastColumn="0" w:lastRow="0" w:noHBand="0" w:noVBand="1" w:val="04A0"/>
      </w:tblPr>
      <w:tblGrid>
        <w:gridCol w:w="605"/>
        <w:gridCol w:w="2995"/>
        <w:gridCol w:w="1368"/>
      </w:tblGrid>
      <w:tr>
        <w:tc>
          <w:tcPr>
            <w:tcW w:type="dxa" w:w="605"/>
            <w:shd w:fill="D9E2F3"/>
          </w:tcPr>
          <w:p>
            <w:pPr>
              <w:spacing w:after="20"/>
            </w:pPr>
            <w:r>
              <w:rPr>
                <w:rFonts w:ascii="Times New Roman" w:hAnsi="Times New Roman"/>
                <w:sz w:val="15"/>
              </w:rPr>
              <w:t>ID</w:t>
            </w:r>
          </w:p>
        </w:tc>
        <w:tc>
          <w:tcPr>
            <w:tcW w:type="dxa" w:w="2995"/>
            <w:shd w:fill="D9E2F3"/>
          </w:tcPr>
          <w:p>
            <w:pPr>
              <w:spacing w:after="20"/>
            </w:pPr>
            <w:r>
              <w:rPr>
                <w:rFonts w:ascii="Times New Roman" w:hAnsi="Times New Roman"/>
                <w:sz w:val="15"/>
              </w:rPr>
              <w:t>Reported verification check</w:t>
            </w:r>
          </w:p>
        </w:tc>
        <w:tc>
          <w:tcPr>
            <w:tcW w:type="dxa" w:w="1368"/>
            <w:shd w:fill="D9E2F3"/>
          </w:tcPr>
          <w:p>
            <w:pPr>
              <w:spacing w:after="20"/>
            </w:pPr>
            <w:r>
              <w:rPr>
                <w:rFonts w:ascii="Times New Roman" w:hAnsi="Times New Roman"/>
                <w:sz w:val="15"/>
              </w:rPr>
              <w:t>Outcome</w:t>
            </w:r>
          </w:p>
        </w:tc>
      </w:tr>
      <w:tr>
        <w:tc>
          <w:tcPr>
            <w:tcW w:type="dxa" w:w="605"/>
          </w:tcPr>
          <w:p>
            <w:pPr>
              <w:spacing w:after="20"/>
            </w:pPr>
            <w:r>
              <w:rPr>
                <w:rFonts w:ascii="Times New Roman" w:hAnsi="Times New Roman"/>
                <w:sz w:val="15"/>
              </w:rPr>
              <w:t>T01</w:t>
            </w:r>
          </w:p>
        </w:tc>
        <w:tc>
          <w:tcPr>
            <w:tcW w:type="dxa" w:w="2995"/>
          </w:tcPr>
          <w:p>
            <w:pPr>
              <w:spacing w:after="20"/>
            </w:pPr>
            <w:r>
              <w:rPr>
                <w:rFonts w:ascii="Times New Roman" w:hAnsi="Times New Roman"/>
                <w:sz w:val="15"/>
              </w:rPr>
              <w:t>Authentication and JWT lifecycle</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T02</w:t>
            </w:r>
          </w:p>
        </w:tc>
        <w:tc>
          <w:tcPr>
            <w:tcW w:type="dxa" w:w="2995"/>
          </w:tcPr>
          <w:p>
            <w:pPr>
              <w:spacing w:after="20"/>
            </w:pPr>
            <w:r>
              <w:rPr>
                <w:rFonts w:ascii="Times New Roman" w:hAnsi="Times New Roman"/>
                <w:sz w:val="15"/>
              </w:rPr>
              <w:t>Role and user-ID spoofing</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T03</w:t>
            </w:r>
          </w:p>
        </w:tc>
        <w:tc>
          <w:tcPr>
            <w:tcW w:type="dxa" w:w="2995"/>
          </w:tcPr>
          <w:p>
            <w:pPr>
              <w:spacing w:after="20"/>
            </w:pPr>
            <w:r>
              <w:rPr>
                <w:rFonts w:ascii="Times New Roman" w:hAnsi="Times New Roman"/>
                <w:sz w:val="15"/>
              </w:rPr>
              <w:t>Investigator access</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T04</w:t>
            </w:r>
          </w:p>
        </w:tc>
        <w:tc>
          <w:tcPr>
            <w:tcW w:type="dxa" w:w="2995"/>
          </w:tcPr>
          <w:p>
            <w:pPr>
              <w:spacing w:after="20"/>
            </w:pPr>
            <w:r>
              <w:rPr>
                <w:rFonts w:ascii="Times New Roman" w:hAnsi="Times New Roman"/>
                <w:sz w:val="15"/>
              </w:rPr>
              <w:t>Guest access denial</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T05</w:t>
            </w:r>
          </w:p>
        </w:tc>
        <w:tc>
          <w:tcPr>
            <w:tcW w:type="dxa" w:w="2995"/>
          </w:tcPr>
          <w:p>
            <w:pPr>
              <w:spacing w:after="20"/>
            </w:pPr>
            <w:r>
              <w:rPr>
                <w:rFonts w:ascii="Times New Roman" w:hAnsi="Times New Roman"/>
                <w:sz w:val="15"/>
              </w:rPr>
              <w:t>Plaintext withholding</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T06</w:t>
            </w:r>
          </w:p>
        </w:tc>
        <w:tc>
          <w:tcPr>
            <w:tcW w:type="dxa" w:w="2995"/>
          </w:tcPr>
          <w:p>
            <w:pPr>
              <w:spacing w:after="20"/>
            </w:pPr>
            <w:r>
              <w:rPr>
                <w:rFonts w:ascii="Times New Roman" w:hAnsi="Times New Roman"/>
                <w:sz w:val="15"/>
              </w:rPr>
              <w:t>AES-GCM encryption/decryption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T07</w:t>
            </w:r>
          </w:p>
        </w:tc>
        <w:tc>
          <w:tcPr>
            <w:tcW w:type="dxa" w:w="2995"/>
          </w:tcPr>
          <w:p>
            <w:pPr>
              <w:spacing w:after="20"/>
            </w:pPr>
            <w:r>
              <w:rPr>
                <w:rFonts w:ascii="Times New Roman" w:hAnsi="Times New Roman"/>
                <w:sz w:val="15"/>
              </w:rPr>
              <w:t>SHA-256 digest</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T08</w:t>
            </w:r>
          </w:p>
        </w:tc>
        <w:tc>
          <w:tcPr>
            <w:tcW w:type="dxa" w:w="2995"/>
          </w:tcPr>
          <w:p>
            <w:pPr>
              <w:spacing w:after="20"/>
            </w:pPr>
            <w:r>
              <w:rPr>
                <w:rFonts w:ascii="Times New Roman" w:hAnsi="Times New Roman"/>
                <w:sz w:val="15"/>
              </w:rPr>
              <w:t>MinIO encrypted object/plaintext exclusion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T09</w:t>
            </w:r>
          </w:p>
        </w:tc>
        <w:tc>
          <w:tcPr>
            <w:tcW w:type="dxa" w:w="2995"/>
          </w:tcPr>
          <w:p>
            <w:pPr>
              <w:spacing w:after="20"/>
            </w:pPr>
            <w:r>
              <w:rPr>
                <w:rFonts w:ascii="Times New Roman" w:hAnsi="Times New Roman"/>
                <w:sz w:val="15"/>
              </w:rPr>
              <w:t>Ciphertext tamper detection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T10</w:t>
            </w:r>
          </w:p>
        </w:tc>
        <w:tc>
          <w:tcPr>
            <w:tcW w:type="dxa" w:w="2995"/>
          </w:tcPr>
          <w:p>
            <w:pPr>
              <w:spacing w:after="20"/>
            </w:pPr>
            <w:r>
              <w:rPr>
                <w:rFonts w:ascii="Times New Roman" w:hAnsi="Times New Roman"/>
                <w:sz w:val="15"/>
              </w:rPr>
              <w:t>Fabric connectivity</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T11</w:t>
            </w:r>
          </w:p>
        </w:tc>
        <w:tc>
          <w:tcPr>
            <w:tcW w:type="dxa" w:w="2995"/>
          </w:tcPr>
          <w:p>
            <w:pPr>
              <w:spacing w:after="20"/>
            </w:pPr>
            <w:r>
              <w:rPr>
                <w:rFonts w:ascii="Times New Roman" w:hAnsi="Times New Roman"/>
                <w:sz w:val="15"/>
              </w:rPr>
              <w:t>Evidence registration transaction</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T12</w:t>
            </w:r>
          </w:p>
        </w:tc>
        <w:tc>
          <w:tcPr>
            <w:tcW w:type="dxa" w:w="2995"/>
          </w:tcPr>
          <w:p>
            <w:pPr>
              <w:spacing w:after="20"/>
            </w:pPr>
            <w:r>
              <w:rPr>
                <w:rFonts w:ascii="Times New Roman" w:hAnsi="Times New Roman"/>
                <w:sz w:val="15"/>
              </w:rPr>
              <w:t>Fabric grants and denials</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T13</w:t>
            </w:r>
          </w:p>
        </w:tc>
        <w:tc>
          <w:tcPr>
            <w:tcW w:type="dxa" w:w="2995"/>
          </w:tcPr>
          <w:p>
            <w:pPr>
              <w:spacing w:after="20"/>
            </w:pPr>
            <w:r>
              <w:rPr>
                <w:rFonts w:ascii="Times New Roman" w:hAnsi="Times New Roman"/>
                <w:sz w:val="15"/>
              </w:rPr>
              <w:t>Custody history retrieval</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T14</w:t>
            </w:r>
          </w:p>
        </w:tc>
        <w:tc>
          <w:tcPr>
            <w:tcW w:type="dxa" w:w="2995"/>
          </w:tcPr>
          <w:p>
            <w:pPr>
              <w:spacing w:after="20"/>
            </w:pPr>
            <w:r>
              <w:rPr>
                <w:rFonts w:ascii="Times New Roman" w:hAnsi="Times New Roman"/>
                <w:sz w:val="15"/>
              </w:rPr>
              <w:t>Database, MinIO, Fabric health</w:t>
            </w:r>
          </w:p>
        </w:tc>
        <w:tc>
          <w:tcPr>
            <w:tcW w:type="dxa" w:w="1368"/>
          </w:tcPr>
          <w:p>
            <w:pPr>
              <w:spacing w:after="20"/>
            </w:pPr>
            <w:r>
              <w:rPr>
                <w:rFonts w:ascii="Times New Roman" w:hAnsi="Times New Roman"/>
                <w:sz w:val="15"/>
              </w:rPr>
              <w:t>PASS</w:t>
            </w:r>
          </w:p>
        </w:tc>
      </w:tr>
      <w:tr>
        <w:tc>
          <w:tcPr>
            <w:tcW w:type="dxa" w:w="605"/>
          </w:tcPr>
          <w:p>
            <w:pPr>
              <w:spacing w:after="20"/>
            </w:pPr>
            <w:r>
              <w:rPr>
                <w:rFonts w:ascii="Times New Roman" w:hAnsi="Times New Roman"/>
                <w:sz w:val="15"/>
              </w:rPr>
              <w:t>T15</w:t>
            </w:r>
          </w:p>
        </w:tc>
        <w:tc>
          <w:tcPr>
            <w:tcW w:type="dxa" w:w="2995"/>
          </w:tcPr>
          <w:p>
            <w:pPr>
              <w:spacing w:after="20"/>
            </w:pPr>
            <w:r>
              <w:rPr>
                <w:rFonts w:ascii="Times New Roman" w:hAnsi="Times New Roman"/>
                <w:sz w:val="15"/>
              </w:rPr>
              <w:t>End-to-end evidence lifecycle</w:t>
            </w:r>
          </w:p>
        </w:tc>
        <w:tc>
          <w:tcPr>
            <w:tcW w:type="dxa" w:w="1368"/>
          </w:tcPr>
          <w:p>
            <w:pPr>
              <w:spacing w:after="20"/>
            </w:pPr>
            <w:r>
              <w:rPr>
                <w:rFonts w:ascii="Times New Roman" w:hAnsi="Times New Roman"/>
                <w:sz w:val="15"/>
              </w:rPr>
              <w:t>PASS</w:t>
            </w:r>
          </w:p>
        </w:tc>
      </w:tr>
    </w:tbl>
    <w:p/>
    <w:p>
      <w:pPr>
        <w:pStyle w:val="Heading2"/>
      </w:pPr>
      <w:r>
        <w:t>B. Metrics and validity</w:t>
      </w:r>
    </w:p>
    <w:p>
      <w:r>
        <w:t>The observed functional pass fraction is P/T = 15/15 = 1.00 (100%) for the supplied run, with a total suite duration of 38.658 s. This is an aggregate duration, not upload latency, transaction latency, throughput, or per-file processing time. The checks share services and fixtures and are not independent samples. With one aggregate run and no trial-level observations, a confidence interval or significance test cannot be computed for the Verification Center results.</w:t>
      </w:r>
    </w:p>
    <w:p>
      <w:r>
        <w:t>A small reproducible system-test corpus is now included with this package. It contains 60 generated fictional events: 20 normal, 20 access-denied, and 20 tamper-alert cases, with a manifest and a deterministic generator. The 70/15/15 stratified labels are bookkeeping for test coverage, not machine-learning train/test data. The corpus contains no collected case evidence and should not be described as a representative forensic dataset. Its synthetic origin, schema, generation seed, split, and limitations are documented in the dataset card.</w:t>
      </w:r>
    </w:p>
    <w:p>
      <w:r>
        <w:t>Three application-level baselines and four ablations are specified in the experiment protocol, but remain unmeasured because the project source was unavailable. The baselines isolate centralized SQL auditing, a centralized hash-linked audit log, and Fabric registration without on-chain access decisions. The ablations remove AES-GCM, Fabric, on-chain access events, or role/policy enforcement in an isolated synthetic-data test instance. A matched comparison should pin software and source revisions, use the same host, workload, object store, cryptographic settings, and concurrency, and preserve raw per-operation results. Report median and p95 latency with uncertainty, throughput, resource use, storage growth, unauthorized retrievals, and tamper detection. Do not disable controls in a live system.</w:t>
      </w:r>
    </w:p>
    <w:p>
      <w:pPr>
        <w:pStyle w:val="Heading1"/>
      </w:pPr>
      <w:r>
        <w:t>VI. RESULTS AND DISCUSSION</w:t>
      </w:r>
    </w:p>
    <w:p>
      <w:pPr>
        <w:pStyle w:val="Heading2"/>
      </w:pPr>
      <w:r>
        <w:t>A. Reported results</w:t>
      </w:r>
    </w:p>
    <w:p>
      <w:r>
        <w:rPr>
          <w:rFonts w:ascii="Times New Roman" w:hAnsi="Times New Roman" w:eastAsia="Times New Roman"/>
          <w:b w:val="0"/>
          <w:i w:val="0"/>
        </w:rPr>
        <w:t>The supplied Verification Center report records 15 total checks, 15 passed, zero failed, zero blocked, zero pending, and total time 38.658 s. The dashboard rounds the displayed time to 38.7 s. The test cases cover expected positive and negative paths: Investigator access, Guest denial, withholding evidence on denial, GCM rejection after ciphertext modification, MinIO object storage, and Fabric registration/access/history operations. The report describes four chronological records in the tested custody-history scenario.</w:t>
      </w:r>
    </w:p>
    <w:p>
      <w:pPr>
        <w:jc w:val="center"/>
      </w:pPr>
      <w:r>
        <w:drawing>
          <wp:inline xmlns:a="http://schemas.openxmlformats.org/drawingml/2006/main" xmlns:pic="http://schemas.openxmlformats.org/drawingml/2006/picture">
            <wp:extent cx="2880360" cy="1190008"/>
            <wp:docPr id="2" name="Picture 2" descr="Fig. 2. Verification Center dashboard showing the reported 15-check run."/>
            <wp:cNvGraphicFramePr>
              <a:graphicFrameLocks noChangeAspect="1"/>
            </wp:cNvGraphicFramePr>
            <a:graphic>
              <a:graphicData uri="http://schemas.openxmlformats.org/drawingml/2006/picture">
                <pic:pic>
                  <pic:nvPicPr>
                    <pic:cNvPr id="0" name="Screenshot 2026-10-21 212528.png"/>
                    <pic:cNvPicPr/>
                  </pic:nvPicPr>
                  <pic:blipFill>
                    <a:blip r:embed="rId10"/>
                    <a:stretch>
                      <a:fillRect/>
                    </a:stretch>
                  </pic:blipFill>
                  <pic:spPr>
                    <a:xfrm>
                      <a:off x="0" y="0"/>
                      <a:ext cx="2880360" cy="1190008"/>
                    </a:xfrm>
                    <a:prstGeom prst="rect"/>
                  </pic:spPr>
                </pic:pic>
              </a:graphicData>
            </a:graphic>
          </wp:inline>
        </w:drawing>
      </w:r>
    </w:p>
    <w:p>
      <w:pPr>
        <w:jc w:val="center"/>
      </w:pPr>
      <w:r>
        <w:rPr>
          <w:rFonts w:ascii="Times New Roman" w:hAnsi="Times New Roman" w:eastAsia="Times New Roman"/>
          <w:b w:val="0"/>
          <w:i/>
          <w:sz w:val="16"/>
        </w:rPr>
        <w:t>Fig. 2. Verification Center dashboard showing the reported 15-check run.</w:t>
      </w:r>
    </w:p>
    <w:p>
      <w:r>
        <w:rPr>
          <w:rFonts w:ascii="Times New Roman" w:hAnsi="Times New Roman" w:eastAsia="Times New Roman"/>
          <w:b w:val="0"/>
          <w:i/>
        </w:rPr>
        <w:t>TABLE V. Single supplied verification run.</w:t>
      </w:r>
    </w:p>
    <w:tbl>
      <w:tblPr>
        <w:tblStyle w:val="TableGrid"/>
        <w:tblW w:type="auto" w:w="0"/>
        <w:jc w:val="center"/>
        <w:tblLayout w:type="fixed"/>
        <w:tblLook w:firstColumn="1" w:firstRow="1" w:lastColumn="0" w:lastRow="0" w:noHBand="0" w:noVBand="1" w:val="04A0"/>
      </w:tblPr>
      <w:tblGrid>
        <w:gridCol w:w="1656"/>
        <w:gridCol w:w="1656"/>
        <w:gridCol w:w="1656"/>
      </w:tblGrid>
      <w:tr>
        <w:tc>
          <w:tcPr>
            <w:tcW w:type="dxa" w:w="1656"/>
            <w:shd w:fill="D9E2F3"/>
          </w:tcPr>
          <w:p>
            <w:pPr>
              <w:spacing w:after="20"/>
            </w:pPr>
            <w:r>
              <w:rPr>
                <w:rFonts w:ascii="Times New Roman" w:hAnsi="Times New Roman"/>
                <w:sz w:val="15"/>
              </w:rPr>
              <w:t>Metric</w:t>
            </w:r>
          </w:p>
        </w:tc>
        <w:tc>
          <w:tcPr>
            <w:tcW w:type="dxa" w:w="1656"/>
            <w:shd w:fill="D9E2F3"/>
          </w:tcPr>
          <w:p>
            <w:pPr>
              <w:spacing w:after="20"/>
            </w:pPr>
            <w:r>
              <w:rPr>
                <w:rFonts w:ascii="Times New Roman" w:hAnsi="Times New Roman"/>
                <w:sz w:val="15"/>
              </w:rPr>
              <w:t>Value</w:t>
            </w:r>
          </w:p>
        </w:tc>
        <w:tc>
          <w:tcPr>
            <w:tcW w:type="dxa" w:w="1656"/>
            <w:shd w:fill="D9E2F3"/>
          </w:tcPr>
          <w:p>
            <w:pPr>
              <w:spacing w:after="20"/>
            </w:pPr>
            <w:r>
              <w:rPr>
                <w:rFonts w:ascii="Times New Roman" w:hAnsi="Times New Roman"/>
                <w:sz w:val="15"/>
              </w:rPr>
              <w:t>Meaning</w:t>
            </w:r>
          </w:p>
        </w:tc>
      </w:tr>
      <w:tr>
        <w:tc>
          <w:tcPr>
            <w:tcW w:type="dxa" w:w="1656"/>
          </w:tcPr>
          <w:p>
            <w:pPr>
              <w:spacing w:after="20"/>
            </w:pPr>
            <w:r>
              <w:rPr>
                <w:rFonts w:ascii="Times New Roman" w:hAnsi="Times New Roman"/>
                <w:sz w:val="15"/>
              </w:rPr>
              <w:t>Configured checks</w:t>
            </w:r>
          </w:p>
        </w:tc>
        <w:tc>
          <w:tcPr>
            <w:tcW w:type="dxa" w:w="1656"/>
          </w:tcPr>
          <w:p>
            <w:pPr>
              <w:spacing w:after="20"/>
            </w:pPr>
            <w:r>
              <w:rPr>
                <w:rFonts w:ascii="Times New Roman" w:hAnsi="Times New Roman"/>
                <w:sz w:val="15"/>
              </w:rPr>
              <w:t>15</w:t>
            </w:r>
          </w:p>
        </w:tc>
        <w:tc>
          <w:tcPr>
            <w:tcW w:type="dxa" w:w="1656"/>
          </w:tcPr>
          <w:p>
            <w:pPr>
              <w:spacing w:after="20"/>
            </w:pPr>
            <w:r>
              <w:rPr>
                <w:rFonts w:ascii="Times New Roman" w:hAnsi="Times New Roman"/>
                <w:sz w:val="15"/>
              </w:rPr>
              <w:t>Suite size</w:t>
            </w:r>
          </w:p>
        </w:tc>
      </w:tr>
      <w:tr>
        <w:tc>
          <w:tcPr>
            <w:tcW w:type="dxa" w:w="1656"/>
          </w:tcPr>
          <w:p>
            <w:pPr>
              <w:spacing w:after="20"/>
            </w:pPr>
            <w:r>
              <w:rPr>
                <w:rFonts w:ascii="Times New Roman" w:hAnsi="Times New Roman"/>
                <w:sz w:val="15"/>
              </w:rPr>
              <w:t>Passed/failed/blocked</w:t>
            </w:r>
          </w:p>
        </w:tc>
        <w:tc>
          <w:tcPr>
            <w:tcW w:type="dxa" w:w="1656"/>
          </w:tcPr>
          <w:p>
            <w:pPr>
              <w:spacing w:after="20"/>
            </w:pPr>
            <w:r>
              <w:rPr>
                <w:rFonts w:ascii="Times New Roman" w:hAnsi="Times New Roman"/>
                <w:sz w:val="15"/>
              </w:rPr>
              <w:t>15/0/0</w:t>
            </w:r>
          </w:p>
        </w:tc>
        <w:tc>
          <w:tcPr>
            <w:tcW w:type="dxa" w:w="1656"/>
          </w:tcPr>
          <w:p>
            <w:pPr>
              <w:spacing w:after="20"/>
            </w:pPr>
            <w:r>
              <w:rPr>
                <w:rFonts w:ascii="Times New Roman" w:hAnsi="Times New Roman"/>
                <w:sz w:val="15"/>
              </w:rPr>
              <w:t>Outcomes in the reported run</w:t>
            </w:r>
          </w:p>
        </w:tc>
      </w:tr>
      <w:tr>
        <w:tc>
          <w:tcPr>
            <w:tcW w:type="dxa" w:w="1656"/>
          </w:tcPr>
          <w:p>
            <w:pPr>
              <w:spacing w:after="20"/>
            </w:pPr>
            <w:r>
              <w:rPr>
                <w:rFonts w:ascii="Times New Roman" w:hAnsi="Times New Roman"/>
                <w:sz w:val="15"/>
              </w:rPr>
              <w:t>Pass fraction</w:t>
            </w:r>
          </w:p>
        </w:tc>
        <w:tc>
          <w:tcPr>
            <w:tcW w:type="dxa" w:w="1656"/>
          </w:tcPr>
          <w:p>
            <w:pPr>
              <w:spacing w:after="20"/>
            </w:pPr>
            <w:r>
              <w:rPr>
                <w:rFonts w:ascii="Times New Roman" w:hAnsi="Times New Roman"/>
                <w:sz w:val="15"/>
              </w:rPr>
              <w:t>100%</w:t>
            </w:r>
          </w:p>
        </w:tc>
        <w:tc>
          <w:tcPr>
            <w:tcW w:type="dxa" w:w="1656"/>
          </w:tcPr>
          <w:p>
            <w:pPr>
              <w:spacing w:after="20"/>
            </w:pPr>
            <w:r>
              <w:rPr>
                <w:rFonts w:ascii="Times New Roman" w:hAnsi="Times New Roman"/>
                <w:sz w:val="15"/>
              </w:rPr>
              <w:t>15/15 in one run</w:t>
            </w:r>
          </w:p>
        </w:tc>
      </w:tr>
      <w:tr>
        <w:tc>
          <w:tcPr>
            <w:tcW w:type="dxa" w:w="1656"/>
          </w:tcPr>
          <w:p>
            <w:pPr>
              <w:spacing w:after="20"/>
            </w:pPr>
            <w:r>
              <w:rPr>
                <w:rFonts w:ascii="Times New Roman" w:hAnsi="Times New Roman"/>
                <w:sz w:val="15"/>
              </w:rPr>
              <w:t>Suite duration</w:t>
            </w:r>
          </w:p>
        </w:tc>
        <w:tc>
          <w:tcPr>
            <w:tcW w:type="dxa" w:w="1656"/>
          </w:tcPr>
          <w:p>
            <w:pPr>
              <w:spacing w:after="20"/>
            </w:pPr>
            <w:r>
              <w:rPr>
                <w:rFonts w:ascii="Times New Roman" w:hAnsi="Times New Roman"/>
                <w:sz w:val="15"/>
              </w:rPr>
              <w:t>38.658 s</w:t>
            </w:r>
          </w:p>
        </w:tc>
        <w:tc>
          <w:tcPr>
            <w:tcW w:type="dxa" w:w="1656"/>
          </w:tcPr>
          <w:p>
            <w:pPr>
              <w:spacing w:after="20"/>
            </w:pPr>
            <w:r>
              <w:rPr>
                <w:rFonts w:ascii="Times New Roman" w:hAnsi="Times New Roman"/>
                <w:sz w:val="15"/>
              </w:rPr>
              <w:t>Whole-suite duration only</w:t>
            </w:r>
          </w:p>
        </w:tc>
      </w:tr>
      <w:tr>
        <w:tc>
          <w:tcPr>
            <w:tcW w:type="dxa" w:w="1656"/>
          </w:tcPr>
          <w:p>
            <w:pPr>
              <w:spacing w:after="20"/>
            </w:pPr>
            <w:r>
              <w:rPr>
                <w:rFonts w:ascii="Times New Roman" w:hAnsi="Times New Roman"/>
                <w:sz w:val="15"/>
              </w:rPr>
              <w:t>History scenario</w:t>
            </w:r>
          </w:p>
        </w:tc>
        <w:tc>
          <w:tcPr>
            <w:tcW w:type="dxa" w:w="1656"/>
          </w:tcPr>
          <w:p>
            <w:pPr>
              <w:spacing w:after="20"/>
            </w:pPr>
            <w:r>
              <w:rPr>
                <w:rFonts w:ascii="Times New Roman" w:hAnsi="Times New Roman"/>
                <w:sz w:val="15"/>
              </w:rPr>
              <w:t>4 records</w:t>
            </w:r>
          </w:p>
        </w:tc>
        <w:tc>
          <w:tcPr>
            <w:tcW w:type="dxa" w:w="1656"/>
          </w:tcPr>
          <w:p>
            <w:pPr>
              <w:spacing w:after="20"/>
            </w:pPr>
            <w:r>
              <w:rPr>
                <w:rFonts w:ascii="Times New Roman" w:hAnsi="Times New Roman"/>
                <w:sz w:val="15"/>
              </w:rPr>
              <w:t>Reported tested history</w:t>
            </w:r>
          </w:p>
        </w:tc>
      </w:tr>
    </w:tbl>
    <w:p/>
    <w:p>
      <w:pPr>
        <w:pStyle w:val="Heading2"/>
      </w:pPr>
      <w:r>
        <w:t>B. Local cryptographic primitive microbenchmark</w:t>
      </w:r>
    </w:p>
    <w:p>
      <w:pPr/>
      <w:r>
        <w:t>A separate benchmark ran SHA-256 and AES-256-GCM locally with three warmups and 30 measured repetitions at 1 KiB, 64 KiB, 1 MiB, and 10 MiB. At 10 MiB, median SHA-256 time was 5.532 ms (p95 5.977 ms), median AES-GCM encryption was 5.119 ms, median decryption was 5.732 ms, and median encrypt/decrypt round-trip time was 10.991 ms (p95 12.511 ms). All 30 modified-ciphertext trials per size were rejected and decrypted outputs matched their inputs. The run used Windows 11, Python 3.12.14, and cryptography 50.0.2; host details and raw values are in the accompanying metadata and CSV. These timings measure local primitives only: they exclude FastAPI, MinIO, Fabric, the database, network transfer, and any baseline. They must not be interpreted as end-to-end system performance.</w:t>
      </w:r>
    </w:p>
    <w:p>
      <w:pPr>
        <w:pStyle w:val="Heading2"/>
      </w:pPr>
      <w:r>
        <w:t>C. Interpretation</w:t>
      </w:r>
    </w:p>
    <w:p>
      <w:r>
        <w:rPr>
          <w:rFonts w:ascii="Times New Roman" w:hAnsi="Times New Roman" w:eastAsia="Times New Roman"/>
          <w:b w:val="0"/>
          <w:i w:val="0"/>
        </w:rPr>
        <w:t>The narrow conclusion is that the integrated deployment satisfied the assertions encoded in the supplied Verification Center run. The suite includes grant and denial paths and exercises connected MinIO and Fabric services rather than only isolated functions. The ciphertext-tamper test indicates that the tested GCM path rejected a modified ciphertext. These are useful functional results for the demonstrated workflow.</w:t>
      </w:r>
    </w:p>
    <w:p>
      <w:r>
        <w:rPr>
          <w:rFonts w:ascii="Times New Roman" w:hAnsi="Times New Roman" w:eastAsia="Times New Roman"/>
          <w:b w:val="0"/>
          <w:i w:val="0"/>
        </w:rPr>
        <w:t>The result does not quantify comparative benefit or scalability. Without baselines, file-size and concurrency sweeps, repeated observations, and per-test timings, performance and uncertainty cannot be estimated. A 100% result means only that the included assertions passed in this run; it does not mean the system is 100% secure.</w:t>
      </w:r>
    </w:p>
    <w:p>
      <w:r>
        <w:rPr>
          <w:rFonts w:ascii="Times New Roman" w:hAnsi="Times New Roman" w:eastAsia="Times New Roman"/>
          <w:b w:val="0"/>
          <w:i w:val="0"/>
        </w:rPr>
        <w:t>The result also does not establish comprehensive privacy. AES-GCM can protect contents under correct key and nonce management, while application and ledger metadata may remain observable. The report does not enumerate ledger fields or test metadata inference, and key storage and rotation are unspecified. “Privacy-preserving” is therefore a design objective here, not a comprehensively measured property.</w:t>
      </w:r>
    </w:p>
    <w:p>
      <w:pPr>
        <w:pStyle w:val="Heading2"/>
      </w:pPr>
      <w:r>
        <w:t>D. Follow-up experiments</w:t>
      </w:r>
    </w:p>
    <w:p>
      <w:r>
        <w:t>TABLE VI. Experiments needed to support broader claims.</w:t>
      </w:r>
    </w:p>
    <w:tbl>
      <w:tblPr>
        <w:tblStyle w:val="TableGrid"/>
        <w:tblW w:type="auto" w:w="0"/>
        <w:jc w:val="center"/>
        <w:tblLayout w:type="fixed"/>
        <w:tblLook w:firstColumn="1" w:firstRow="1" w:lastColumn="0" w:lastRow="0" w:noHBand="0" w:noVBand="1" w:val="04A0"/>
      </w:tblPr>
      <w:tblGrid>
        <w:gridCol w:w="1037"/>
        <w:gridCol w:w="2232"/>
        <w:gridCol w:w="1699"/>
      </w:tblGrid>
      <w:tr>
        <w:tc>
          <w:tcPr>
            <w:tcW w:type="dxa" w:w="1037"/>
            <w:shd w:fill="D9E2F3"/>
          </w:tcPr>
          <w:p>
            <w:pPr>
              <w:spacing w:after="20"/>
            </w:pPr>
            <w:r>
              <w:rPr>
                <w:rFonts w:ascii="Times New Roman" w:hAnsi="Times New Roman"/>
                <w:sz w:val="15"/>
              </w:rPr>
              <w:t>Study</w:t>
            </w:r>
          </w:p>
        </w:tc>
        <w:tc>
          <w:tcPr>
            <w:tcW w:type="dxa" w:w="2232"/>
            <w:shd w:fill="D9E2F3"/>
          </w:tcPr>
          <w:p>
            <w:pPr>
              <w:spacing w:after="20"/>
            </w:pPr>
            <w:r>
              <w:rPr>
                <w:rFonts w:ascii="Times New Roman" w:hAnsi="Times New Roman"/>
                <w:sz w:val="15"/>
              </w:rPr>
              <w:t>Protocol</w:t>
            </w:r>
          </w:p>
        </w:tc>
        <w:tc>
          <w:tcPr>
            <w:tcW w:type="dxa" w:w="1699"/>
            <w:shd w:fill="D9E2F3"/>
          </w:tcPr>
          <w:p>
            <w:pPr>
              <w:spacing w:after="20"/>
            </w:pPr>
            <w:r>
              <w:rPr>
                <w:rFonts w:ascii="Times New Roman" w:hAnsi="Times New Roman"/>
                <w:sz w:val="15"/>
              </w:rPr>
              <w:t>Report</w:t>
            </w:r>
          </w:p>
        </w:tc>
      </w:tr>
      <w:tr>
        <w:tc>
          <w:tcPr>
            <w:tcW w:type="dxa" w:w="1037"/>
          </w:tcPr>
          <w:p>
            <w:pPr>
              <w:spacing w:after="20"/>
            </w:pPr>
            <w:r>
              <w:rPr>
                <w:rFonts w:ascii="Times New Roman" w:hAnsi="Times New Roman"/>
                <w:sz w:val="15"/>
              </w:rPr>
              <w:t>Workload</w:t>
            </w:r>
          </w:p>
        </w:tc>
        <w:tc>
          <w:tcPr>
            <w:tcW w:type="dxa" w:w="2232"/>
          </w:tcPr>
          <w:p>
            <w:pPr>
              <w:spacing w:after="20"/>
            </w:pPr>
            <w:r>
              <w:rPr>
                <w:rFonts w:ascii="Times New Roman" w:hAnsi="Times New Roman"/>
                <w:sz w:val="15"/>
              </w:rPr>
              <w:t>Document source/license or generator; counts, types, sizes, sensitivity</w:t>
            </w:r>
          </w:p>
        </w:tc>
        <w:tc>
          <w:tcPr>
            <w:tcW w:type="dxa" w:w="1699"/>
          </w:tcPr>
          <w:p>
            <w:pPr>
              <w:spacing w:after="20"/>
            </w:pPr>
            <w:r>
              <w:rPr>
                <w:rFonts w:ascii="Times New Roman" w:hAnsi="Times New Roman"/>
                <w:sz w:val="15"/>
              </w:rPr>
              <w:t>Corpus manifest and test cases</w:t>
            </w:r>
          </w:p>
        </w:tc>
      </w:tr>
      <w:tr>
        <w:tc>
          <w:tcPr>
            <w:tcW w:type="dxa" w:w="1037"/>
          </w:tcPr>
          <w:p>
            <w:pPr>
              <w:spacing w:after="20"/>
            </w:pPr>
            <w:r>
              <w:rPr>
                <w:rFonts w:ascii="Times New Roman" w:hAnsi="Times New Roman"/>
                <w:sz w:val="15"/>
              </w:rPr>
              <w:t>Baselines</w:t>
            </w:r>
          </w:p>
        </w:tc>
        <w:tc>
          <w:tcPr>
            <w:tcW w:type="dxa" w:w="2232"/>
          </w:tcPr>
          <w:p>
            <w:pPr>
              <w:spacing w:after="20"/>
            </w:pPr>
            <w:r>
              <w:rPr>
                <w:rFonts w:ascii="Times New Roman" w:hAnsi="Times New Roman"/>
                <w:sz w:val="15"/>
              </w:rPr>
              <w:t>Central audit; ledger without decision events; recent compatible framework</w:t>
            </w:r>
          </w:p>
        </w:tc>
        <w:tc>
          <w:tcPr>
            <w:tcW w:type="dxa" w:w="1699"/>
          </w:tcPr>
          <w:p>
            <w:pPr>
              <w:spacing w:after="20"/>
            </w:pPr>
            <w:r>
              <w:rPr>
                <w:rFonts w:ascii="Times New Roman" w:hAnsi="Times New Roman"/>
                <w:sz w:val="15"/>
              </w:rPr>
              <w:t>Matched comparison</w:t>
            </w:r>
          </w:p>
        </w:tc>
      </w:tr>
      <w:tr>
        <w:tc>
          <w:tcPr>
            <w:tcW w:type="dxa" w:w="1037"/>
          </w:tcPr>
          <w:p>
            <w:pPr>
              <w:spacing w:after="20"/>
            </w:pPr>
            <w:r>
              <w:rPr>
                <w:rFonts w:ascii="Times New Roman" w:hAnsi="Times New Roman"/>
                <w:sz w:val="15"/>
              </w:rPr>
              <w:t>Latency</w:t>
            </w:r>
          </w:p>
        </w:tc>
        <w:tc>
          <w:tcPr>
            <w:tcW w:type="dxa" w:w="2232"/>
          </w:tcPr>
          <w:p>
            <w:pPr>
              <w:spacing w:after="20"/>
            </w:pPr>
            <w:r>
              <w:rPr>
                <w:rFonts w:ascii="Times New Roman" w:hAnsi="Times New Roman"/>
                <w:sz w:val="15"/>
              </w:rPr>
              <w:t>Repeated registration/retrieval by size and concurrency</w:t>
            </w:r>
          </w:p>
        </w:tc>
        <w:tc>
          <w:tcPr>
            <w:tcW w:type="dxa" w:w="1699"/>
          </w:tcPr>
          <w:p>
            <w:pPr>
              <w:spacing w:after="20"/>
            </w:pPr>
            <w:r>
              <w:rPr>
                <w:rFonts w:ascii="Times New Roman" w:hAnsi="Times New Roman"/>
                <w:sz w:val="15"/>
              </w:rPr>
              <w:t>Median, p95, 95% CI, stage breakdown</w:t>
            </w:r>
          </w:p>
        </w:tc>
      </w:tr>
      <w:tr>
        <w:tc>
          <w:tcPr>
            <w:tcW w:type="dxa" w:w="1037"/>
          </w:tcPr>
          <w:p>
            <w:pPr>
              <w:spacing w:after="20"/>
            </w:pPr>
            <w:r>
              <w:rPr>
                <w:rFonts w:ascii="Times New Roman" w:hAnsi="Times New Roman"/>
                <w:sz w:val="15"/>
              </w:rPr>
              <w:t>Throughput/cost</w:t>
            </w:r>
          </w:p>
        </w:tc>
        <w:tc>
          <w:tcPr>
            <w:tcW w:type="dxa" w:w="2232"/>
          </w:tcPr>
          <w:p>
            <w:pPr>
              <w:spacing w:after="20"/>
            </w:pPr>
            <w:r>
              <w:rPr>
                <w:rFonts w:ascii="Times New Roman" w:hAnsi="Times New Roman"/>
                <w:sz w:val="15"/>
              </w:rPr>
              <w:t>Vary clients and event volume</w:t>
            </w:r>
          </w:p>
        </w:tc>
        <w:tc>
          <w:tcPr>
            <w:tcW w:type="dxa" w:w="1699"/>
          </w:tcPr>
          <w:p>
            <w:pPr>
              <w:spacing w:after="20"/>
            </w:pPr>
            <w:r>
              <w:rPr>
                <w:rFonts w:ascii="Times New Roman" w:hAnsi="Times New Roman"/>
                <w:sz w:val="15"/>
              </w:rPr>
              <w:t>Transactions/s, commit delay, bytes/event, ledger growth</w:t>
            </w:r>
          </w:p>
        </w:tc>
      </w:tr>
      <w:tr>
        <w:tc>
          <w:tcPr>
            <w:tcW w:type="dxa" w:w="1037"/>
          </w:tcPr>
          <w:p>
            <w:pPr>
              <w:spacing w:after="20"/>
            </w:pPr>
            <w:r>
              <w:rPr>
                <w:rFonts w:ascii="Times New Roman" w:hAnsi="Times New Roman"/>
                <w:sz w:val="15"/>
              </w:rPr>
              <w:t>Ablation</w:t>
            </w:r>
          </w:p>
        </w:tc>
        <w:tc>
          <w:tcPr>
            <w:tcW w:type="dxa" w:w="2232"/>
          </w:tcPr>
          <w:p>
            <w:pPr>
              <w:spacing w:after="20"/>
            </w:pPr>
            <w:r>
              <w:rPr>
                <w:rFonts w:ascii="Times New Roman" w:hAnsi="Times New Roman"/>
                <w:sz w:val="15"/>
              </w:rPr>
              <w:t>Remove one major control at a time</w:t>
            </w:r>
          </w:p>
        </w:tc>
        <w:tc>
          <w:tcPr>
            <w:tcW w:type="dxa" w:w="1699"/>
          </w:tcPr>
          <w:p>
            <w:pPr>
              <w:spacing w:after="20"/>
            </w:pPr>
            <w:r>
              <w:rPr>
                <w:rFonts w:ascii="Times New Roman" w:hAnsi="Times New Roman"/>
                <w:sz w:val="15"/>
              </w:rPr>
              <w:t>Security and cost effect</w:t>
            </w:r>
          </w:p>
        </w:tc>
      </w:tr>
      <w:tr>
        <w:tc>
          <w:tcPr>
            <w:tcW w:type="dxa" w:w="1037"/>
          </w:tcPr>
          <w:p>
            <w:pPr>
              <w:spacing w:after="20"/>
            </w:pPr>
            <w:r>
              <w:rPr>
                <w:rFonts w:ascii="Times New Roman" w:hAnsi="Times New Roman"/>
                <w:sz w:val="15"/>
              </w:rPr>
              <w:t>Failures</w:t>
            </w:r>
          </w:p>
        </w:tc>
        <w:tc>
          <w:tcPr>
            <w:tcW w:type="dxa" w:w="2232"/>
          </w:tcPr>
          <w:p>
            <w:pPr>
              <w:spacing w:after="20"/>
            </w:pPr>
            <w:r>
              <w:rPr>
                <w:rFonts w:ascii="Times New Roman" w:hAnsi="Times New Roman"/>
                <w:sz w:val="15"/>
              </w:rPr>
              <w:t>Restart services; inject delay; vary formats/sizes</w:t>
            </w:r>
          </w:p>
        </w:tc>
        <w:tc>
          <w:tcPr>
            <w:tcW w:type="dxa" w:w="1699"/>
          </w:tcPr>
          <w:p>
            <w:pPr>
              <w:spacing w:after="20"/>
            </w:pPr>
            <w:r>
              <w:rPr>
                <w:rFonts w:ascii="Times New Roman" w:hAnsi="Times New Roman"/>
                <w:sz w:val="15"/>
              </w:rPr>
              <w:t>Failure modes and recovery</w:t>
            </w:r>
          </w:p>
        </w:tc>
      </w:tr>
      <w:tr>
        <w:tc>
          <w:tcPr>
            <w:tcW w:type="dxa" w:w="1037"/>
          </w:tcPr>
          <w:p>
            <w:pPr>
              <w:spacing w:after="20"/>
            </w:pPr>
            <w:r>
              <w:rPr>
                <w:rFonts w:ascii="Times New Roman" w:hAnsi="Times New Roman"/>
                <w:sz w:val="15"/>
              </w:rPr>
              <w:t>Privacy</w:t>
            </w:r>
          </w:p>
        </w:tc>
        <w:tc>
          <w:tcPr>
            <w:tcW w:type="dxa" w:w="2232"/>
          </w:tcPr>
          <w:p>
            <w:pPr>
              <w:spacing w:after="20"/>
            </w:pPr>
            <w:r>
              <w:rPr>
                <w:rFonts w:ascii="Times New Roman" w:hAnsi="Times New Roman"/>
                <w:sz w:val="15"/>
              </w:rPr>
              <w:t>Inventory fields and test linkage/inference</w:t>
            </w:r>
          </w:p>
        </w:tc>
        <w:tc>
          <w:tcPr>
            <w:tcW w:type="dxa" w:w="1699"/>
          </w:tcPr>
          <w:p>
            <w:pPr>
              <w:spacing w:after="20"/>
            </w:pPr>
            <w:r>
              <w:rPr>
                <w:rFonts w:ascii="Times New Roman" w:hAnsi="Times New Roman"/>
                <w:sz w:val="15"/>
              </w:rPr>
              <w:t>Threat-specific leakage</w:t>
            </w:r>
          </w:p>
        </w:tc>
      </w:tr>
      <w:tr>
        <w:tc>
          <w:tcPr>
            <w:tcW w:type="dxa" w:w="1037"/>
          </w:tcPr>
          <w:p>
            <w:pPr>
              <w:spacing w:after="20"/>
            </w:pPr>
            <w:r>
              <w:rPr>
                <w:rFonts w:ascii="Times New Roman" w:hAnsi="Times New Roman"/>
                <w:sz w:val="15"/>
              </w:rPr>
              <w:t>Reproducibility</w:t>
            </w:r>
          </w:p>
        </w:tc>
        <w:tc>
          <w:tcPr>
            <w:tcW w:type="dxa" w:w="2232"/>
          </w:tcPr>
          <w:p>
            <w:pPr>
              <w:spacing w:after="20"/>
            </w:pPr>
            <w:r>
              <w:rPr>
                <w:rFonts w:ascii="Times New Roman" w:hAnsi="Times New Roman"/>
                <w:sz w:val="15"/>
              </w:rPr>
              <w:t>Publish code/config/versions/raw CSV/scripts</w:t>
            </w:r>
          </w:p>
        </w:tc>
        <w:tc>
          <w:tcPr>
            <w:tcW w:type="dxa" w:w="1699"/>
          </w:tcPr>
          <w:p>
            <w:pPr>
              <w:spacing w:after="20"/>
            </w:pPr>
            <w:r>
              <w:rPr>
                <w:rFonts w:ascii="Times New Roman" w:hAnsi="Times New Roman"/>
                <w:sz w:val="15"/>
              </w:rPr>
              <w:t>Repository and setup steps</w:t>
            </w:r>
          </w:p>
        </w:tc>
      </w:tr>
    </w:tbl>
    <w:p/>
    <w:p>
      <w:pPr>
        <w:pStyle w:val="Heading2"/>
      </w:pPr>
      <w:r>
        <w:t>E. Limitations and validity threats</w:t>
      </w:r>
    </w:p>
    <w:p>
      <w:r>
        <w:t>This evaluation is based on an aggregate report, not source code, raw outputs, environment logs, or independent reruns of the application. One deployment and one suite run cannot establish statistical error rates or generalization; missing hardware, dependency, and Fabric endorsement details also limit reproducibility. The tests do not cover administrator compromise, organizational collusion, deletion or replay, key or nonce misuse, compromised clients, service recovery, or metadata inference. A ledger can make recorded events auditable, but cannot prove that source events were true. These properties remain untested.</w:t>
      </w:r>
    </w:p>
    <w:p>
      <w:pPr>
        <w:pStyle w:val="Heading1"/>
      </w:pPr>
      <w:r>
        <w:t>VII. CONCLUSION AND FUTURE WORK</w:t>
      </w:r>
    </w:p>
    <w:p>
      <w:r>
        <w:t>PrivCloud-Chain brings together a FastAPI dashboard, user authentication, AES-256-GCM encryption, SHA-256 fingerprints, MinIO ciphertext storage, and Hyperledger Fabric custody records. The supplied Verification Center report records 15 of 15 configured checks passing in one run lasting 38.658 s. A separate local benchmark measured cryptographic primitives, and a synthetic 60-event corpus is included for repeatable system tests. Neither artifact replaces application-level comparisons. The three proposed baselines and four ablations remain to be run against the actual source code, which was not available for this revision. Before making broader claims, the team should publish the implementation and configuration, document key management and ledger visibility, measure matched baselines under varied file sizes and concurrency, preserve raw repeated-trial data, and test failures, recovery, and metadata exposure. The present results support a bounded functional demonstration, not a conclusion about comparative security, privacy, or scalability.</w:t>
      </w:r>
    </w:p>
    <w:p>
      <w:pPr>
        <w:pStyle w:val="Heading1"/>
      </w:pPr>
      <w:r>
        <w:t>AUTHOR AND DATA AVAILABILITY STATEMENTS</w:t>
      </w:r>
    </w:p>
    <w:p>
      <w:r>
        <w:t>Author contributions (proposed; confirm with all authors): Parth Pusadkar—project conception, system architecture, and paper coordination; Atharv Sankulwar—verification plan, test-data preparation, and results collation; Abhinav Gunjal—related-work review, figures, and reproducibility documentation. All authors should review and approve the final manuscript. Funding: To be confirmed by the authors. Conflicts of interest: To be confirmed by the authors. Ethics and privacy: The attached synthetic corpus contains fictional records; authors must confirm the status of any other test artifacts. Data and code availability: The synthetic corpus, scripts, and supplied verification summary are included in this package. The project application source and public repository URL remain to be added.</w:t>
      </w:r>
    </w:p>
    <w:p>
      <w:pPr>
        <w:pStyle w:val="Heading1"/>
      </w:pPr>
      <w:r>
        <w:t>REFERENCES</w:t>
      </w:r>
    </w:p>
    <w:p>
      <w:pPr>
        <w:spacing w:after="40"/>
        <w:ind w:left="173" w:hanging="173"/>
      </w:pPr>
      <w:r>
        <w:rPr>
          <w:rFonts w:ascii="Times New Roman" w:hAnsi="Times New Roman" w:eastAsia="Times New Roman"/>
          <w:b w:val="0"/>
          <w:i w:val="0"/>
          <w:sz w:val="14"/>
        </w:rPr>
        <w:t>[1] National Institute of Standards and Technology, “Chain of custody,” CSRC Glossary. [Online]. Available: https://csrc.nist.gov/glossary/term/chain_of_custody. Accessed: Oct. 29, 2026.</w:t>
      </w:r>
    </w:p>
    <w:p>
      <w:pPr>
        <w:spacing w:after="40"/>
        <w:ind w:left="173" w:hanging="173"/>
      </w:pPr>
      <w:r>
        <w:rPr>
          <w:rFonts w:ascii="Times New Roman" w:hAnsi="Times New Roman" w:eastAsia="Times New Roman"/>
          <w:b w:val="0"/>
          <w:i w:val="0"/>
          <w:sz w:val="14"/>
        </w:rPr>
        <w:t>[2] B. Guttman, D. R. White, and T. Walraven, Digital Evidence Preservation: Considerations for Evidence Handlers, NIST Interagency Rep. 8387, 2022, doi: 10.6028/NIST.IR.8387.</w:t>
      </w:r>
    </w:p>
    <w:p>
      <w:pPr>
        <w:spacing w:after="40"/>
        <w:ind w:left="173" w:hanging="173"/>
      </w:pPr>
      <w:r>
        <w:rPr>
          <w:rFonts w:ascii="Times New Roman" w:hAnsi="Times New Roman" w:eastAsia="Times New Roman"/>
          <w:b w:val="0"/>
          <w:i w:val="0"/>
          <w:sz w:val="14"/>
        </w:rPr>
        <w:t>[3] K. Ruan, J. Carthy, T. Kechadi, and M. Crosbie, “Cloud forensics,” in Advances in Digital Forensics VII, ser. IFIP Advances in Information and Communication Technology. Berlin, Germany: Springer, 2011, pp. 35–46, doi: 10.1007/978-3-642-24212-0_3.</w:t>
      </w:r>
    </w:p>
    <w:p>
      <w:pPr>
        <w:spacing w:after="40"/>
        <w:ind w:left="173" w:hanging="173"/>
      </w:pPr>
      <w:r>
        <w:rPr>
          <w:rFonts w:ascii="Times New Roman" w:hAnsi="Times New Roman" w:eastAsia="Times New Roman"/>
          <w:b w:val="0"/>
          <w:i w:val="0"/>
          <w:sz w:val="14"/>
        </w:rPr>
        <w:t>[4] S. Zawoad, A. K. Dutta, and R. Hasan, “SecLaaS: Secure logging-as-a-service for cloud forensics,” in Proc. 8th ACM SIGSAC Symp. Information, Computer and Communications Security, 2013, pp. 219–230, doi: 10.1145/2484313.2484342.</w:t>
      </w:r>
    </w:p>
    <w:p>
      <w:pPr>
        <w:spacing w:after="40"/>
        <w:ind w:left="173" w:hanging="173"/>
      </w:pPr>
      <w:r>
        <w:rPr>
          <w:rFonts w:ascii="Times New Roman" w:hAnsi="Times New Roman" w:eastAsia="Times New Roman"/>
          <w:b w:val="0"/>
          <w:i w:val="0"/>
          <w:sz w:val="14"/>
        </w:rPr>
        <w:t>[5] A. H. Lone and R. N. Mir, “Forensic-chain: Blockchain based digital forensics chain of custody with PoC in Hyperledger Composer,” Digital Investigation, vol. 28, pp. 44–55, 2019, doi: 10.1016/j.diin.2019.01.002.</w:t>
      </w:r>
    </w:p>
    <w:p>
      <w:pPr>
        <w:spacing w:after="40"/>
        <w:ind w:left="173" w:hanging="173"/>
      </w:pPr>
      <w:r>
        <w:rPr>
          <w:rFonts w:ascii="Times New Roman" w:hAnsi="Times New Roman" w:eastAsia="Times New Roman"/>
          <w:b w:val="0"/>
          <w:i w:val="0"/>
          <w:sz w:val="14"/>
        </w:rPr>
        <w:t>[6] S. Bonomi, M. Casini, and C. Ciccotelli, “B-CoC: A blockchain-based chain of custody for evidences management in digital forensics,” in Proc. 1st Workshop on Blockchain and Cryptocurrency (Tokenomics 2018), 2019, Art. no. 12, doi: 10.4230/OASIcs.Tokenomics.2019.12.</w:t>
      </w:r>
    </w:p>
    <w:p>
      <w:pPr>
        <w:spacing w:after="40"/>
        <w:ind w:left="173" w:hanging="173"/>
      </w:pPr>
      <w:r>
        <w:rPr>
          <w:rFonts w:ascii="Times New Roman" w:hAnsi="Times New Roman" w:eastAsia="Times New Roman"/>
          <w:b w:val="0"/>
          <w:i w:val="0"/>
          <w:sz w:val="14"/>
        </w:rPr>
        <w:t>[7] K. Awuson-David, T. Al-Hadhrami, M. Alazab, N. Shah, and A. Shalaginov, “BCFL logging: An approach to acquire and preserve admissible digital forensics evidence in cloud ecosystem,” Future Generation Computer Systems, vol. 122, pp. 1–13, 2021, doi: 10.1016/j.future.2021.03.001.</w:t>
      </w:r>
    </w:p>
    <w:p>
      <w:pPr>
        <w:spacing w:after="40"/>
        <w:ind w:left="173" w:hanging="173"/>
      </w:pPr>
      <w:r>
        <w:rPr>
          <w:rFonts w:ascii="Times New Roman" w:hAnsi="Times New Roman" w:eastAsia="Times New Roman"/>
          <w:b w:val="0"/>
          <w:i w:val="0"/>
          <w:sz w:val="14"/>
        </w:rPr>
        <w:t>[8] Hyperledger Foundation, “The ordering service,” Hyperledger Fabric Documentation. [Online]. Available: https://hyperledger-fabric.readthedocs.io/. Accessed: Oct. 29, 2026.</w:t>
      </w:r>
    </w:p>
    <w:p>
      <w:pPr>
        <w:spacing w:after="40"/>
        <w:ind w:left="173" w:hanging="173"/>
      </w:pPr>
      <w:r>
        <w:rPr>
          <w:rFonts w:ascii="Times New Roman" w:hAnsi="Times New Roman" w:eastAsia="Times New Roman"/>
          <w:b w:val="0"/>
          <w:i w:val="0"/>
          <w:sz w:val="14"/>
        </w:rPr>
        <w:t>[9] National Institute of Standards and Technology, Secure Hash Standard (SHS), FIPS PUB 180-4, Aug. 2015, doi: 10.6028/NIST.FIPS.180-4.</w:t>
      </w:r>
    </w:p>
    <w:p>
      <w:pPr>
        <w:spacing w:after="40"/>
        <w:ind w:left="173" w:hanging="173"/>
      </w:pPr>
      <w:r>
        <w:rPr>
          <w:rFonts w:ascii="Times New Roman" w:hAnsi="Times New Roman" w:eastAsia="Times New Roman"/>
          <w:b w:val="0"/>
          <w:i w:val="0"/>
          <w:sz w:val="14"/>
        </w:rPr>
        <w:t>[10] M. Dworkin, Recommendation for Block Cipher Modes of Operation: Galois/Counter Mode (GCM) and GMAC, NIST SP 800-38D, Nov. 2007, doi: 10.6028/NIST.SP.800-38D.</w:t>
      </w:r>
    </w:p>
    <w:sectPr w:rsidR="00FC693F" w:rsidRPr="0006063C" w:rsidSect="00034616">
      <w:type w:val="continuous"/>
      <w:pgSz w:w="12240" w:h="15840"/>
      <w:pgMar w:top="936" w:right="720" w:bottom="576" w:left="72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Times New Roman" w:hAnsi="Times New Roman" w:eastAsia="Times New Roman"/>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PrivCloud-Chain IEEE Research Paper Draft</dc:title>
  <dc:subject>Blockchain-integrated privacy-preserving cloud forensics</dc:subject>
  <dc:creator>Parth Pusadkar; Atharv Sankulwar; Abhinav Gunjal</dc:creator>
  <cp:keywords/>
  <dc:description>generated by python-docx</dc:description>
  <cp:lastModifiedBy/>
  <cp:revision>1</cp:revision>
  <dcterms:created xsi:type="dcterms:W3CDTF">2013-12-23T23:15:00Z</dcterms:created>
  <dcterms:modified xsi:type="dcterms:W3CDTF">2013-12-23T23:15:00Z</dcterms:modified>
  <cp:category/>
</cp:coreProperties>
</file>