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r>
          <m:rPr>
            <m:sty m:val="p"/>
            <m:scr m:val="script"/>
          </m:rPr>
          <m:t>B</m:t>
        </m:r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The first issue with modularity maximization is the the modularity function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has many local optima, with similar values of</w:t>
      </w:r>
      <w:r>
        <w:t xml:space="preserve"> </w:t>
      </w:r>
      <m:oMath>
        <m:r>
          <m:t>Q</m:t>
        </m:r>
      </m:oMath>
      <w:r>
        <w:t xml:space="preserve">, but which correspond to</w:t>
      </w:r>
      <w:r>
        <w:t xml:space="preserve"> </w:t>
      </w:r>
      <w:r>
        <w:t xml:space="preserve">qualitatively very different partitions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This was first reported in</w:t>
      </w:r>
      <w:r>
        <w:t xml:space="preserve"> </w:t>
      </w:r>
      <w:r>
        <w:t xml:space="preserve">Good, de Montjoye, and Clauset (2010)</w:t>
      </w:r>
      <w:r>
        <w:t xml:space="preserve">,</w:t>
      </w:r>
      <w:r>
        <w:t xml:space="preserve"> </w:t>
      </w:r>
      <w:r>
        <w:t xml:space="preserve">who also show that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is highly dependent on the number of clusters and</w:t>
      </w:r>
      <w:r>
        <w:t xml:space="preserve"> </w:t>
      </w:r>
      <w:r>
        <w:t xml:space="preserve">the size of the network, and conclude—</w:t>
      </w:r>
      <w:r>
        <w:t xml:space="preserve">“</w:t>
      </w:r>
      <w:r>
        <w:t xml:space="preserve">[the] modules identified through</w:t>
      </w:r>
      <w:r>
        <w:t xml:space="preserve"> </w:t>
      </w:r>
      <w:r>
        <w:t xml:space="preserve">modularity maximization should be treated with caution in all but the</w:t>
      </w:r>
      <w:r>
        <w:t xml:space="preserve"> </w:t>
      </w:r>
      <w:r>
        <w:t xml:space="preserve">most straightforward cases</w:t>
      </w:r>
      <w:r>
        <w:t xml:space="preserve">”</w:t>
      </w:r>
      <w:r>
        <w:t xml:space="preserve"> </w:t>
      </w:r>
      <w:r>
        <w:t xml:space="preserve">(Good, de Montjoye, and Clauset 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modularity-maximization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7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5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blocks"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</w:t>
            </w:r>
            <w:r>
              <w:t xml:space="preserve"> </w:t>
            </w:r>
            <w:r>
              <w:t xml:space="preserve">“</w:t>
            </w: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The mixing matrix</w:t>
            </w:r>
            <w:r>
              <w:t xml:space="preserve"> </w:t>
            </w:r>
            <m:oMath>
              <m:r>
                <m:rPr>
                  <m:sty m:val="b"/>
                </m:rPr>
                <m:t>M</m:t>
              </m:r>
            </m:oMath>
            <w:r>
              <w:t xml:space="preserve"> </w:t>
            </w:r>
            <w:r>
              <w:t xml:space="preserve">for different SBMs that account for different types of community structure.</w:t>
            </w:r>
            <w:r>
              <w:t xml:space="preserve">”</w:t>
            </w:r>
          </w:p>
          <w:bookmarkEnd w:id="34"/>
        </w:tc>
      </w:tr>
    </w:tbl>
    <w:bookmarkEnd w:id="35"/>
    <w:bookmarkStart w:id="36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</w:p>
    <w:p>
      <w:pPr>
        <w:pStyle w:val="BodyText"/>
      </w:pPr>
      <w:r>
        <w:t xml:space="preserve">Nested SBMs</w:t>
      </w:r>
      <w:r>
        <w:t xml:space="preserve"> </w:t>
      </w:r>
      <w:r>
        <w:t xml:space="preserve">(Peixoto 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 circumvent the issue of resolution limits from modularity maximization.</w:t>
      </w:r>
    </w:p>
    <w:p>
      <w:pPr>
        <w:pStyle w:val="BodyText"/>
      </w:pPr>
      <w:r>
        <w:t xml:space="preserve">Modern work on SBMs typically focuses on variants of the</w:t>
      </w:r>
      <w:r>
        <w:t xml:space="preserve"> </w:t>
      </w:r>
      <w:r>
        <w:rPr>
          <w:iCs/>
          <w:i/>
        </w:rPr>
        <w:t xml:space="preserve">microcanonical version</w:t>
      </w:r>
      <w:r>
        <w:t xml:space="preserve"> </w:t>
      </w:r>
      <w:r>
        <w:t xml:space="preserve">of both the DC-SBM and NSBM</w:t>
      </w:r>
      <w:r>
        <w:t xml:space="preserve"> </w:t>
      </w:r>
      <w:r>
        <w:t xml:space="preserve">(Peixoto 2017)</w:t>
      </w:r>
      <w:r>
        <w:t xml:space="preserve">. Here</w:t>
      </w:r>
      <w:r>
        <w:t xml:space="preserve"> </w:t>
      </w:r>
      <w:r>
        <w:rPr>
          <w:iCs/>
          <w:i/>
        </w:rPr>
        <w:t xml:space="preserve">microcanonical</w:t>
      </w:r>
      <w:r>
        <w:t xml:space="preserve"> </w:t>
      </w:r>
      <w:r>
        <w:t xml:space="preserve">is terminology being adopted from statistical mechanics, which in practice means these models are defined for a fixed degree sequence (number of edges per nodes). For a thorough recent-ish review of block modeling, see</w:t>
      </w:r>
      <w:r>
        <w:t xml:space="preserve"> </w:t>
      </w:r>
      <w:r>
        <w:t xml:space="preserve">Lee and Wilkinson (2019)</w:t>
      </w:r>
      <w:r>
        <w:t xml:space="preserve">.</w:t>
      </w:r>
    </w:p>
    <w:p>
      <w:pPr>
        <w:pStyle w:val="BodyText"/>
      </w:pP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likelihood,</w:t>
      </w:r>
      <w:r>
        <w:t xml:space="preserve"> </w:t>
      </w:r>
      <w:r>
        <w:t xml:space="preserve">improving performance for detecting communities in bipartite networks over DC-SBM.</w:t>
      </w:r>
    </w:p>
    <w:bookmarkEnd w:id="36"/>
    <w:bookmarkEnd w:id="37"/>
    <w:bookmarkStart w:id="3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8"/>
    <w:bookmarkStart w:id="79" w:name="references"/>
    <w:p>
      <w:pPr>
        <w:pStyle w:val="Heading2"/>
      </w:pPr>
      <w:r>
        <w:t xml:space="preserve">References</w:t>
      </w:r>
    </w:p>
    <w:bookmarkStart w:id="78" w:name="refs"/>
    <w:bookmarkStart w:id="40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39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0"/>
    <w:bookmarkStart w:id="42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1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2"/>
    <w:bookmarkStart w:id="43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3"/>
    <w:bookmarkStart w:id="45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4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5"/>
    <w:bookmarkStart w:id="47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6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7"/>
    <w:bookmarkStart w:id="49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48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49"/>
    <w:bookmarkStart w:id="51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0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1"/>
    <w:bookmarkStart w:id="53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2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3"/>
    <w:bookmarkStart w:id="55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4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5"/>
    <w:bookmarkStart w:id="57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56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57"/>
    <w:bookmarkStart w:id="59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58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59"/>
    <w:bookmarkStart w:id="61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0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1"/>
    <w:bookmarkStart w:id="63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2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3"/>
    <w:bookmarkStart w:id="65" w:name="ref-Lee2019RevSto"/>
    <w:p>
      <w:pPr>
        <w:pStyle w:val="Bibliography"/>
      </w:pPr>
      <w:r>
        <w:t xml:space="preserve">Lee, Clement, and Darren J. Wilkinson. 2019.</w:t>
      </w:r>
      <w:r>
        <w:t xml:space="preserve"> </w:t>
      </w:r>
      <w:r>
        <w:t xml:space="preserve">“A Review of Stochastic Block Models and Extensions for Graph Clustering.”</w:t>
      </w:r>
      <w:r>
        <w:t xml:space="preserve"> </w:t>
      </w:r>
      <w:r>
        <w:rPr>
          <w:iCs/>
          <w:i/>
        </w:rPr>
        <w:t xml:space="preserve">Applied Network Science</w:t>
      </w:r>
      <w:r>
        <w:t xml:space="preserve"> </w:t>
      </w:r>
      <w:r>
        <w:t xml:space="preserve">4 (1): 1–50.</w:t>
      </w:r>
      <w:r>
        <w:t xml:space="preserve"> </w:t>
      </w:r>
      <w:hyperlink r:id="rId64">
        <w:r>
          <w:rPr>
            <w:rStyle w:val="Hyperlink"/>
          </w:rPr>
          <w:t xml:space="preserve">https://doi.org/10.1007/s41109-019-0232-2</w:t>
        </w:r>
      </w:hyperlink>
      <w:r>
        <w:t xml:space="preserve">.</w:t>
      </w:r>
    </w:p>
    <w:bookmarkEnd w:id="65"/>
    <w:bookmarkStart w:id="67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66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67"/>
    <w:bookmarkStart w:id="69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68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69"/>
    <w:bookmarkStart w:id="71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0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1"/>
    <w:bookmarkStart w:id="73" w:name="ref-Peixoto2017NonBay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“Nonparametric</w:t>
      </w:r>
      <w:r>
        <w:t xml:space="preserve"> </w:t>
      </w:r>
      <w:r>
        <w:t xml:space="preserve">Bayesian</w:t>
      </w:r>
      <w:r>
        <w:t xml:space="preserve"> </w:t>
      </w:r>
      <w:r>
        <w:t xml:space="preserve">Inference of the Microcanonical Stochastic Block Model.”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95 (1): 012317.</w:t>
      </w:r>
      <w:r>
        <w:t xml:space="preserve"> </w:t>
      </w:r>
      <w:hyperlink r:id="rId72">
        <w:r>
          <w:rPr>
            <w:rStyle w:val="Hyperlink"/>
          </w:rPr>
          <w:t xml:space="preserve">https://doi.org/10.1103/PhysRevE.95.012317</w:t>
        </w:r>
      </w:hyperlink>
      <w:r>
        <w:t xml:space="preserve">.</w:t>
      </w:r>
    </w:p>
    <w:bookmarkEnd w:id="73"/>
    <w:bookmarkStart w:id="75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4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5"/>
    <w:bookmarkStart w:id="77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76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1" Target="https://doi.org/10.1007/PL00012580" TargetMode="External" /><Relationship Type="http://schemas.openxmlformats.org/officeDocument/2006/relationships/hyperlink" Id="rId64" Target="https://doi.org/10.1007/s41109-019-0232-2" TargetMode="External" /><Relationship Type="http://schemas.openxmlformats.org/officeDocument/2006/relationships/hyperlink" Id="rId58" Target="https://doi.org/10.1016/0378-8733(83)90021-7" TargetMode="External" /><Relationship Type="http://schemas.openxmlformats.org/officeDocument/2006/relationships/hyperlink" Id="rId74" Target="https://doi.org/10.1017/9781009118897" TargetMode="External" /><Relationship Type="http://schemas.openxmlformats.org/officeDocument/2006/relationships/hyperlink" Id="rId54" Target="https://doi.org/10.1038/nature03288" TargetMode="External" /><Relationship Type="http://schemas.openxmlformats.org/officeDocument/2006/relationships/hyperlink" Id="rId50" Target="https://doi.org/10.1073/pnas.0605965104" TargetMode="External" /><Relationship Type="http://schemas.openxmlformats.org/officeDocument/2006/relationships/hyperlink" Id="rId39" Target="https://doi.org/10.1088/1742-5468/2008/10/P10008" TargetMode="External" /><Relationship Type="http://schemas.openxmlformats.org/officeDocument/2006/relationships/hyperlink" Id="rId76" Target="https://doi.org/10.1103/PhysRevE.102.032309" TargetMode="External" /><Relationship Type="http://schemas.openxmlformats.org/officeDocument/2006/relationships/hyperlink" Id="rId66" Target="https://doi.org/10.1103/PhysRevE.69.026113" TargetMode="External" /><Relationship Type="http://schemas.openxmlformats.org/officeDocument/2006/relationships/hyperlink" Id="rId44" Target="https://doi.org/10.1103/PhysRevE.70.066111" TargetMode="External" /><Relationship Type="http://schemas.openxmlformats.org/officeDocument/2006/relationships/hyperlink" Id="rId52" Target="https://doi.org/10.1103/PhysRevE.81.046106" TargetMode="External" /><Relationship Type="http://schemas.openxmlformats.org/officeDocument/2006/relationships/hyperlink" Id="rId60" Target="https://doi.org/10.1103/PhysRevE.83.016107" TargetMode="External" /><Relationship Type="http://schemas.openxmlformats.org/officeDocument/2006/relationships/hyperlink" Id="rId62" Target="https://doi.org/10.1103/PhysRevE.84.066122" TargetMode="External" /><Relationship Type="http://schemas.openxmlformats.org/officeDocument/2006/relationships/hyperlink" Id="rId72" Target="https://doi.org/10.1103/PhysRevE.95.012317" TargetMode="External" /><Relationship Type="http://schemas.openxmlformats.org/officeDocument/2006/relationships/hyperlink" Id="rId56" Target="https://doi.org/10.1103/PhysRevLett.100.258701" TargetMode="External" /><Relationship Type="http://schemas.openxmlformats.org/officeDocument/2006/relationships/hyperlink" Id="rId70" Target="https://doi.org/10.1103/PhysRevX.4.011047" TargetMode="External" /><Relationship Type="http://schemas.openxmlformats.org/officeDocument/2006/relationships/hyperlink" Id="rId48" Target="https://doi.org/10.1111/2041-210X.12139" TargetMode="External" /><Relationship Type="http://schemas.openxmlformats.org/officeDocument/2006/relationships/hyperlink" Id="rId46" Target="https://doi.org/10.1111/brv.12433" TargetMode="External" /><Relationship Type="http://schemas.openxmlformats.org/officeDocument/2006/relationships/hyperlink" Id="rId68" Target="https://doi.org/10.1111/jbi.137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7/PL00012580" TargetMode="External" /><Relationship Type="http://schemas.openxmlformats.org/officeDocument/2006/relationships/hyperlink" Id="rId64" Target="https://doi.org/10.1007/s41109-019-0232-2" TargetMode="External" /><Relationship Type="http://schemas.openxmlformats.org/officeDocument/2006/relationships/hyperlink" Id="rId58" Target="https://doi.org/10.1016/0378-8733(83)90021-7" TargetMode="External" /><Relationship Type="http://schemas.openxmlformats.org/officeDocument/2006/relationships/hyperlink" Id="rId74" Target="https://doi.org/10.1017/9781009118897" TargetMode="External" /><Relationship Type="http://schemas.openxmlformats.org/officeDocument/2006/relationships/hyperlink" Id="rId54" Target="https://doi.org/10.1038/nature03288" TargetMode="External" /><Relationship Type="http://schemas.openxmlformats.org/officeDocument/2006/relationships/hyperlink" Id="rId50" Target="https://doi.org/10.1073/pnas.0605965104" TargetMode="External" /><Relationship Type="http://schemas.openxmlformats.org/officeDocument/2006/relationships/hyperlink" Id="rId39" Target="https://doi.org/10.1088/1742-5468/2008/10/P10008" TargetMode="External" /><Relationship Type="http://schemas.openxmlformats.org/officeDocument/2006/relationships/hyperlink" Id="rId76" Target="https://doi.org/10.1103/PhysRevE.102.032309" TargetMode="External" /><Relationship Type="http://schemas.openxmlformats.org/officeDocument/2006/relationships/hyperlink" Id="rId66" Target="https://doi.org/10.1103/PhysRevE.69.026113" TargetMode="External" /><Relationship Type="http://schemas.openxmlformats.org/officeDocument/2006/relationships/hyperlink" Id="rId44" Target="https://doi.org/10.1103/PhysRevE.70.066111" TargetMode="External" /><Relationship Type="http://schemas.openxmlformats.org/officeDocument/2006/relationships/hyperlink" Id="rId52" Target="https://doi.org/10.1103/PhysRevE.81.046106" TargetMode="External" /><Relationship Type="http://schemas.openxmlformats.org/officeDocument/2006/relationships/hyperlink" Id="rId60" Target="https://doi.org/10.1103/PhysRevE.83.016107" TargetMode="External" /><Relationship Type="http://schemas.openxmlformats.org/officeDocument/2006/relationships/hyperlink" Id="rId62" Target="https://doi.org/10.1103/PhysRevE.84.066122" TargetMode="External" /><Relationship Type="http://schemas.openxmlformats.org/officeDocument/2006/relationships/hyperlink" Id="rId72" Target="https://doi.org/10.1103/PhysRevE.95.012317" TargetMode="External" /><Relationship Type="http://schemas.openxmlformats.org/officeDocument/2006/relationships/hyperlink" Id="rId56" Target="https://doi.org/10.1103/PhysRevLett.100.258701" TargetMode="External" /><Relationship Type="http://schemas.openxmlformats.org/officeDocument/2006/relationships/hyperlink" Id="rId70" Target="https://doi.org/10.1103/PhysRevX.4.011047" TargetMode="External" /><Relationship Type="http://schemas.openxmlformats.org/officeDocument/2006/relationships/hyperlink" Id="rId48" Target="https://doi.org/10.1111/2041-210X.12139" TargetMode="External" /><Relationship Type="http://schemas.openxmlformats.org/officeDocument/2006/relationships/hyperlink" Id="rId46" Target="https://doi.org/10.1111/brv.12433" TargetMode="External" /><Relationship Type="http://schemas.openxmlformats.org/officeDocument/2006/relationships/hyperlink" Id="rId68" Target="https://doi.org/10.1111/jbi.137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2024-05-22T16:49:27Z</dcterms:created>
  <dcterms:modified xsi:type="dcterms:W3CDTF">2024-05-22T16:49:27Z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