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tblpXSpec="center" w:tblpY="1"/>
        <w:tblOverlap w:val="never"/>
        <w:tblW w:w="9072" w:type="dxa"/>
        <w:tblInd w:w="0" w:type="dxa"/>
        <w:tblLayout w:type="autofit"/>
        <w:tblCellMar>
          <w:top w:w="0" w:type="dxa"/>
          <w:left w:w="0" w:type="dxa"/>
          <w:bottom w:w="0" w:type="dxa"/>
          <w:right w:w="0" w:type="dxa"/>
        </w:tblCellMar>
      </w:tblPr>
      <w:tblGrid>
        <w:gridCol w:w="4349"/>
        <w:gridCol w:w="4723"/>
      </w:tblGrid>
      <w:tr w14:paraId="2E1F65A4">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14:paraId="52AE347D">
            <w:r>
              <w:rPr>
                <w:rFonts w:hint="eastAsia"/>
                <w:b/>
                <w:bCs/>
              </w:rPr>
              <w:t>收入类别</w:t>
            </w:r>
          </w:p>
        </w:tc>
        <w:tc>
          <w:tcPr>
            <w:tcW w:w="4462" w:type="dxa"/>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14:paraId="28CDC9A6">
            <w:r>
              <w:rPr>
                <w:rFonts w:hint="eastAsia"/>
                <w:b/>
                <w:bCs/>
              </w:rPr>
              <w:t>预算收入类别</w:t>
            </w:r>
          </w:p>
        </w:tc>
      </w:tr>
      <w:tr w14:paraId="57F37055">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8578F92">
            <w:r>
              <w:rPr>
                <w:rFonts w:hint="eastAsia"/>
              </w:rPr>
              <w:t>税收收入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EDDEA3F">
            <w:r>
              <w:rPr>
                <w:rFonts w:hint="eastAsia"/>
              </w:rPr>
              <w:t>一般公共预算收入</w:t>
            </w:r>
          </w:p>
        </w:tc>
      </w:tr>
      <w:tr w14:paraId="56E6D2B9">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CAAE205">
            <w:r>
              <w:rPr>
                <w:rFonts w:hint="eastAsia"/>
              </w:rPr>
              <w:t>非税收入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BC7C7AF">
            <w:r>
              <w:rPr>
                <w:rFonts w:hint="eastAsia"/>
              </w:rPr>
              <w:t>一般公共预算收入/政府性基金预算收入/国有资本经营预算收入</w:t>
            </w:r>
          </w:p>
        </w:tc>
      </w:tr>
      <w:tr w14:paraId="55F1DA00">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983635D">
            <w:r>
              <w:rPr>
                <w:rFonts w:hint="eastAsia"/>
              </w:rPr>
              <w:t>投资收益</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80641C5">
            <w:r>
              <w:rPr>
                <w:rFonts w:hint="eastAsia"/>
              </w:rPr>
              <w:t>一般公共预算收入/国有资本经营预算收入</w:t>
            </w:r>
          </w:p>
        </w:tc>
      </w:tr>
      <w:tr w14:paraId="6EE7559F">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20A778A">
            <w:r>
              <w:rPr>
                <w:rFonts w:hint="eastAsia"/>
              </w:rPr>
              <w:t>其他收入（不含从其他资金渠道调入一般公共预算或政府性基金预算的其他收入）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FD9BCEE">
            <w:r>
              <w:rPr>
                <w:rFonts w:hint="eastAsia"/>
              </w:rPr>
              <w:t>— —</w:t>
            </w:r>
          </w:p>
        </w:tc>
      </w:tr>
      <w:tr w14:paraId="0E99476C">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B094C2E">
            <w:r>
              <w:rPr>
                <w:rFonts w:hint="eastAsia"/>
              </w:rPr>
              <w:t>其中：从其他资金渠道调入一般公共预算或政府性基金预算的其他收入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42062E0">
            <w:r>
              <w:rPr>
                <w:rFonts w:hint="eastAsia"/>
              </w:rPr>
              <w:t>转移性预算收入</w:t>
            </w:r>
          </w:p>
        </w:tc>
      </w:tr>
      <w:tr w14:paraId="444888B3">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4E8C79D">
            <w:r>
              <w:rPr>
                <w:rFonts w:hint="eastAsia"/>
              </w:rPr>
              <w:t>财政专户管理资金收入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013CC0F">
            <w:r>
              <w:rPr>
                <w:rFonts w:hint="eastAsia"/>
              </w:rPr>
              <w:t>财政专户管理资金收入</w:t>
            </w:r>
          </w:p>
        </w:tc>
      </w:tr>
      <w:tr w14:paraId="3D7EC3F6">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B3BC15E">
            <w:r>
              <w:rPr>
                <w:rFonts w:hint="eastAsia"/>
              </w:rPr>
              <w:t>专用基金收入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A8FAC54">
            <w:r>
              <w:rPr>
                <w:rFonts w:hint="eastAsia"/>
              </w:rPr>
              <w:t>专用基金收入</w:t>
            </w:r>
          </w:p>
        </w:tc>
      </w:tr>
      <w:tr w14:paraId="08916AD7">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F77A169">
            <w:r>
              <w:rPr>
                <w:rFonts w:hint="eastAsia"/>
              </w:rPr>
              <w:t>转移性收入</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D36BCA3">
            <w:r>
              <w:rPr>
                <w:rFonts w:hint="eastAsia"/>
              </w:rPr>
              <w:t>转移性预算收入（其中：不同类型预算资金之间的调入预算收入不构成财务会计的收入）</w:t>
            </w:r>
          </w:p>
        </w:tc>
      </w:tr>
      <w:tr w14:paraId="1675CD08">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8AE3939">
            <w:r>
              <w:rPr>
                <w:rFonts w:hint="eastAsia"/>
              </w:rPr>
              <w:t>——</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A313E5B">
            <w:r>
              <w:rPr>
                <w:rFonts w:hint="eastAsia"/>
              </w:rPr>
              <w:t>动用预算稳定调节基金</w:t>
            </w:r>
          </w:p>
        </w:tc>
      </w:tr>
      <w:tr w14:paraId="26249AAE">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410E025">
            <w:r>
              <w:rPr>
                <w:rFonts w:hint="eastAsia"/>
              </w:rPr>
              <w:t>——</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2E4BD59">
            <w:r>
              <w:rPr>
                <w:rFonts w:hint="eastAsia"/>
              </w:rPr>
              <w:t>债务预算收入/债务转贷预算收入</w:t>
            </w:r>
          </w:p>
        </w:tc>
      </w:tr>
      <w:tr w14:paraId="39670288">
        <w:trPr>
          <w:trHeight w:val="340" w:hRule="atLeast"/>
        </w:trPr>
        <w:tc>
          <w:tcPr>
            <w:tcW w:w="4108"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FA8A292">
            <w:r>
              <w:rPr>
                <w:rFonts w:hint="eastAsia"/>
              </w:rPr>
              <w:t>——</w:t>
            </w:r>
          </w:p>
        </w:tc>
        <w:tc>
          <w:tcPr>
            <w:tcW w:w="4462"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0EE2C3E">
            <w:r>
              <w:rPr>
                <w:rFonts w:hint="eastAsia"/>
              </w:rPr>
              <w:t>待处理收入</w:t>
            </w:r>
          </w:p>
        </w:tc>
      </w:tr>
    </w:tbl>
    <w:p w14:paraId="2A1FE640"/>
    <w:tbl>
      <w:tblPr>
        <w:tblStyle w:val="4"/>
        <w:tblW w:w="9072" w:type="dxa"/>
        <w:jc w:val="center"/>
        <w:tblLayout w:type="autofit"/>
        <w:tblCellMar>
          <w:top w:w="0" w:type="dxa"/>
          <w:left w:w="0" w:type="dxa"/>
          <w:bottom w:w="0" w:type="dxa"/>
          <w:right w:w="0" w:type="dxa"/>
        </w:tblCellMar>
      </w:tblPr>
      <w:tblGrid>
        <w:gridCol w:w="3077"/>
        <w:gridCol w:w="5995"/>
      </w:tblGrid>
      <w:tr w14:paraId="68489793">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14:paraId="36174604">
            <w:r>
              <w:rPr>
                <w:rFonts w:hint="eastAsia"/>
                <w:b/>
                <w:bCs/>
              </w:rPr>
              <w:t>费用类别</w:t>
            </w:r>
          </w:p>
        </w:tc>
        <w:tc>
          <w:tcPr>
            <w:tcW w:w="5995" w:type="dxa"/>
            <w:tcBorders>
              <w:top w:val="single" w:color="000000" w:sz="8" w:space="0"/>
              <w:left w:val="single" w:color="000000" w:sz="8" w:space="0"/>
              <w:bottom w:val="single" w:color="000000" w:sz="8" w:space="0"/>
              <w:right w:val="single" w:color="000000" w:sz="8" w:space="0"/>
            </w:tcBorders>
            <w:shd w:val="clear" w:color="auto" w:fill="92D050"/>
            <w:tcMar>
              <w:top w:w="15" w:type="dxa"/>
              <w:left w:w="108" w:type="dxa"/>
              <w:bottom w:w="0" w:type="dxa"/>
              <w:right w:w="108" w:type="dxa"/>
            </w:tcMar>
          </w:tcPr>
          <w:p w14:paraId="3F3F6C58">
            <w:r>
              <w:rPr>
                <w:rFonts w:hint="eastAsia"/>
                <w:b/>
                <w:bCs/>
              </w:rPr>
              <w:t>预算支出类别</w:t>
            </w:r>
          </w:p>
        </w:tc>
      </w:tr>
      <w:tr w14:paraId="2DD1D40B">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B68E009">
            <w:r>
              <w:rPr>
                <w:rFonts w:hint="eastAsia"/>
              </w:rPr>
              <w:t>政府机关商品和服务拨款费用</w:t>
            </w:r>
          </w:p>
        </w:tc>
        <w:tc>
          <w:tcPr>
            <w:tcW w:w="5995"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176716B">
            <w:r>
              <w:rPr>
                <w:rFonts w:hint="eastAsia"/>
              </w:rPr>
              <w:t>一般公共预算支出/政府性基金预算支出/国有资本经营预算支出</w:t>
            </w:r>
          </w:p>
        </w:tc>
      </w:tr>
      <w:tr w14:paraId="5E9C28F8">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681EAE0">
            <w:r>
              <w:rPr>
                <w:rFonts w:hint="eastAsia"/>
              </w:rPr>
              <w:t>政府机关工资福利拨款费用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14D62697"/>
        </w:tc>
      </w:tr>
      <w:tr w14:paraId="6F45875F">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5DF82AE">
            <w:r>
              <w:rPr>
                <w:rFonts w:hint="eastAsia"/>
              </w:rPr>
              <w:t>对事业单位补助拨款费用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4B387E78"/>
        </w:tc>
      </w:tr>
      <w:tr w14:paraId="4BB2A9FC">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98FD212">
            <w:r>
              <w:rPr>
                <w:rFonts w:hint="eastAsia"/>
              </w:rPr>
              <w:t>对企业补助拨款费用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4DC2EF7B"/>
        </w:tc>
      </w:tr>
      <w:tr w14:paraId="3E3E0A66">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15FFD37">
            <w:r>
              <w:rPr>
                <w:rFonts w:hint="eastAsia"/>
              </w:rPr>
              <w:t>对个人和家庭补助拨款费用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1F944B8E"/>
        </w:tc>
      </w:tr>
      <w:tr w14:paraId="33C17CFD">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84722DB">
            <w:r>
              <w:rPr>
                <w:rFonts w:hint="eastAsia"/>
              </w:rPr>
              <w:t>对社会保障基金补助拨款费用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619AC830"/>
        </w:tc>
      </w:tr>
      <w:tr w14:paraId="7B434D20">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4403C7E">
            <w:r>
              <w:rPr>
                <w:rFonts w:hint="eastAsia"/>
              </w:rPr>
              <w:t>资本性拨款费用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6321F4D2"/>
        </w:tc>
      </w:tr>
      <w:tr w14:paraId="2AE2531F">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059AB96">
            <w:r>
              <w:rPr>
                <w:rFonts w:hint="eastAsia"/>
              </w:rPr>
              <w:t>其他拨款费用</w:t>
            </w:r>
          </w:p>
        </w:tc>
        <w:tc>
          <w:tcPr>
            <w:tcW w:w="5995" w:type="dxa"/>
            <w:vMerge w:val="continue"/>
            <w:tcBorders>
              <w:top w:val="single" w:color="000000" w:sz="8" w:space="0"/>
              <w:left w:val="single" w:color="000000" w:sz="8" w:space="0"/>
              <w:bottom w:val="single" w:color="000000" w:sz="8" w:space="0"/>
              <w:right w:val="single" w:color="000000" w:sz="8" w:space="0"/>
            </w:tcBorders>
            <w:vAlign w:val="center"/>
          </w:tcPr>
          <w:p w14:paraId="274587FA"/>
        </w:tc>
      </w:tr>
      <w:tr w14:paraId="44B6C0B8">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4FDC5BE">
            <w:r>
              <w:rPr>
                <w:rFonts w:hint="eastAsia"/>
              </w:rPr>
              <w:t>财务费用</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112794B">
            <w:r>
              <w:rPr>
                <w:rFonts w:hint="eastAsia"/>
              </w:rPr>
              <w:t>一般公共预算支出/政府性基金预算支出</w:t>
            </w:r>
          </w:p>
        </w:tc>
      </w:tr>
      <w:tr w14:paraId="4BCD452F">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E6F162F">
            <w:r>
              <w:rPr>
                <w:rFonts w:hint="eastAsia"/>
              </w:rPr>
              <w:t>转移性费用</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97A5EE6">
            <w:r>
              <w:rPr>
                <w:rFonts w:hint="eastAsia"/>
              </w:rPr>
              <w:t>转移性预算支出（其中，调出预算资金不构成财务会计上的费用）</w:t>
            </w:r>
          </w:p>
        </w:tc>
      </w:tr>
      <w:tr w14:paraId="16EB4E70">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A07BBA8">
            <w:r>
              <w:rPr>
                <w:rFonts w:hint="eastAsia"/>
              </w:rPr>
              <w:t>其他费用</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CAC5632">
            <w:r>
              <w:rPr>
                <w:rFonts w:hint="eastAsia"/>
              </w:rPr>
              <w:t>——</w:t>
            </w:r>
          </w:p>
        </w:tc>
      </w:tr>
      <w:tr w14:paraId="0DBE0A28">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6AD948A">
            <w:r>
              <w:rPr>
                <w:rFonts w:hint="eastAsia"/>
              </w:rPr>
              <w:t>财政专户管理资金支出</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12163CD">
            <w:r>
              <w:rPr>
                <w:rFonts w:hint="eastAsia"/>
              </w:rPr>
              <w:t>财政专户管理资金支出</w:t>
            </w:r>
          </w:p>
        </w:tc>
      </w:tr>
      <w:tr w14:paraId="29AD5A98">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5316C582">
            <w:r>
              <w:rPr>
                <w:rFonts w:hint="eastAsia"/>
              </w:rPr>
              <w:t>专用基金支出</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1C6749E">
            <w:r>
              <w:rPr>
                <w:rFonts w:hint="eastAsia"/>
              </w:rPr>
              <w:t>专用基金支出</w:t>
            </w:r>
          </w:p>
        </w:tc>
      </w:tr>
      <w:tr w14:paraId="4BD5954F">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185A829">
            <w:r>
              <w:rPr>
                <w:rFonts w:hint="eastAsia"/>
              </w:rPr>
              <w:t>——</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7CA97A2">
            <w:r>
              <w:rPr>
                <w:rFonts w:hint="eastAsia"/>
              </w:rPr>
              <w:t>债务转贷预算支出</w:t>
            </w:r>
          </w:p>
        </w:tc>
      </w:tr>
      <w:tr w14:paraId="18347222">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8D99D55">
            <w:r>
              <w:rPr>
                <w:rFonts w:hint="eastAsia"/>
              </w:rPr>
              <w:t>——</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777E3BD">
            <w:r>
              <w:rPr>
                <w:rFonts w:hint="eastAsia"/>
              </w:rPr>
              <w:t>债务还本预算支出</w:t>
            </w:r>
          </w:p>
        </w:tc>
      </w:tr>
      <w:tr w14:paraId="71D84A2B">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3AF469E">
            <w:r>
              <w:rPr>
                <w:rFonts w:hint="eastAsia"/>
              </w:rPr>
              <w:t>——</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1F3AEB3">
            <w:r>
              <w:rPr>
                <w:rFonts w:hint="eastAsia"/>
              </w:rPr>
              <w:t>安排预算稳定调节基金</w:t>
            </w:r>
          </w:p>
        </w:tc>
      </w:tr>
      <w:tr w14:paraId="4B3D920F">
        <w:trPr>
          <w:trHeight w:val="340" w:hRule="atLeast"/>
          <w:jc w:val="center"/>
        </w:trPr>
        <w:tc>
          <w:tcPr>
            <w:tcW w:w="3077"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4DB2E30">
            <w:r>
              <w:rPr>
                <w:rFonts w:hint="eastAsia"/>
              </w:rPr>
              <w:t>——</w:t>
            </w:r>
          </w:p>
        </w:tc>
        <w:tc>
          <w:tcPr>
            <w:tcW w:w="599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EE185BF">
            <w:r>
              <w:rPr>
                <w:rFonts w:hint="eastAsia"/>
              </w:rPr>
              <w:t>待处理支出</w:t>
            </w:r>
          </w:p>
        </w:tc>
      </w:tr>
    </w:tbl>
    <w:p w14:paraId="6F19E163"/>
    <w:p w14:paraId="75A2FA54">
      <w:pPr>
        <w:widowControl/>
        <w:jc w:val="left"/>
      </w:pPr>
      <w:r>
        <w:br w:type="page"/>
      </w:r>
    </w:p>
    <w:p w14:paraId="58A1752B">
      <w:pPr>
        <w:jc w:val="center"/>
        <w:rPr>
          <w:sz w:val="28"/>
          <w:szCs w:val="28"/>
        </w:rPr>
      </w:pPr>
      <w:r>
        <w:rPr>
          <w:rFonts w:hint="eastAsia"/>
          <w:sz w:val="28"/>
          <w:szCs w:val="28"/>
        </w:rPr>
        <w:t>收入与预算收入业务事项</w:t>
      </w:r>
    </w:p>
    <w:p w14:paraId="28C49363">
      <w:r>
        <w:rPr>
          <w:rFonts w:hint="eastAsia"/>
        </w:rPr>
        <w:t>1.某市财政收到中国人民银行国库报来的收入日报表，当日共收到税收收入315 000元。财政总会计编制会计分录如下：</w:t>
      </w:r>
    </w:p>
    <w:p w14:paraId="7F6DE27B">
      <w:r>
        <w:rPr>
          <w:rFonts w:hint="eastAsia"/>
        </w:rPr>
        <w:t>2.某市财政收到国库报来的收入日报表，当日共收到非税收入500 000元。其中，纳入一般公共预算管理的非税收入100 000元，纳入政府性基金预算管理的非税收入350 000元，纳入国有资本经营预算的非税收入50 000元。总会计编制会计分录如下：</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46449">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C85FAF2">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2C85FAF2">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84F"/>
    <w:rsid w:val="00030047"/>
    <w:rsid w:val="0009784F"/>
    <w:rsid w:val="001B65C9"/>
    <w:rsid w:val="001F111B"/>
    <w:rsid w:val="002928C7"/>
    <w:rsid w:val="00317F2A"/>
    <w:rsid w:val="003C68A3"/>
    <w:rsid w:val="004654BD"/>
    <w:rsid w:val="004D3753"/>
    <w:rsid w:val="004F4D48"/>
    <w:rsid w:val="00516700"/>
    <w:rsid w:val="00594F42"/>
    <w:rsid w:val="005D0F3E"/>
    <w:rsid w:val="00653058"/>
    <w:rsid w:val="006572D9"/>
    <w:rsid w:val="006E1A90"/>
    <w:rsid w:val="007B5E6A"/>
    <w:rsid w:val="00811D6E"/>
    <w:rsid w:val="00814CF2"/>
    <w:rsid w:val="008543B3"/>
    <w:rsid w:val="0089045C"/>
    <w:rsid w:val="008B4235"/>
    <w:rsid w:val="008D72EA"/>
    <w:rsid w:val="00945C78"/>
    <w:rsid w:val="009930A0"/>
    <w:rsid w:val="009B22BF"/>
    <w:rsid w:val="00B715B4"/>
    <w:rsid w:val="00B90C7A"/>
    <w:rsid w:val="00B9391F"/>
    <w:rsid w:val="00BB7C9D"/>
    <w:rsid w:val="00BC3E6E"/>
    <w:rsid w:val="00BF10E4"/>
    <w:rsid w:val="00CD1225"/>
    <w:rsid w:val="00DB3DBC"/>
    <w:rsid w:val="00E935B6"/>
    <w:rsid w:val="00F11A96"/>
    <w:rsid w:val="00F151E9"/>
    <w:rsid w:val="00F50A6A"/>
    <w:rsid w:val="00F823F9"/>
    <w:rsid w:val="00F921D2"/>
    <w:rsid w:val="00FD530D"/>
    <w:rsid w:val="EAF1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1452</Words>
  <Characters>8281</Characters>
  <Lines>69</Lines>
  <Paragraphs>19</Paragraphs>
  <TotalTime>375</TotalTime>
  <ScaleCrop>false</ScaleCrop>
  <LinksUpToDate>false</LinksUpToDate>
  <CharactersWithSpaces>9714</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2024-11-02T12:24:00Z</dcterms:created>
  <dc:creator>xb21cn</dc:creator>
  <cp:lastModifiedBy>Young GuN</cp:lastModifiedBy>
  <dcterms:modified xsi:type="dcterms:W3CDTF">2025-09-26T17:38:17Z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1DE4E4EA637C9888095FD668915C598B_42</vt:lpwstr>
  </property>
</Properties>
</file>