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B2A4A"/>
          <w:sz w:val="72"/>
          <w:szCs w:val="72"/>
        </w:rPr>
        <w:t xml:space="preserve">TARI9</w:t>
      </w:r>
    </w:p>
    <w:p>
      <w:pPr>
        <w:pBdr>
          <w:bottom w:val="single" w:color="B08D3F" w:sz="12" w:space="8"/>
        </w:pBdr>
        <w:spacing w:after="40" w:before="120"/>
        <w:jc w:val="center"/>
      </w:pPr>
      <w:r>
        <w:rPr>
          <w:b/>
          <w:bCs/>
          <w:color w:val="B08D3F"/>
          <w:spacing w:val="20"/>
          <w:sz w:val="26"/>
          <w:szCs w:val="26"/>
        </w:rPr>
        <w:t xml:space="preserve">ROADSIDE &amp; VEHICLE ASSISTANCE PLATFORM</w:t>
      </w:r>
    </w:p>
    <w:p>
      <w:pPr>
        <w:spacing w:before="500"/>
        <w:jc w:val="center"/>
      </w:pPr>
      <w:r>
        <w:rPr>
          <w:color w:val="444444"/>
          <w:sz w:val="26"/>
          <w:szCs w:val="26"/>
        </w:rPr>
        <w:t xml:space="preserve">Product &amp; Technical Documentation</w:t>
      </w:r>
    </w:p>
    <w:p>
      <w:pPr>
        <w:spacing w:before="80"/>
        <w:jc w:val="center"/>
      </w:pPr>
      <w:r>
        <w:rPr>
          <w:i/>
          <w:iCs/>
          <w:color w:val="444444"/>
          <w:sz w:val="20"/>
          <w:szCs w:val="20"/>
        </w:rPr>
        <w:t xml:space="preserve">Prepared for an Algeria – Saudi Arabia partnership review</w:t>
      </w:r>
    </w:p>
    <w:p>
      <w:pPr>
        <w:spacing w:before="700"/>
        <w:jc w:val="center"/>
      </w:pPr>
      <w:r>
        <w:rPr>
          <w:color w:val="444444"/>
          <w:sz w:val="19"/>
          <w:szCs w:val="19"/>
        </w:rPr>
        <w:t xml:space="preserve">Ministry-labeled “Innovative Startup” (Algeria)  —  Winner, Best Tourism Startup, SITEV 2023 (Wilaya of Tarf)</w:t>
      </w:r>
    </w:p>
    <w:p>
      <w:pPr>
        <w:spacing w:before="900"/>
        <w:jc w:val="center"/>
      </w:pPr>
      <w:r>
        <w:rPr>
          <w:color w:val="888888"/>
          <w:sz w:val="19"/>
          <w:szCs w:val="19"/>
        </w:rPr>
        <w:t xml:space="preserve">September 2026</w:t>
      </w:r>
    </w:p>
    <w:p>
      <w:r>
        <w:br w:type="page"/>
      </w:r>
    </w:p>
    <w:p>
      <w:pPr>
        <w:pStyle w:val="Heading1"/>
        <w:pBdr>
          <w:bottom w:val="single" w:color="B08D3F" w:sz="6" w:space="4"/>
        </w:pBdr>
        <w:spacing w:after="160" w:before="360"/>
      </w:pPr>
      <w:r>
        <w:rPr>
          <w:b/>
          <w:bCs/>
          <w:color w:val="1B2A4A"/>
          <w:sz w:val="30"/>
          <w:szCs w:val="30"/>
        </w:rPr>
        <w:t xml:space="preserve">1. Executive Summary</w:t>
      </w:r>
    </w:p>
    <w:p>
      <w:pPr>
        <w:spacing w:after="140" w:line="276"/>
      </w:pPr>
      <w:r>
        <w:rPr>
          <w:b w:val="false"/>
          <w:bCs w:val="false"/>
          <w:i w:val="false"/>
          <w:iCs w:val="false"/>
          <w:color w:val="444444"/>
          <w:sz w:val="21"/>
          <w:szCs w:val="21"/>
        </w:rPr>
        <w:t xml:space="preserve">Tari9 is a mobile roadside-and-vehicle-assistance platform, originally built and launched in Algeria as a native Android (Java) application, now being rebuilt as a cross-platform React Native app. A client experiencing a breakdown, needing a tow, a taxi, fuel delivered, or emergency transport opens the app, picks a service, and is matched with the nearest available provider in real time.</w:t>
      </w:r>
    </w:p>
    <w:p>
      <w:pPr>
        <w:spacing w:after="140" w:line="276"/>
      </w:pPr>
      <w:r>
        <w:rPr>
          <w:b w:val="false"/>
          <w:bCs w:val="false"/>
          <w:i w:val="false"/>
          <w:iCs w:val="false"/>
          <w:color w:val="444444"/>
          <w:sz w:val="21"/>
          <w:szCs w:val="21"/>
        </w:rPr>
        <w:t xml:space="preserve">This document describes, in plain terms: the idea and the market it targets, the services the app currently offers, what has actually been built and works today, and — just as importantly — what is still missing before the platform is ready to operate commercially in a new market such as Saudi Arabia. The intent is to give an accurate, unembellished picture for partnership and investment discussions, not a marketing summary.</w:t>
      </w:r>
    </w:p>
    <w:p>
      <w:pPr>
        <w:pStyle w:val="Heading1"/>
        <w:pBdr>
          <w:bottom w:val="single" w:color="B08D3F" w:sz="6" w:space="4"/>
        </w:pBdr>
        <w:spacing w:after="160" w:before="360"/>
      </w:pPr>
      <w:r>
        <w:rPr>
          <w:b/>
          <w:bCs/>
          <w:color w:val="1B2A4A"/>
          <w:sz w:val="30"/>
          <w:szCs w:val="30"/>
        </w:rPr>
        <w:t xml:space="preserve">2. Product History</w:t>
      </w:r>
    </w:p>
    <w:p>
      <w:pPr>
        <w:spacing w:after="140" w:line="276"/>
      </w:pPr>
      <w:r>
        <w:rPr>
          <w:b w:val="false"/>
          <w:bCs w:val="false"/>
          <w:i w:val="false"/>
          <w:iCs w:val="false"/>
          <w:color w:val="444444"/>
          <w:sz w:val="21"/>
          <w:szCs w:val="21"/>
        </w:rPr>
        <w:t xml:space="preserve">Tari9 is not a new idea being pitched from a slide deck — it is a product with a real launch history. The original version was built natively for Android (Java), using Firebase and the Google Maps SDK, and shipped in Algeria in 2023. It won Best Tourism Startup at SITEV 2023 (Wilaya of Tarf) and carries an official “Innovative Startup” label from the Algerian ministry.</w:t>
      </w:r>
    </w:p>
    <w:p>
      <w:pPr>
        <w:spacing w:after="140" w:line="276"/>
      </w:pPr>
      <w:r>
        <w:rPr>
          <w:b w:val="false"/>
          <w:bCs w:val="false"/>
          <w:i w:val="false"/>
          <w:iCs w:val="false"/>
          <w:color w:val="444444"/>
          <w:sz w:val="21"/>
          <w:szCs w:val="21"/>
        </w:rPr>
        <w:t xml:space="preserve">That original build already covered all six services described in this document (mechanic, tow, taxi, ambulance, garage, fuel delivery), on the same request-and-match model. Two client-support features existed in that version and have not yet been carried over to the rewrite:</w:t>
      </w:r>
    </w:p>
    <w:p>
      <w:pPr>
        <w:pStyle w:val="ListParagraph"/>
        <w:numPr>
          <w:ilvl w:val="0"/>
          <w:numId w:val="2"/>
        </w:numPr>
        <w:spacing w:after="80" w:line="270"/>
      </w:pPr>
      <w:r>
        <w:rPr>
          <w:b/>
          <w:bCs/>
          <w:color w:val="1B2A4A"/>
          <w:sz w:val="21"/>
          <w:szCs w:val="21"/>
        </w:rPr>
        <w:t xml:space="preserve">In-app chat:</w:t>
      </w:r>
      <w:r>
        <w:rPr>
          <w:color w:val="444444"/>
          <w:sz w:val="21"/>
          <w:szCs w:val="21"/>
        </w:rPr>
        <w:t xml:space="preserve"> An early in-app messaging feature between client and provider, built on Firebase Cloud Messaging. It was functional but basic — worth rebuilding properly rather than porting as-is.</w:t>
      </w:r>
    </w:p>
    <w:p>
      <w:pPr>
        <w:pStyle w:val="ListParagraph"/>
        <w:numPr>
          <w:ilvl w:val="0"/>
          <w:numId w:val="2"/>
        </w:numPr>
        <w:spacing w:after="80" w:line="270"/>
      </w:pPr>
      <w:r>
        <w:rPr>
          <w:b/>
          <w:bCs/>
          <w:color w:val="1B2A4A"/>
          <w:sz w:val="21"/>
          <w:szCs w:val="21"/>
        </w:rPr>
        <w:t xml:space="preserve">Help center:</w:t>
      </w:r>
      <w:r>
        <w:rPr>
          <w:color w:val="444444"/>
          <w:sz w:val="21"/>
          <w:szCs w:val="21"/>
        </w:rPr>
        <w:t xml:space="preserve"> A dedicated screen offering WhatsApp, Messenger, Instagram, a phone helpline, and an FAQ — giving a client a way to reach support without leaving the app. The rewrite currently has no equivalent.</w:t>
      </w:r>
    </w:p>
    <w:p>
      <w:pPr>
        <w:spacing w:after="140" w:line="276"/>
      </w:pPr>
      <w:r>
        <w:rPr>
          <w:b w:val="false"/>
          <w:bCs w:val="false"/>
          <w:i w:val="false"/>
          <w:iCs w:val="false"/>
          <w:color w:val="444444"/>
          <w:sz w:val="21"/>
          <w:szCs w:val="21"/>
        </w:rPr>
        <w:t xml:space="preserve">The current React Native + Expo rebuild (covered in the rest of this document) is a ground-up modernization of that proven product: a cross-platform codebase, a config-driven service system, Arabic localization, and the security and offline-handling work described in Sections 7 and 8. One deliberate cost trade-off from that rebuild is worth flagging here because it affects Section 8.3: the original app used the Google Maps SDK; the rewrite currently uses free OpenStreetMap/MapLibre data to avoid Google's billing while self-funded. Since the product has already shipped and worked on Google Maps before, moving back to it for a Saudi launch is a known, low-risk change — not an open question.</w:t>
      </w:r>
    </w:p>
    <w:p>
      <w:pPr>
        <w:pStyle w:val="Heading1"/>
        <w:pBdr>
          <w:bottom w:val="single" w:color="B08D3F" w:sz="6" w:space="4"/>
        </w:pBdr>
        <w:spacing w:after="160" w:before="360"/>
      </w:pPr>
      <w:r>
        <w:rPr>
          <w:b/>
          <w:bCs/>
          <w:color w:val="1B2A4A"/>
          <w:sz w:val="30"/>
          <w:szCs w:val="30"/>
        </w:rPr>
        <w:t xml:space="preserve">3. The Idea</w:t>
      </w:r>
    </w:p>
    <w:p>
      <w:pPr>
        <w:spacing w:after="140" w:line="276"/>
      </w:pPr>
      <w:r>
        <w:rPr>
          <w:b w:val="false"/>
          <w:bCs w:val="false"/>
          <w:i w:val="false"/>
          <w:iCs w:val="false"/>
          <w:color w:val="444444"/>
          <w:sz w:val="21"/>
          <w:szCs w:val="21"/>
        </w:rPr>
        <w:t xml:space="preserve">Roadside breakdowns, towing, and last-mile vehicle services are a proven, recurring need with no dominant digital platform in Algeria, and a fragmented one in much of the region. Tari9's premise is simple: put every roadside-adjacent service a driver might need behind one request flow, matched by real location instead of a phone book or a roadside sign.</w:t>
      </w:r>
    </w:p>
    <w:p>
      <w:pPr>
        <w:spacing w:after="140" w:line="276"/>
      </w:pPr>
      <w:r>
        <w:rPr>
          <w:b/>
          <w:bCs/>
          <w:i w:val="false"/>
          <w:iCs w:val="false"/>
          <w:color w:val="444444"/>
          <w:sz w:val="21"/>
          <w:szCs w:val="21"/>
        </w:rPr>
        <w:t xml:space="preserve">Two things are worth stating plainly for a partnership discussion:</w:t>
      </w:r>
    </w:p>
    <w:p>
      <w:pPr>
        <w:pStyle w:val="ListParagraph"/>
        <w:numPr>
          <w:ilvl w:val="0"/>
          <w:numId w:val="2"/>
        </w:numPr>
        <w:spacing w:after="80" w:line="270"/>
      </w:pPr>
      <w:r>
        <w:rPr>
          <w:b/>
          <w:bCs/>
          <w:color w:val="1B2A4A"/>
          <w:sz w:val="21"/>
          <w:szCs w:val="21"/>
        </w:rPr>
        <w:t xml:space="preserve">Ambulance:</w:t>
      </w:r>
      <w:r>
        <w:rPr>
          <w:color w:val="444444"/>
          <w:sz w:val="21"/>
          <w:szCs w:val="21"/>
        </w:rPr>
        <w:t xml:space="preserve"> Ambulance dispatch through a private consumer app is a regulated activity in most jurisdictions, including Saudi Arabia (Saudi Red Crescent Authority). This service should be treated as a roadmap item requiring separate licensing or a formal partnership with an authorized emergency-medical operator — not something the app can offer unmodified on day one.</w:t>
      </w:r>
    </w:p>
    <w:p>
      <w:pPr>
        <w:pStyle w:val="ListParagraph"/>
        <w:numPr>
          <w:ilvl w:val="0"/>
          <w:numId w:val="2"/>
        </w:numPr>
        <w:spacing w:after="80" w:line="270"/>
      </w:pPr>
      <w:r>
        <w:rPr>
          <w:b/>
          <w:bCs/>
          <w:color w:val="1B2A4A"/>
          <w:sz w:val="21"/>
          <w:szCs w:val="21"/>
        </w:rPr>
        <w:t xml:space="preserve">Taxi:</w:t>
      </w:r>
      <w:r>
        <w:rPr>
          <w:color w:val="444444"/>
          <w:sz w:val="21"/>
          <w:szCs w:val="21"/>
        </w:rPr>
        <w:t xml:space="preserve"> Passenger taxi service enters a market already dominated by established ride-hailing platforms in the Gulf. Recommendation: position Tari9 primarily as a roadside-assistance platform (mechanic, tow, garage, fuel) and carry taxi as a secondary, later-stage feature rather than a headline service in the pitch.</w:t>
      </w:r>
    </w:p>
    <w:p>
      <w:r>
        <w:br w:type="page"/>
      </w:r>
    </w:p>
    <w:p>
      <w:pPr>
        <w:pStyle w:val="Heading1"/>
        <w:pBdr>
          <w:bottom w:val="single" w:color="B08D3F" w:sz="6" w:space="4"/>
        </w:pBdr>
        <w:spacing w:after="160" w:before="360"/>
      </w:pPr>
      <w:r>
        <w:rPr>
          <w:b/>
          <w:bCs/>
          <w:color w:val="1B2A4A"/>
          <w:sz w:val="30"/>
          <w:szCs w:val="30"/>
        </w:rPr>
        <w:t xml:space="preserve">4. Services Offered</w:t>
      </w:r>
    </w:p>
    <w:p>
      <w:pPr>
        <w:spacing w:after="140" w:line="276"/>
      </w:pPr>
      <w:r>
        <w:rPr>
          <w:b w:val="false"/>
          <w:bCs w:val="false"/>
          <w:i w:val="false"/>
          <w:iCs w:val="false"/>
          <w:color w:val="444444"/>
          <w:sz w:val="21"/>
          <w:szCs w:val="21"/>
        </w:rPr>
        <w:t xml:space="preserve">The app currently defines six service types. Each is driven from a single configuration file, so the list, the fields collected, and the pricing rule for each service are data — not separate hand-built screens. This is a genuine architectural strength: adding a seventh service later is a configuration change, not a rebuild.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200"/>
        <w:gridCol w:w="2000"/>
      </w:tblGrid>
      <w:tr>
        <w:trPr>
          <w:tblHeader/>
        </w:trPr>
        <w:tc>
          <w:tcPr>
            <w:tcW w:type="dxa" w:w="1600"/>
            <w:shd w:fill="1B2A4A" w:val="clear"/>
            <w:tcMar>
              <w:top w:type="dxa" w:w="100"/>
              <w:left w:type="dxa" w:w="120"/>
              <w:bottom w:type="dxa" w:w="100"/>
              <w:right w:type="dxa" w:w="120"/>
            </w:tcMar>
            <w:vAlign w:val="center"/>
          </w:tcPr>
          <w:p>
            <w:r>
              <w:rPr>
                <w:b/>
                <w:bCs/>
                <w:color w:val="FFFFFF"/>
                <w:sz w:val="19"/>
                <w:szCs w:val="19"/>
              </w:rPr>
              <w:t xml:space="preserve">Service</w:t>
            </w:r>
          </w:p>
        </w:tc>
        <w:tc>
          <w:tcPr>
            <w:tcW w:type="dxa" w:w="3200"/>
            <w:shd w:fill="1B2A4A" w:val="clear"/>
            <w:tcMar>
              <w:top w:type="dxa" w:w="100"/>
              <w:left w:type="dxa" w:w="120"/>
              <w:bottom w:type="dxa" w:w="100"/>
              <w:right w:type="dxa" w:w="120"/>
            </w:tcMar>
            <w:vAlign w:val="center"/>
          </w:tcPr>
          <w:p>
            <w:r>
              <w:rPr>
                <w:b/>
                <w:bCs/>
                <w:color w:val="FFFFFF"/>
                <w:sz w:val="19"/>
                <w:szCs w:val="19"/>
              </w:rPr>
              <w:t xml:space="preserve">What it does</w:t>
            </w:r>
          </w:p>
        </w:tc>
        <w:tc>
          <w:tcPr>
            <w:tcW w:type="dxa" w:w="3200"/>
            <w:shd w:fill="1B2A4A" w:val="clear"/>
            <w:tcMar>
              <w:top w:type="dxa" w:w="100"/>
              <w:left w:type="dxa" w:w="120"/>
              <w:bottom w:type="dxa" w:w="100"/>
              <w:right w:type="dxa" w:w="120"/>
            </w:tcMar>
            <w:vAlign w:val="center"/>
          </w:tcPr>
          <w:p>
            <w:r>
              <w:rPr>
                <w:b/>
                <w:bCs/>
                <w:color w:val="FFFFFF"/>
                <w:sz w:val="19"/>
                <w:szCs w:val="19"/>
              </w:rPr>
              <w:t xml:space="preserve">Info collected from client</w:t>
            </w:r>
          </w:p>
        </w:tc>
        <w:tc>
          <w:tcPr>
            <w:tcW w:type="dxa" w:w="2000"/>
            <w:shd w:fill="1B2A4A" w:val="clear"/>
            <w:tcMar>
              <w:top w:type="dxa" w:w="100"/>
              <w:left w:type="dxa" w:w="120"/>
              <w:bottom w:type="dxa" w:w="100"/>
              <w:right w:type="dxa" w:w="120"/>
            </w:tcMar>
            <w:vAlign w:val="center"/>
          </w:tcPr>
          <w:p>
            <w:r>
              <w:rPr>
                <w:b/>
                <w:bCs/>
                <w:color w:val="FFFFFF"/>
                <w:sz w:val="19"/>
                <w:szCs w:val="19"/>
              </w:rPr>
              <w:t xml:space="preserve">Pricing model</w:t>
            </w:r>
          </w:p>
        </w:tc>
      </w:tr>
      <w:tr>
        <w:trPr>
          <w:cantSplit/>
        </w:trPr>
        <w:tc>
          <w:tcPr>
            <w:tcW w:type="dxa" w:w="1600"/>
            <w:shd w:fill="F4EEDD" w:val="clear"/>
            <w:tcMar>
              <w:top w:type="dxa" w:w="100"/>
              <w:left w:type="dxa" w:w="120"/>
              <w:bottom w:type="dxa" w:w="100"/>
              <w:right w:type="dxa" w:w="120"/>
            </w:tcMar>
            <w:vAlign w:val="center"/>
          </w:tcPr>
          <w:p>
            <w:r>
              <w:rPr>
                <w:b w:val="false"/>
                <w:bCs w:val="false"/>
                <w:color w:val="444444"/>
                <w:sz w:val="19"/>
                <w:szCs w:val="19"/>
              </w:rPr>
              <w:t xml:space="preserve">Mechanic</w:t>
            </w:r>
          </w:p>
        </w:tc>
        <w:tc>
          <w:tcPr>
            <w:tcW w:type="dxa" w:w="3200"/>
            <w:tcMar>
              <w:top w:type="dxa" w:w="100"/>
              <w:left w:type="dxa" w:w="120"/>
              <w:bottom w:type="dxa" w:w="100"/>
              <w:right w:type="dxa" w:w="120"/>
            </w:tcMar>
            <w:vAlign w:val="center"/>
          </w:tcPr>
          <w:p>
            <w:r>
              <w:rPr>
                <w:b w:val="false"/>
                <w:bCs w:val="false"/>
                <w:color w:val="444444"/>
                <w:sz w:val="19"/>
                <w:szCs w:val="19"/>
              </w:rPr>
              <w:t xml:space="preserve">On-site repair for roadside breakdowns</w:t>
            </w:r>
          </w:p>
        </w:tc>
        <w:tc>
          <w:tcPr>
            <w:tcW w:type="dxa" w:w="3200"/>
            <w:tcMar>
              <w:top w:type="dxa" w:w="100"/>
              <w:left w:type="dxa" w:w="120"/>
              <w:bottom w:type="dxa" w:w="100"/>
              <w:right w:type="dxa" w:w="120"/>
            </w:tcMar>
            <w:vAlign w:val="center"/>
          </w:tcPr>
          <w:p>
            <w:r>
              <w:rPr>
                <w:b w:val="false"/>
                <w:bCs w:val="false"/>
                <w:color w:val="444444"/>
                <w:sz w:val="19"/>
                <w:szCs w:val="19"/>
              </w:rPr>
              <w:t xml:space="preserve">Vehicle type, make/model, free-text description of the issue</w:t>
            </w:r>
          </w:p>
        </w:tc>
        <w:tc>
          <w:tcPr>
            <w:tcW w:type="dxa" w:w="2000"/>
            <w:tcMar>
              <w:top w:type="dxa" w:w="100"/>
              <w:left w:type="dxa" w:w="120"/>
              <w:bottom w:type="dxa" w:w="100"/>
              <w:right w:type="dxa" w:w="120"/>
            </w:tcMar>
            <w:vAlign w:val="center"/>
          </w:tcPr>
          <w:p>
            <w:r>
              <w:rPr>
                <w:b w:val="false"/>
                <w:bCs w:val="false"/>
                <w:color w:val="444444"/>
                <w:sz w:val="19"/>
                <w:szCs w:val="19"/>
              </w:rPr>
              <w:t xml:space="preserve">Estimate only — final price agreed with provider on-site</w:t>
            </w:r>
          </w:p>
        </w:tc>
      </w:tr>
      <w:tr>
        <w:trPr>
          <w:cantSplit/>
        </w:trPr>
        <w:tc>
          <w:tcPr>
            <w:tcW w:type="dxa" w:w="1600"/>
            <w:shd w:fill="F4EEDD" w:val="clear"/>
            <w:tcMar>
              <w:top w:type="dxa" w:w="100"/>
              <w:left w:type="dxa" w:w="120"/>
              <w:bottom w:type="dxa" w:w="100"/>
              <w:right w:type="dxa" w:w="120"/>
            </w:tcMar>
            <w:vAlign w:val="center"/>
          </w:tcPr>
          <w:p>
            <w:r>
              <w:rPr>
                <w:b w:val="false"/>
                <w:bCs w:val="false"/>
                <w:color w:val="444444"/>
                <w:sz w:val="19"/>
                <w:szCs w:val="19"/>
              </w:rPr>
              <w:t xml:space="preserve">Tow Truck</w:t>
            </w:r>
          </w:p>
        </w:tc>
        <w:tc>
          <w:tcPr>
            <w:tcW w:type="dxa" w:w="3200"/>
            <w:tcMar>
              <w:top w:type="dxa" w:w="100"/>
              <w:left w:type="dxa" w:w="120"/>
              <w:bottom w:type="dxa" w:w="100"/>
              <w:right w:type="dxa" w:w="120"/>
            </w:tcMar>
            <w:vAlign w:val="center"/>
          </w:tcPr>
          <w:p>
            <w:r>
              <w:rPr>
                <w:b w:val="false"/>
                <w:bCs w:val="false"/>
                <w:color w:val="444444"/>
                <w:sz w:val="19"/>
                <w:szCs w:val="19"/>
              </w:rPr>
              <w:t xml:space="preserve">Tows the vehicle to a garage of choice</w:t>
            </w:r>
          </w:p>
        </w:tc>
        <w:tc>
          <w:tcPr>
            <w:tcW w:type="dxa" w:w="3200"/>
            <w:tcMar>
              <w:top w:type="dxa" w:w="100"/>
              <w:left w:type="dxa" w:w="120"/>
              <w:bottom w:type="dxa" w:w="100"/>
              <w:right w:type="dxa" w:w="120"/>
            </w:tcMar>
            <w:vAlign w:val="center"/>
          </w:tcPr>
          <w:p>
            <w:r>
              <w:rPr>
                <w:b w:val="false"/>
                <w:bCs w:val="false"/>
                <w:color w:val="444444"/>
                <w:sz w:val="19"/>
                <w:szCs w:val="19"/>
              </w:rPr>
              <w:t xml:space="preserve">Vehicle type, make/model</w:t>
            </w:r>
          </w:p>
        </w:tc>
        <w:tc>
          <w:tcPr>
            <w:tcW w:type="dxa" w:w="2000"/>
            <w:tcMar>
              <w:top w:type="dxa" w:w="100"/>
              <w:left w:type="dxa" w:w="120"/>
              <w:bottom w:type="dxa" w:w="100"/>
              <w:right w:type="dxa" w:w="120"/>
            </w:tcMar>
            <w:vAlign w:val="center"/>
          </w:tcPr>
          <w:p>
            <w:r>
              <w:rPr>
                <w:b w:val="false"/>
                <w:bCs w:val="false"/>
                <w:color w:val="444444"/>
                <w:sz w:val="19"/>
                <w:szCs w:val="19"/>
              </w:rPr>
              <w:t xml:space="preserve">Firm price — base fee + distance</w:t>
            </w:r>
          </w:p>
        </w:tc>
      </w:tr>
      <w:tr>
        <w:trPr>
          <w:cantSplit/>
        </w:trPr>
        <w:tc>
          <w:tcPr>
            <w:tcW w:type="dxa" w:w="1600"/>
            <w:shd w:fill="F4EEDD" w:val="clear"/>
            <w:tcMar>
              <w:top w:type="dxa" w:w="100"/>
              <w:left w:type="dxa" w:w="120"/>
              <w:bottom w:type="dxa" w:w="100"/>
              <w:right w:type="dxa" w:w="120"/>
            </w:tcMar>
            <w:vAlign w:val="center"/>
          </w:tcPr>
          <w:p>
            <w:r>
              <w:rPr>
                <w:b w:val="false"/>
                <w:bCs w:val="false"/>
                <w:color w:val="444444"/>
                <w:sz w:val="19"/>
                <w:szCs w:val="19"/>
              </w:rPr>
              <w:t xml:space="preserve">Taxi</w:t>
            </w:r>
          </w:p>
        </w:tc>
        <w:tc>
          <w:tcPr>
            <w:tcW w:type="dxa" w:w="3200"/>
            <w:tcMar>
              <w:top w:type="dxa" w:w="100"/>
              <w:left w:type="dxa" w:w="120"/>
              <w:bottom w:type="dxa" w:w="100"/>
              <w:right w:type="dxa" w:w="120"/>
            </w:tcMar>
            <w:vAlign w:val="center"/>
          </w:tcPr>
          <w:p>
            <w:r>
              <w:rPr>
                <w:b w:val="false"/>
                <w:bCs w:val="false"/>
                <w:color w:val="444444"/>
                <w:sz w:val="19"/>
                <w:szCs w:val="19"/>
              </w:rPr>
              <w:t xml:space="preserve">Passenger pickup and ride</w:t>
            </w:r>
          </w:p>
        </w:tc>
        <w:tc>
          <w:tcPr>
            <w:tcW w:type="dxa" w:w="3200"/>
            <w:tcMar>
              <w:top w:type="dxa" w:w="100"/>
              <w:left w:type="dxa" w:w="120"/>
              <w:bottom w:type="dxa" w:w="100"/>
              <w:right w:type="dxa" w:w="120"/>
            </w:tcMar>
            <w:vAlign w:val="center"/>
          </w:tcPr>
          <w:p>
            <w:r>
              <w:rPr>
                <w:b w:val="false"/>
                <w:bCs w:val="false"/>
                <w:color w:val="444444"/>
                <w:sz w:val="19"/>
                <w:szCs w:val="19"/>
              </w:rPr>
              <w:t xml:space="preserve">Passenger count</w:t>
            </w:r>
          </w:p>
        </w:tc>
        <w:tc>
          <w:tcPr>
            <w:tcW w:type="dxa" w:w="2000"/>
            <w:tcMar>
              <w:top w:type="dxa" w:w="100"/>
              <w:left w:type="dxa" w:w="120"/>
              <w:bottom w:type="dxa" w:w="100"/>
              <w:right w:type="dxa" w:w="120"/>
            </w:tcMar>
            <w:vAlign w:val="center"/>
          </w:tcPr>
          <w:p>
            <w:r>
              <w:rPr>
                <w:b w:val="false"/>
                <w:bCs w:val="false"/>
                <w:color w:val="444444"/>
                <w:sz w:val="19"/>
                <w:szCs w:val="19"/>
              </w:rPr>
              <w:t xml:space="preserve">Firm price — base fee + distance</w:t>
            </w:r>
          </w:p>
        </w:tc>
      </w:tr>
      <w:tr>
        <w:trPr>
          <w:cantSplit/>
        </w:trPr>
        <w:tc>
          <w:tcPr>
            <w:tcW w:type="dxa" w:w="1600"/>
            <w:shd w:fill="F4EEDD" w:val="clear"/>
            <w:tcMar>
              <w:top w:type="dxa" w:w="100"/>
              <w:left w:type="dxa" w:w="120"/>
              <w:bottom w:type="dxa" w:w="100"/>
              <w:right w:type="dxa" w:w="120"/>
            </w:tcMar>
            <w:vAlign w:val="center"/>
          </w:tcPr>
          <w:p>
            <w:r>
              <w:rPr>
                <w:b w:val="false"/>
                <w:bCs w:val="false"/>
                <w:color w:val="444444"/>
                <w:sz w:val="19"/>
                <w:szCs w:val="19"/>
              </w:rPr>
              <w:t xml:space="preserve">Ambulance</w:t>
            </w:r>
          </w:p>
        </w:tc>
        <w:tc>
          <w:tcPr>
            <w:tcW w:type="dxa" w:w="3200"/>
            <w:tcMar>
              <w:top w:type="dxa" w:w="100"/>
              <w:left w:type="dxa" w:w="120"/>
              <w:bottom w:type="dxa" w:w="100"/>
              <w:right w:type="dxa" w:w="120"/>
            </w:tcMar>
            <w:vAlign w:val="center"/>
          </w:tcPr>
          <w:p>
            <w:r>
              <w:rPr>
                <w:b w:val="false"/>
                <w:bCs w:val="false"/>
                <w:color w:val="444444"/>
                <w:sz w:val="19"/>
                <w:szCs w:val="19"/>
              </w:rPr>
              <w:t xml:space="preserve">Emergency medical transport</w:t>
            </w:r>
          </w:p>
        </w:tc>
        <w:tc>
          <w:tcPr>
            <w:tcW w:type="dxa" w:w="3200"/>
            <w:tcMar>
              <w:top w:type="dxa" w:w="100"/>
              <w:left w:type="dxa" w:w="120"/>
              <w:bottom w:type="dxa" w:w="100"/>
              <w:right w:type="dxa" w:w="120"/>
            </w:tcMar>
            <w:vAlign w:val="center"/>
          </w:tcPr>
          <w:p>
            <w:r>
              <w:rPr>
                <w:b w:val="false"/>
                <w:bCs w:val="false"/>
                <w:color w:val="444444"/>
                <w:sz w:val="19"/>
                <w:szCs w:val="19"/>
              </w:rPr>
              <w:t xml:space="preserve">Number of injured</w:t>
            </w:r>
          </w:p>
        </w:tc>
        <w:tc>
          <w:tcPr>
            <w:tcW w:type="dxa" w:w="2000"/>
            <w:tcMar>
              <w:top w:type="dxa" w:w="100"/>
              <w:left w:type="dxa" w:w="120"/>
              <w:bottom w:type="dxa" w:w="100"/>
              <w:right w:type="dxa" w:w="120"/>
            </w:tcMar>
            <w:vAlign w:val="center"/>
          </w:tcPr>
          <w:p>
            <w:r>
              <w:rPr>
                <w:b w:val="false"/>
                <w:bCs w:val="false"/>
                <w:color w:val="444444"/>
                <w:sz w:val="19"/>
                <w:szCs w:val="19"/>
              </w:rPr>
              <w:t xml:space="preserve">Firm price — base fee + distance</w:t>
            </w:r>
          </w:p>
        </w:tc>
      </w:tr>
      <w:tr>
        <w:trPr>
          <w:cantSplit/>
        </w:trPr>
        <w:tc>
          <w:tcPr>
            <w:tcW w:type="dxa" w:w="1600"/>
            <w:shd w:fill="F4EEDD" w:val="clear"/>
            <w:tcMar>
              <w:top w:type="dxa" w:w="100"/>
              <w:left w:type="dxa" w:w="120"/>
              <w:bottom w:type="dxa" w:w="100"/>
              <w:right w:type="dxa" w:w="120"/>
            </w:tcMar>
            <w:vAlign w:val="center"/>
          </w:tcPr>
          <w:p>
            <w:r>
              <w:rPr>
                <w:b w:val="false"/>
                <w:bCs w:val="false"/>
                <w:color w:val="444444"/>
                <w:sz w:val="19"/>
                <w:szCs w:val="19"/>
              </w:rPr>
              <w:t xml:space="preserve">Garage</w:t>
            </w:r>
          </w:p>
        </w:tc>
        <w:tc>
          <w:tcPr>
            <w:tcW w:type="dxa" w:w="3200"/>
            <w:tcMar>
              <w:top w:type="dxa" w:w="100"/>
              <w:left w:type="dxa" w:w="120"/>
              <w:bottom w:type="dxa" w:w="100"/>
              <w:right w:type="dxa" w:w="120"/>
            </w:tcMar>
            <w:vAlign w:val="center"/>
          </w:tcPr>
          <w:p>
            <w:r>
              <w:rPr>
                <w:b w:val="false"/>
                <w:bCs w:val="false"/>
                <w:color w:val="444444"/>
                <w:sz w:val="19"/>
                <w:szCs w:val="19"/>
              </w:rPr>
              <w:t xml:space="preserve">Fixed-location repair shop referral</w:t>
            </w:r>
          </w:p>
        </w:tc>
        <w:tc>
          <w:tcPr>
            <w:tcW w:type="dxa" w:w="3200"/>
            <w:tcMar>
              <w:top w:type="dxa" w:w="100"/>
              <w:left w:type="dxa" w:w="120"/>
              <w:bottom w:type="dxa" w:w="100"/>
              <w:right w:type="dxa" w:w="120"/>
            </w:tcMar>
            <w:vAlign w:val="center"/>
          </w:tcPr>
          <w:p>
            <w:r>
              <w:rPr>
                <w:b w:val="false"/>
                <w:bCs w:val="false"/>
                <w:color w:val="444444"/>
                <w:sz w:val="19"/>
                <w:szCs w:val="19"/>
              </w:rPr>
              <w:t xml:space="preserve">Vehicle type, make/model, issue description</w:t>
            </w:r>
          </w:p>
        </w:tc>
        <w:tc>
          <w:tcPr>
            <w:tcW w:type="dxa" w:w="2000"/>
            <w:tcMar>
              <w:top w:type="dxa" w:w="100"/>
              <w:left w:type="dxa" w:w="120"/>
              <w:bottom w:type="dxa" w:w="100"/>
              <w:right w:type="dxa" w:w="120"/>
            </w:tcMar>
            <w:vAlign w:val="center"/>
          </w:tcPr>
          <w:p>
            <w:r>
              <w:rPr>
                <w:b w:val="false"/>
                <w:bCs w:val="false"/>
                <w:color w:val="444444"/>
                <w:sz w:val="19"/>
                <w:szCs w:val="19"/>
              </w:rPr>
              <w:t xml:space="preserve">Estimate only — final price agreed with provider</w:t>
            </w:r>
          </w:p>
        </w:tc>
      </w:tr>
      <w:tr>
        <w:trPr>
          <w:cantSplit/>
        </w:trPr>
        <w:tc>
          <w:tcPr>
            <w:tcW w:type="dxa" w:w="1600"/>
            <w:shd w:fill="F4EEDD" w:val="clear"/>
            <w:tcMar>
              <w:top w:type="dxa" w:w="100"/>
              <w:left w:type="dxa" w:w="120"/>
              <w:bottom w:type="dxa" w:w="100"/>
              <w:right w:type="dxa" w:w="120"/>
            </w:tcMar>
            <w:vAlign w:val="center"/>
          </w:tcPr>
          <w:p>
            <w:r>
              <w:rPr>
                <w:b w:val="false"/>
                <w:bCs w:val="false"/>
                <w:color w:val="444444"/>
                <w:sz w:val="19"/>
                <w:szCs w:val="19"/>
              </w:rPr>
              <w:t xml:space="preserve">Fuel Delivery</w:t>
            </w:r>
          </w:p>
        </w:tc>
        <w:tc>
          <w:tcPr>
            <w:tcW w:type="dxa" w:w="3200"/>
            <w:tcMar>
              <w:top w:type="dxa" w:w="100"/>
              <w:left w:type="dxa" w:w="120"/>
              <w:bottom w:type="dxa" w:w="100"/>
              <w:right w:type="dxa" w:w="120"/>
            </w:tcMar>
            <w:vAlign w:val="center"/>
          </w:tcPr>
          <w:p>
            <w:r>
              <w:rPr>
                <w:b w:val="false"/>
                <w:bCs w:val="false"/>
                <w:color w:val="444444"/>
                <w:sz w:val="19"/>
                <w:szCs w:val="19"/>
              </w:rPr>
              <w:t xml:space="preserve">Fuel or engine oil brought to the client's location</w:t>
            </w:r>
          </w:p>
        </w:tc>
        <w:tc>
          <w:tcPr>
            <w:tcW w:type="dxa" w:w="3200"/>
            <w:tcMar>
              <w:top w:type="dxa" w:w="100"/>
              <w:left w:type="dxa" w:w="120"/>
              <w:bottom w:type="dxa" w:w="100"/>
              <w:right w:type="dxa" w:w="120"/>
            </w:tcMar>
            <w:vAlign w:val="center"/>
          </w:tcPr>
          <w:p>
            <w:r>
              <w:rPr>
                <w:b w:val="false"/>
                <w:bCs w:val="false"/>
                <w:color w:val="444444"/>
                <w:sz w:val="19"/>
                <w:szCs w:val="19"/>
              </w:rPr>
              <w:t xml:space="preserve">Fuel type (5 options), quantity in liters</w:t>
            </w:r>
          </w:p>
        </w:tc>
        <w:tc>
          <w:tcPr>
            <w:tcW w:type="dxa" w:w="2000"/>
            <w:tcMar>
              <w:top w:type="dxa" w:w="100"/>
              <w:left w:type="dxa" w:w="120"/>
              <w:bottom w:type="dxa" w:w="100"/>
              <w:right w:type="dxa" w:w="120"/>
            </w:tcMar>
            <w:vAlign w:val="center"/>
          </w:tcPr>
          <w:p>
            <w:r>
              <w:rPr>
                <w:b w:val="false"/>
                <w:bCs w:val="false"/>
                <w:color w:val="444444"/>
                <w:sz w:val="19"/>
                <w:szCs w:val="19"/>
              </w:rPr>
              <w:t xml:space="preserve">Firm price — (quantity × per-liter rate) + delivery fee</w:t>
            </w:r>
          </w:p>
        </w:tc>
      </w:tr>
    </w:tbl>
    <w:p>
      <w:pPr>
        <w:spacing w:after="140" w:line="276"/>
      </w:pPr>
      <w:r>
        <w:rPr>
          <w:b w:val="false"/>
          <w:bCs w:val="false"/>
          <w:i w:val="false"/>
          <w:iCs w:val="false"/>
          <w:color w:val="444444"/>
          <w:sz w:val="21"/>
          <w:szCs w:val="21"/>
        </w:rPr>
        <w:t xml:space="preserve"/>
      </w:r>
    </w:p>
    <w:p>
      <w:pPr>
        <w:spacing w:after="140" w:line="276"/>
      </w:pPr>
      <w:r>
        <w:rPr>
          <w:b w:val="false"/>
          <w:bCs w:val="false"/>
          <w:i/>
          <w:iCs/>
          <w:color w:val="444444"/>
          <w:sz w:val="21"/>
          <w:szCs w:val="21"/>
        </w:rPr>
        <w:t xml:space="preserve">All “firm price” services show the client an exact cost before they send the request. “Estimate only” services (mechanic, garage) show a call-out estimate because the real cost can't be known until the provider sees the vehicle — the final price is agreed directly between client and provider.</w:t>
      </w:r>
    </w:p>
    <w:p>
      <w:pPr>
        <w:pStyle w:val="Heading1"/>
        <w:pBdr>
          <w:bottom w:val="single" w:color="B08D3F" w:sz="6" w:space="4"/>
        </w:pBdr>
        <w:spacing w:after="160" w:before="360"/>
      </w:pPr>
      <w:r>
        <w:rPr>
          <w:b/>
          <w:bCs/>
          <w:color w:val="1B2A4A"/>
          <w:sz w:val="30"/>
          <w:szCs w:val="30"/>
        </w:rPr>
        <w:t xml:space="preserve">5. Core Functions</w:t>
      </w:r>
    </w:p>
    <w:p>
      <w:pPr>
        <w:pStyle w:val="Heading2"/>
        <w:spacing w:after="120" w:before="260"/>
      </w:pPr>
      <w:r>
        <w:rPr>
          <w:b/>
          <w:bCs/>
          <w:color w:val="1B2A4A"/>
          <w:sz w:val="24"/>
          <w:szCs w:val="24"/>
        </w:rPr>
        <w:t xml:space="preserve">5.1 Client Flow</w:t>
      </w:r>
    </w:p>
    <w:p>
      <w:pPr>
        <w:pStyle w:val="ListParagraph"/>
        <w:numPr>
          <w:ilvl w:val="0"/>
          <w:numId w:val="2"/>
        </w:numPr>
        <w:spacing w:after="80" w:line="270"/>
      </w:pPr>
      <w:r>
        <w:rPr>
          <w:color w:val="444444"/>
          <w:sz w:val="21"/>
          <w:szCs w:val="21"/>
        </w:rPr>
        <w:t xml:space="preserve">choose a service from the six above.</w:t>
      </w:r>
    </w:p>
    <w:p>
      <w:pPr>
        <w:pStyle w:val="ListParagraph"/>
        <w:numPr>
          <w:ilvl w:val="0"/>
          <w:numId w:val="2"/>
        </w:numPr>
        <w:spacing w:after="80" w:line="270"/>
      </w:pPr>
      <w:r>
        <w:rPr>
          <w:color w:val="444444"/>
          <w:sz w:val="21"/>
          <w:szCs w:val="21"/>
        </w:rPr>
        <w:t xml:space="preserve">pick a location on an interactive map (or use current GPS location), with reverse-geocoding to a readable address.</w:t>
      </w:r>
    </w:p>
    <w:p>
      <w:pPr>
        <w:pStyle w:val="ListParagraph"/>
        <w:numPr>
          <w:ilvl w:val="0"/>
          <w:numId w:val="2"/>
        </w:numPr>
        <w:spacing w:after="80" w:line="270"/>
      </w:pPr>
      <w:r>
        <w:rPr>
          <w:color w:val="444444"/>
          <w:sz w:val="21"/>
          <w:szCs w:val="21"/>
        </w:rPr>
        <w:t xml:space="preserve">fill in the service-specific details (vehicle type, issue description, passenger count, fuel type and quantity, etc.) — with an option to auto-fill from a saved vehicle.</w:t>
      </w:r>
    </w:p>
    <w:p>
      <w:pPr>
        <w:pStyle w:val="ListParagraph"/>
        <w:numPr>
          <w:ilvl w:val="0"/>
          <w:numId w:val="2"/>
        </w:numPr>
        <w:spacing w:after="80" w:line="270"/>
      </w:pPr>
      <w:r>
        <w:rPr>
          <w:color w:val="444444"/>
          <w:sz w:val="21"/>
          <w:szCs w:val="21"/>
        </w:rPr>
        <w:t xml:space="preserve">see nearby providers ranked by distance, with the price shown up front.</w:t>
      </w:r>
    </w:p>
    <w:p>
      <w:pPr>
        <w:pStyle w:val="ListParagraph"/>
        <w:numPr>
          <w:ilvl w:val="0"/>
          <w:numId w:val="2"/>
        </w:numPr>
        <w:spacing w:after="80" w:line="270"/>
      </w:pPr>
      <w:r>
        <w:rPr>
          <w:color w:val="444444"/>
          <w:sz w:val="21"/>
          <w:szCs w:val="21"/>
        </w:rPr>
        <w:t xml:space="preserve">send the request and track its status live: pending → accepted / declined by the provider → completed, or cancelled by the client.</w:t>
      </w:r>
    </w:p>
    <w:p>
      <w:pPr>
        <w:pStyle w:val="ListParagraph"/>
        <w:numPr>
          <w:ilvl w:val="0"/>
          <w:numId w:val="2"/>
        </w:numPr>
        <w:spacing w:after="80" w:line="270"/>
      </w:pPr>
      <w:r>
        <w:rPr>
          <w:color w:val="444444"/>
          <w:sz w:val="21"/>
          <w:szCs w:val="21"/>
        </w:rPr>
        <w:t xml:space="preserve">view request history.</w:t>
      </w:r>
    </w:p>
    <w:p>
      <w:pPr>
        <w:pStyle w:val="ListParagraph"/>
        <w:numPr>
          <w:ilvl w:val="0"/>
          <w:numId w:val="2"/>
        </w:numPr>
        <w:spacing w:after="80" w:line="270"/>
      </w:pPr>
      <w:r>
        <w:rPr>
          <w:color w:val="444444"/>
          <w:sz w:val="21"/>
          <w:szCs w:val="21"/>
        </w:rPr>
        <w:t xml:space="preserve">manage a profile: name, phone, national ID (used only for a “verified” badge — see Section 7), and up to three saved vehicles.</w:t>
      </w:r>
    </w:p>
    <w:p>
      <w:pPr>
        <w:pStyle w:val="Heading2"/>
        <w:spacing w:after="120" w:before="260"/>
      </w:pPr>
      <w:r>
        <w:rPr>
          <w:b/>
          <w:bCs/>
          <w:color w:val="1B2A4A"/>
          <w:sz w:val="24"/>
          <w:szCs w:val="24"/>
        </w:rPr>
        <w:t xml:space="preserve">5.2 Provider (“Worker”) Flow</w:t>
      </w:r>
    </w:p>
    <w:p>
      <w:pPr>
        <w:pStyle w:val="ListParagraph"/>
        <w:numPr>
          <w:ilvl w:val="0"/>
          <w:numId w:val="2"/>
        </w:numPr>
        <w:spacing w:after="80" w:line="270"/>
      </w:pPr>
      <w:r>
        <w:rPr>
          <w:color w:val="444444"/>
          <w:sz w:val="21"/>
          <w:szCs w:val="21"/>
        </w:rPr>
        <w:t xml:space="preserve">onboarding to register as a provider for a specific service type.</w:t>
      </w:r>
    </w:p>
    <w:p>
      <w:pPr>
        <w:pStyle w:val="ListParagraph"/>
        <w:numPr>
          <w:ilvl w:val="0"/>
          <w:numId w:val="2"/>
        </w:numPr>
        <w:spacing w:after="80" w:line="270"/>
      </w:pPr>
      <w:r>
        <w:rPr>
          <w:color w:val="444444"/>
          <w:sz w:val="21"/>
          <w:szCs w:val="21"/>
        </w:rPr>
        <w:t xml:space="preserve">a dashboard listing incoming requests, with accept / decline actions.</w:t>
      </w:r>
    </w:p>
    <w:p>
      <w:pPr>
        <w:pStyle w:val="ListParagraph"/>
        <w:numPr>
          <w:ilvl w:val="0"/>
          <w:numId w:val="2"/>
        </w:numPr>
        <w:spacing w:after="80" w:line="270"/>
      </w:pPr>
      <w:r>
        <w:rPr>
          <w:color w:val="444444"/>
          <w:sz w:val="21"/>
          <w:szCs w:val="21"/>
        </w:rPr>
        <w:t xml:space="preserve">an availability toggle (online / offline for new requests).</w:t>
      </w:r>
    </w:p>
    <w:p>
      <w:pPr>
        <w:pStyle w:val="ListParagraph"/>
        <w:numPr>
          <w:ilvl w:val="0"/>
          <w:numId w:val="2"/>
        </w:numPr>
        <w:spacing w:after="80" w:line="270"/>
      </w:pPr>
      <w:r>
        <w:rPr>
          <w:color w:val="444444"/>
          <w:sz w:val="21"/>
          <w:szCs w:val="21"/>
        </w:rPr>
        <w:t xml:space="preserve">work history of past accepted and completed jobs.</w:t>
      </w:r>
    </w:p>
    <w:p>
      <w:pPr>
        <w:pStyle w:val="ListParagraph"/>
        <w:numPr>
          <w:ilvl w:val="0"/>
          <w:numId w:val="2"/>
        </w:numPr>
        <w:spacing w:after="80" w:line="270"/>
      </w:pPr>
      <w:r>
        <w:rPr>
          <w:color w:val="444444"/>
          <w:sz w:val="21"/>
          <w:szCs w:val="21"/>
        </w:rPr>
        <w:t xml:space="preserve">a provider profile screen.</w:t>
      </w:r>
    </w:p>
    <w:p>
      <w:pPr>
        <w:pStyle w:val="Heading2"/>
        <w:spacing w:after="120" w:before="260"/>
      </w:pPr>
      <w:r>
        <w:rPr>
          <w:b/>
          <w:bCs/>
          <w:color w:val="1B2A4A"/>
          <w:sz w:val="24"/>
          <w:szCs w:val="24"/>
        </w:rPr>
        <w:t xml:space="preserve">5.3 Shared Platform Features</w:t>
      </w:r>
    </w:p>
    <w:p>
      <w:pPr>
        <w:pStyle w:val="ListParagraph"/>
        <w:numPr>
          <w:ilvl w:val="0"/>
          <w:numId w:val="2"/>
        </w:numPr>
        <w:spacing w:after="80" w:line="270"/>
      </w:pPr>
      <w:r>
        <w:rPr>
          <w:color w:val="444444"/>
          <w:sz w:val="21"/>
          <w:szCs w:val="21"/>
        </w:rPr>
        <w:t xml:space="preserve">Arabic and English language support, with automatic right-to-left layout when Arabic is selected (see Section 7 for how complete this is).</w:t>
      </w:r>
    </w:p>
    <w:p>
      <w:pPr>
        <w:pStyle w:val="ListParagraph"/>
        <w:numPr>
          <w:ilvl w:val="0"/>
          <w:numId w:val="2"/>
        </w:numPr>
        <w:spacing w:after="80" w:line="270"/>
      </w:pPr>
      <w:r>
        <w:rPr>
          <w:color w:val="444444"/>
          <w:sz w:val="21"/>
          <w:szCs w:val="21"/>
        </w:rPr>
        <w:t xml:space="preserve">Live offline detection: a persistent banner tells the user they've lost connectivity, instead of the app hanging on a spinner with no explanation.</w:t>
      </w:r>
    </w:p>
    <w:p>
      <w:pPr>
        <w:pStyle w:val="ListParagraph"/>
        <w:numPr>
          <w:ilvl w:val="0"/>
          <w:numId w:val="2"/>
        </w:numPr>
        <w:spacing w:after="80" w:line="270"/>
      </w:pPr>
      <w:r>
        <w:rPr>
          <w:color w:val="444444"/>
          <w:sz w:val="21"/>
          <w:szCs w:val="21"/>
        </w:rPr>
        <w:t xml:space="preserve">Push notifications for request status changes.</w:t>
      </w:r>
    </w:p>
    <w:p>
      <w:pPr>
        <w:pStyle w:val="ListParagraph"/>
        <w:numPr>
          <w:ilvl w:val="0"/>
          <w:numId w:val="2"/>
        </w:numPr>
        <w:spacing w:after="80" w:line="270"/>
      </w:pPr>
      <w:r>
        <w:rPr>
          <w:color w:val="444444"/>
          <w:sz w:val="21"/>
          <w:szCs w:val="21"/>
        </w:rPr>
        <w:t xml:space="preserve">National ID collected at signup and encrypted before it is stored, so a provider only ever sees a “Verified” badge — never the client's actual ID number.</w:t>
      </w:r>
    </w:p>
    <w:p>
      <w:pPr>
        <w:pStyle w:val="ListParagraph"/>
        <w:numPr>
          <w:ilvl w:val="0"/>
          <w:numId w:val="2"/>
        </w:numPr>
        <w:spacing w:after="80" w:line="270"/>
      </w:pPr>
      <w:r>
        <w:rPr>
          <w:color w:val="444444"/>
          <w:sz w:val="21"/>
          <w:szCs w:val="21"/>
        </w:rPr>
        <w:t xml:space="preserve">A refreshed navy-and-gold visual identity, matching the new Tari9 logo, is rolling out screen by screen — the animated splash/entry experience is complete, with the rest of the app to follow the same design system.</w:t>
      </w:r>
    </w:p>
    <w:p>
      <w:pPr>
        <w:pStyle w:val="Heading1"/>
        <w:pBdr>
          <w:bottom w:val="single" w:color="B08D3F" w:sz="6" w:space="4"/>
        </w:pBdr>
        <w:spacing w:after="160" w:before="360"/>
      </w:pPr>
      <w:r>
        <w:rPr>
          <w:b/>
          <w:bCs/>
          <w:color w:val="1B2A4A"/>
          <w:sz w:val="30"/>
          <w:szCs w:val="30"/>
        </w:rPr>
        <w:t xml:space="preserve">6. Technical Architecture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rPr>
          <w:tblHeader/>
        </w:trPr>
        <w:tc>
          <w:tcPr>
            <w:tcW w:type="dxa" w:w="2500"/>
            <w:shd w:fill="1B2A4A" w:val="clear"/>
            <w:tcMar>
              <w:top w:type="dxa" w:w="100"/>
              <w:left w:type="dxa" w:w="120"/>
              <w:bottom w:type="dxa" w:w="100"/>
              <w:right w:type="dxa" w:w="120"/>
            </w:tcMar>
            <w:vAlign w:val="center"/>
          </w:tcPr>
          <w:p>
            <w:r>
              <w:rPr>
                <w:b/>
                <w:bCs/>
                <w:color w:val="FFFFFF"/>
                <w:sz w:val="19"/>
                <w:szCs w:val="19"/>
              </w:rPr>
              <w:t xml:space="preserve">Layer</w:t>
            </w:r>
          </w:p>
        </w:tc>
        <w:tc>
          <w:tcPr>
            <w:tcW w:type="dxa" w:w="3500"/>
            <w:shd w:fill="1B2A4A" w:val="clear"/>
            <w:tcMar>
              <w:top w:type="dxa" w:w="100"/>
              <w:left w:type="dxa" w:w="120"/>
              <w:bottom w:type="dxa" w:w="100"/>
              <w:right w:type="dxa" w:w="120"/>
            </w:tcMar>
            <w:vAlign w:val="center"/>
          </w:tcPr>
          <w:p>
            <w:r>
              <w:rPr>
                <w:b/>
                <w:bCs/>
                <w:color w:val="FFFFFF"/>
                <w:sz w:val="19"/>
                <w:szCs w:val="19"/>
              </w:rPr>
              <w:t xml:space="preserve">Technology</w:t>
            </w:r>
          </w:p>
        </w:tc>
        <w:tc>
          <w:tcPr>
            <w:tcW w:type="dxa" w:w="4000"/>
            <w:shd w:fill="1B2A4A" w:val="clear"/>
            <w:tcMar>
              <w:top w:type="dxa" w:w="100"/>
              <w:left w:type="dxa" w:w="120"/>
              <w:bottom w:type="dxa" w:w="100"/>
              <w:right w:type="dxa" w:w="120"/>
            </w:tcMar>
            <w:vAlign w:val="center"/>
          </w:tcPr>
          <w:p>
            <w:r>
              <w:rPr>
                <w:b/>
                <w:bCs/>
                <w:color w:val="FFFFFF"/>
                <w:sz w:val="19"/>
                <w:szCs w:val="19"/>
              </w:rPr>
              <w:t xml:space="preserve">Notes</w:t>
            </w:r>
          </w:p>
        </w:tc>
      </w:tr>
      <w:tr>
        <w:trPr>
          <w:cantSplit/>
        </w:trPr>
        <w:tc>
          <w:tcPr>
            <w:tcW w:type="dxa" w:w="2500"/>
            <w:shd w:fill="F4EEDD" w:val="clear"/>
            <w:tcMar>
              <w:top w:type="dxa" w:w="100"/>
              <w:left w:type="dxa" w:w="120"/>
              <w:bottom w:type="dxa" w:w="100"/>
              <w:right w:type="dxa" w:w="120"/>
            </w:tcMar>
            <w:vAlign w:val="center"/>
          </w:tcPr>
          <w:p>
            <w:r>
              <w:rPr>
                <w:b w:val="false"/>
                <w:bCs w:val="false"/>
                <w:color w:val="444444"/>
                <w:sz w:val="19"/>
                <w:szCs w:val="19"/>
              </w:rPr>
              <w:t xml:space="preserve">App framework</w:t>
            </w:r>
          </w:p>
        </w:tc>
        <w:tc>
          <w:tcPr>
            <w:tcW w:type="dxa" w:w="3500"/>
            <w:tcMar>
              <w:top w:type="dxa" w:w="100"/>
              <w:left w:type="dxa" w:w="120"/>
              <w:bottom w:type="dxa" w:w="100"/>
              <w:right w:type="dxa" w:w="120"/>
            </w:tcMar>
            <w:vAlign w:val="center"/>
          </w:tcPr>
          <w:p>
            <w:r>
              <w:rPr>
                <w:b w:val="false"/>
                <w:bCs w:val="false"/>
                <w:color w:val="444444"/>
                <w:sz w:val="19"/>
                <w:szCs w:val="19"/>
              </w:rPr>
              <w:t xml:space="preserve">React Native (Expo SDK 51) + TypeScript</w:t>
            </w:r>
          </w:p>
        </w:tc>
        <w:tc>
          <w:tcPr>
            <w:tcW w:type="dxa" w:w="4000"/>
            <w:tcMar>
              <w:top w:type="dxa" w:w="100"/>
              <w:left w:type="dxa" w:w="120"/>
              <w:bottom w:type="dxa" w:w="100"/>
              <w:right w:type="dxa" w:w="120"/>
            </w:tcMar>
            <w:vAlign w:val="center"/>
          </w:tcPr>
          <w:p>
            <w:r>
              <w:rPr>
                <w:b w:val="false"/>
                <w:bCs w:val="false"/>
                <w:color w:val="444444"/>
                <w:sz w:val="18"/>
                <w:szCs w:val="18"/>
              </w:rPr>
              <w:t xml:space="preserve">Cross-platform; current build targets Android via EAS</w:t>
            </w:r>
          </w:p>
        </w:tc>
      </w:tr>
      <w:tr>
        <w:trPr>
          <w:cantSplit/>
        </w:trPr>
        <w:tc>
          <w:tcPr>
            <w:tcW w:type="dxa" w:w="2500"/>
            <w:shd w:fill="F4EEDD" w:val="clear"/>
            <w:tcMar>
              <w:top w:type="dxa" w:w="100"/>
              <w:left w:type="dxa" w:w="120"/>
              <w:bottom w:type="dxa" w:w="100"/>
              <w:right w:type="dxa" w:w="120"/>
            </w:tcMar>
            <w:vAlign w:val="center"/>
          </w:tcPr>
          <w:p>
            <w:r>
              <w:rPr>
                <w:b w:val="false"/>
                <w:bCs w:val="false"/>
                <w:color w:val="444444"/>
                <w:sz w:val="19"/>
                <w:szCs w:val="19"/>
              </w:rPr>
              <w:t xml:space="preserve">State management</w:t>
            </w:r>
          </w:p>
        </w:tc>
        <w:tc>
          <w:tcPr>
            <w:tcW w:type="dxa" w:w="3500"/>
            <w:tcMar>
              <w:top w:type="dxa" w:w="100"/>
              <w:left w:type="dxa" w:w="120"/>
              <w:bottom w:type="dxa" w:w="100"/>
              <w:right w:type="dxa" w:w="120"/>
            </w:tcMar>
            <w:vAlign w:val="center"/>
          </w:tcPr>
          <w:p>
            <w:r>
              <w:rPr>
                <w:b w:val="false"/>
                <w:bCs w:val="false"/>
                <w:color w:val="444444"/>
                <w:sz w:val="19"/>
                <w:szCs w:val="19"/>
              </w:rPr>
              <w:t xml:space="preserve">Zustand</w:t>
            </w:r>
          </w:p>
        </w:tc>
        <w:tc>
          <w:tcPr>
            <w:tcW w:type="dxa" w:w="4000"/>
            <w:tcMar>
              <w:top w:type="dxa" w:w="100"/>
              <w:left w:type="dxa" w:w="120"/>
              <w:bottom w:type="dxa" w:w="100"/>
              <w:right w:type="dxa" w:w="120"/>
            </w:tcMar>
            <w:vAlign w:val="center"/>
          </w:tcPr>
          <w:p>
            <w:r>
              <w:rPr>
                <w:b w:val="false"/>
                <w:bCs w:val="false"/>
                <w:color w:val="444444"/>
                <w:sz w:val="18"/>
                <w:szCs w:val="18"/>
              </w:rPr>
              <w:t xml:space="preserve">Lightweight, no Redux boilerplate</w:t>
            </w:r>
          </w:p>
        </w:tc>
      </w:tr>
      <w:tr>
        <w:trPr>
          <w:cantSplit/>
        </w:trPr>
        <w:tc>
          <w:tcPr>
            <w:tcW w:type="dxa" w:w="2500"/>
            <w:shd w:fill="F4EEDD" w:val="clear"/>
            <w:tcMar>
              <w:top w:type="dxa" w:w="100"/>
              <w:left w:type="dxa" w:w="120"/>
              <w:bottom w:type="dxa" w:w="100"/>
              <w:right w:type="dxa" w:w="120"/>
            </w:tcMar>
            <w:vAlign w:val="center"/>
          </w:tcPr>
          <w:p>
            <w:r>
              <w:rPr>
                <w:b w:val="false"/>
                <w:bCs w:val="false"/>
                <w:color w:val="444444"/>
                <w:sz w:val="19"/>
                <w:szCs w:val="19"/>
              </w:rPr>
              <w:t xml:space="preserve">Backend / database</w:t>
            </w:r>
          </w:p>
        </w:tc>
        <w:tc>
          <w:tcPr>
            <w:tcW w:type="dxa" w:w="3500"/>
            <w:tcMar>
              <w:top w:type="dxa" w:w="100"/>
              <w:left w:type="dxa" w:w="120"/>
              <w:bottom w:type="dxa" w:w="100"/>
              <w:right w:type="dxa" w:w="120"/>
            </w:tcMar>
            <w:vAlign w:val="center"/>
          </w:tcPr>
          <w:p>
            <w:r>
              <w:rPr>
                <w:b w:val="false"/>
                <w:bCs w:val="false"/>
                <w:color w:val="444444"/>
                <w:sz w:val="19"/>
                <w:szCs w:val="19"/>
              </w:rPr>
              <w:t xml:space="preserve">Firebase — Authentication + Firestore</w:t>
            </w:r>
          </w:p>
        </w:tc>
        <w:tc>
          <w:tcPr>
            <w:tcW w:type="dxa" w:w="4000"/>
            <w:tcMar>
              <w:top w:type="dxa" w:w="100"/>
              <w:left w:type="dxa" w:w="120"/>
              <w:bottom w:type="dxa" w:w="100"/>
              <w:right w:type="dxa" w:w="120"/>
            </w:tcMar>
            <w:vAlign w:val="center"/>
          </w:tcPr>
          <w:p>
            <w:r>
              <w:rPr>
                <w:b w:val="false"/>
                <w:bCs w:val="false"/>
                <w:color w:val="444444"/>
                <w:sz w:val="18"/>
                <w:szCs w:val="18"/>
              </w:rPr>
              <w:t xml:space="preserve">Currently on the free Spark plan (no server-side functions)</w:t>
            </w:r>
          </w:p>
        </w:tc>
      </w:tr>
      <w:tr>
        <w:trPr>
          <w:cantSplit/>
        </w:trPr>
        <w:tc>
          <w:tcPr>
            <w:tcW w:type="dxa" w:w="2500"/>
            <w:shd w:fill="F4EEDD" w:val="clear"/>
            <w:tcMar>
              <w:top w:type="dxa" w:w="100"/>
              <w:left w:type="dxa" w:w="120"/>
              <w:bottom w:type="dxa" w:w="100"/>
              <w:right w:type="dxa" w:w="120"/>
            </w:tcMar>
            <w:vAlign w:val="center"/>
          </w:tcPr>
          <w:p>
            <w:r>
              <w:rPr>
                <w:b w:val="false"/>
                <w:bCs w:val="false"/>
                <w:color w:val="444444"/>
                <w:sz w:val="19"/>
                <w:szCs w:val="19"/>
              </w:rPr>
              <w:t xml:space="preserve">Maps &amp; location</w:t>
            </w:r>
          </w:p>
        </w:tc>
        <w:tc>
          <w:tcPr>
            <w:tcW w:type="dxa" w:w="3500"/>
            <w:tcMar>
              <w:top w:type="dxa" w:w="100"/>
              <w:left w:type="dxa" w:w="120"/>
              <w:bottom w:type="dxa" w:w="100"/>
              <w:right w:type="dxa" w:w="120"/>
            </w:tcMar>
            <w:vAlign w:val="center"/>
          </w:tcPr>
          <w:p>
            <w:r>
              <w:rPr>
                <w:b w:val="false"/>
                <w:bCs w:val="false"/>
                <w:color w:val="444444"/>
                <w:sz w:val="19"/>
                <w:szCs w:val="19"/>
              </w:rPr>
              <w:t xml:space="preserve">MapLibre + OpenStreetMap, Nominatim (reverse geocoding)</w:t>
            </w:r>
          </w:p>
        </w:tc>
        <w:tc>
          <w:tcPr>
            <w:tcW w:type="dxa" w:w="4000"/>
            <w:tcMar>
              <w:top w:type="dxa" w:w="100"/>
              <w:left w:type="dxa" w:w="120"/>
              <w:bottom w:type="dxa" w:w="100"/>
              <w:right w:type="dxa" w:w="120"/>
            </w:tcMar>
            <w:vAlign w:val="center"/>
          </w:tcPr>
          <w:p>
            <w:r>
              <w:rPr>
                <w:b w:val="false"/>
                <w:bCs w:val="false"/>
                <w:color w:val="444444"/>
                <w:sz w:val="18"/>
                <w:szCs w:val="18"/>
              </w:rPr>
              <w:t xml:space="preserve">Free, no API key — but rate-limited (~1 req/sec) and community-mapped</w:t>
            </w:r>
          </w:p>
        </w:tc>
      </w:tr>
      <w:tr>
        <w:trPr>
          <w:cantSplit/>
        </w:trPr>
        <w:tc>
          <w:tcPr>
            <w:tcW w:type="dxa" w:w="2500"/>
            <w:shd w:fill="F4EEDD" w:val="clear"/>
            <w:tcMar>
              <w:top w:type="dxa" w:w="100"/>
              <w:left w:type="dxa" w:w="120"/>
              <w:bottom w:type="dxa" w:w="100"/>
              <w:right w:type="dxa" w:w="120"/>
            </w:tcMar>
            <w:vAlign w:val="center"/>
          </w:tcPr>
          <w:p>
            <w:r>
              <w:rPr>
                <w:b w:val="false"/>
                <w:bCs w:val="false"/>
                <w:color w:val="444444"/>
                <w:sz w:val="19"/>
                <w:szCs w:val="19"/>
              </w:rPr>
              <w:t xml:space="preserve">Push notifications</w:t>
            </w:r>
          </w:p>
        </w:tc>
        <w:tc>
          <w:tcPr>
            <w:tcW w:type="dxa" w:w="3500"/>
            <w:tcMar>
              <w:top w:type="dxa" w:w="100"/>
              <w:left w:type="dxa" w:w="120"/>
              <w:bottom w:type="dxa" w:w="100"/>
              <w:right w:type="dxa" w:w="120"/>
            </w:tcMar>
            <w:vAlign w:val="center"/>
          </w:tcPr>
          <w:p>
            <w:r>
              <w:rPr>
                <w:b w:val="false"/>
                <w:bCs w:val="false"/>
                <w:color w:val="444444"/>
                <w:sz w:val="19"/>
                <w:szCs w:val="19"/>
              </w:rPr>
              <w:t xml:space="preserve">Expo push service</w:t>
            </w:r>
          </w:p>
        </w:tc>
        <w:tc>
          <w:tcPr>
            <w:tcW w:type="dxa" w:w="4000"/>
            <w:tcMar>
              <w:top w:type="dxa" w:w="100"/>
              <w:left w:type="dxa" w:w="120"/>
              <w:bottom w:type="dxa" w:w="100"/>
              <w:right w:type="dxa" w:w="120"/>
            </w:tcMar>
            <w:vAlign w:val="center"/>
          </w:tcPr>
          <w:p>
            <w:r>
              <w:rPr>
                <w:b w:val="false"/>
                <w:bCs w:val="false"/>
                <w:color w:val="444444"/>
                <w:sz w:val="18"/>
                <w:szCs w:val="18"/>
              </w:rPr>
              <w:t xml:space="preserve">Client-to-client token exchange (still no server broker) — but the token itself is now access-controlled, not broadly readable; see Section 8.1</w:t>
            </w:r>
          </w:p>
        </w:tc>
      </w:tr>
      <w:tr>
        <w:trPr>
          <w:cantSplit/>
        </w:trPr>
        <w:tc>
          <w:tcPr>
            <w:tcW w:type="dxa" w:w="2500"/>
            <w:shd w:fill="F4EEDD" w:val="clear"/>
            <w:tcMar>
              <w:top w:type="dxa" w:w="100"/>
              <w:left w:type="dxa" w:w="120"/>
              <w:bottom w:type="dxa" w:w="100"/>
              <w:right w:type="dxa" w:w="120"/>
            </w:tcMar>
            <w:vAlign w:val="center"/>
          </w:tcPr>
          <w:p>
            <w:r>
              <w:rPr>
                <w:b w:val="false"/>
                <w:bCs w:val="false"/>
                <w:color w:val="444444"/>
                <w:sz w:val="19"/>
                <w:szCs w:val="19"/>
              </w:rPr>
              <w:t xml:space="preserve">Local persistence</w:t>
            </w:r>
          </w:p>
        </w:tc>
        <w:tc>
          <w:tcPr>
            <w:tcW w:type="dxa" w:w="3500"/>
            <w:tcMar>
              <w:top w:type="dxa" w:w="100"/>
              <w:left w:type="dxa" w:w="120"/>
              <w:bottom w:type="dxa" w:w="100"/>
              <w:right w:type="dxa" w:w="120"/>
            </w:tcMar>
            <w:vAlign w:val="center"/>
          </w:tcPr>
          <w:p>
            <w:r>
              <w:rPr>
                <w:b w:val="false"/>
                <w:bCs w:val="false"/>
                <w:color w:val="444444"/>
                <w:sz w:val="19"/>
                <w:szCs w:val="19"/>
              </w:rPr>
              <w:t xml:space="preserve">AsyncStorage</w:t>
            </w:r>
          </w:p>
        </w:tc>
        <w:tc>
          <w:tcPr>
            <w:tcW w:type="dxa" w:w="4000"/>
            <w:tcMar>
              <w:top w:type="dxa" w:w="100"/>
              <w:left w:type="dxa" w:w="120"/>
              <w:bottom w:type="dxa" w:w="100"/>
              <w:right w:type="dxa" w:w="120"/>
            </w:tcMar>
            <w:vAlign w:val="center"/>
          </w:tcPr>
          <w:p>
            <w:r>
              <w:rPr>
                <w:b w:val="false"/>
                <w:bCs w:val="false"/>
                <w:color w:val="444444"/>
                <w:sz w:val="18"/>
                <w:szCs w:val="18"/>
              </w:rPr>
              <w:t xml:space="preserve">Language preference, session</w:t>
            </w:r>
          </w:p>
        </w:tc>
      </w:tr>
      <w:tr>
        <w:trPr>
          <w:cantSplit/>
        </w:trPr>
        <w:tc>
          <w:tcPr>
            <w:tcW w:type="dxa" w:w="2500"/>
            <w:shd w:fill="F4EEDD" w:val="clear"/>
            <w:tcMar>
              <w:top w:type="dxa" w:w="100"/>
              <w:left w:type="dxa" w:w="120"/>
              <w:bottom w:type="dxa" w:w="100"/>
              <w:right w:type="dxa" w:w="120"/>
            </w:tcMar>
            <w:vAlign w:val="center"/>
          </w:tcPr>
          <w:p>
            <w:r>
              <w:rPr>
                <w:b w:val="false"/>
                <w:bCs w:val="false"/>
                <w:color w:val="444444"/>
                <w:sz w:val="19"/>
                <w:szCs w:val="19"/>
              </w:rPr>
              <w:t xml:space="preserve">Encryption</w:t>
            </w:r>
          </w:p>
        </w:tc>
        <w:tc>
          <w:tcPr>
            <w:tcW w:type="dxa" w:w="3500"/>
            <w:tcMar>
              <w:top w:type="dxa" w:w="100"/>
              <w:left w:type="dxa" w:w="120"/>
              <w:bottom w:type="dxa" w:w="100"/>
              <w:right w:type="dxa" w:w="120"/>
            </w:tcMar>
            <w:vAlign w:val="center"/>
          </w:tcPr>
          <w:p>
            <w:r>
              <w:rPr>
                <w:b w:val="false"/>
                <w:bCs w:val="false"/>
                <w:color w:val="444444"/>
                <w:sz w:val="19"/>
                <w:szCs w:val="19"/>
              </w:rPr>
              <w:t xml:space="preserve">AES via crypto-js (client-side)</w:t>
            </w:r>
          </w:p>
        </w:tc>
        <w:tc>
          <w:tcPr>
            <w:tcW w:type="dxa" w:w="4000"/>
            <w:tcMar>
              <w:top w:type="dxa" w:w="100"/>
              <w:left w:type="dxa" w:w="120"/>
              <w:bottom w:type="dxa" w:w="100"/>
              <w:right w:type="dxa" w:w="120"/>
            </w:tcMar>
            <w:vAlign w:val="center"/>
          </w:tcPr>
          <w:p>
            <w:r>
              <w:rPr>
                <w:b w:val="false"/>
                <w:bCs w:val="false"/>
                <w:color w:val="444444"/>
                <w:sz w:val="18"/>
                <w:szCs w:val="18"/>
              </w:rPr>
              <w:t xml:space="preserve">Used to encrypt national ID before it is written to Firestore</w:t>
            </w:r>
          </w:p>
        </w:tc>
      </w:tr>
      <w:tr>
        <w:trPr>
          <w:cantSplit/>
        </w:trPr>
        <w:tc>
          <w:tcPr>
            <w:tcW w:type="dxa" w:w="2500"/>
            <w:shd w:fill="F4EEDD" w:val="clear"/>
            <w:tcMar>
              <w:top w:type="dxa" w:w="100"/>
              <w:left w:type="dxa" w:w="120"/>
              <w:bottom w:type="dxa" w:w="100"/>
              <w:right w:type="dxa" w:w="120"/>
            </w:tcMar>
            <w:vAlign w:val="center"/>
          </w:tcPr>
          <w:p>
            <w:r>
              <w:rPr>
                <w:b w:val="false"/>
                <w:bCs w:val="false"/>
                <w:color w:val="444444"/>
                <w:sz w:val="19"/>
                <w:szCs w:val="19"/>
              </w:rPr>
              <w:t xml:space="preserve">Localization</w:t>
            </w:r>
          </w:p>
        </w:tc>
        <w:tc>
          <w:tcPr>
            <w:tcW w:type="dxa" w:w="3500"/>
            <w:tcMar>
              <w:top w:type="dxa" w:w="100"/>
              <w:left w:type="dxa" w:w="120"/>
              <w:bottom w:type="dxa" w:w="100"/>
              <w:right w:type="dxa" w:w="120"/>
            </w:tcMar>
            <w:vAlign w:val="center"/>
          </w:tcPr>
          <w:p>
            <w:r>
              <w:rPr>
                <w:b w:val="false"/>
                <w:bCs w:val="false"/>
                <w:color w:val="444444"/>
                <w:sz w:val="19"/>
                <w:szCs w:val="19"/>
              </w:rPr>
              <w:t xml:space="preserve">Custom typed i18n layer (English + Arabic)</w:t>
            </w:r>
          </w:p>
        </w:tc>
        <w:tc>
          <w:tcPr>
            <w:tcW w:type="dxa" w:w="4000"/>
            <w:tcMar>
              <w:top w:type="dxa" w:w="100"/>
              <w:left w:type="dxa" w:w="120"/>
              <w:bottom w:type="dxa" w:w="100"/>
              <w:right w:type="dxa" w:w="120"/>
            </w:tcMar>
            <w:vAlign w:val="center"/>
          </w:tcPr>
          <w:p>
            <w:r>
              <w:rPr>
                <w:b w:val="false"/>
                <w:bCs w:val="false"/>
                <w:color w:val="444444"/>
                <w:sz w:val="18"/>
                <w:szCs w:val="18"/>
              </w:rPr>
              <w:t xml:space="preserve">Arabic keys are type-checked against English at compile time</w:t>
            </w:r>
          </w:p>
        </w:tc>
      </w:tr>
      <w:tr>
        <w:trPr>
          <w:cantSplit/>
        </w:trPr>
        <w:tc>
          <w:tcPr>
            <w:tcW w:type="dxa" w:w="2500"/>
            <w:shd w:fill="F4EEDD" w:val="clear"/>
            <w:tcMar>
              <w:top w:type="dxa" w:w="100"/>
              <w:left w:type="dxa" w:w="120"/>
              <w:bottom w:type="dxa" w:w="100"/>
              <w:right w:type="dxa" w:w="120"/>
            </w:tcMar>
            <w:vAlign w:val="center"/>
          </w:tcPr>
          <w:p>
            <w:r>
              <w:rPr>
                <w:b w:val="false"/>
                <w:bCs w:val="false"/>
                <w:color w:val="444444"/>
                <w:sz w:val="19"/>
                <w:szCs w:val="19"/>
              </w:rPr>
              <w:t xml:space="preserve">Build / distribution</w:t>
            </w:r>
          </w:p>
        </w:tc>
        <w:tc>
          <w:tcPr>
            <w:tcW w:type="dxa" w:w="3500"/>
            <w:tcMar>
              <w:top w:type="dxa" w:w="100"/>
              <w:left w:type="dxa" w:w="120"/>
              <w:bottom w:type="dxa" w:w="100"/>
              <w:right w:type="dxa" w:w="120"/>
            </w:tcMar>
            <w:vAlign w:val="center"/>
          </w:tcPr>
          <w:p>
            <w:r>
              <w:rPr>
                <w:b w:val="false"/>
                <w:bCs w:val="false"/>
                <w:color w:val="444444"/>
                <w:sz w:val="19"/>
                <w:szCs w:val="19"/>
              </w:rPr>
              <w:t xml:space="preserve">EAS Build</w:t>
            </w:r>
          </w:p>
        </w:tc>
        <w:tc>
          <w:tcPr>
            <w:tcW w:type="dxa" w:w="4000"/>
            <w:tcMar>
              <w:top w:type="dxa" w:w="100"/>
              <w:left w:type="dxa" w:w="120"/>
              <w:bottom w:type="dxa" w:w="100"/>
              <w:right w:type="dxa" w:w="120"/>
            </w:tcMar>
            <w:vAlign w:val="center"/>
          </w:tcPr>
          <w:p>
            <w:r>
              <w:rPr>
                <w:b w:val="false"/>
                <w:bCs w:val="false"/>
                <w:color w:val="444444"/>
                <w:sz w:val="18"/>
                <w:szCs w:val="18"/>
              </w:rPr>
              <w:t xml:space="preserve">Produces installable standalone Android APKs</w:t>
            </w:r>
          </w:p>
        </w:tc>
      </w:tr>
    </w:tbl>
    <w:p>
      <w:pPr>
        <w:pStyle w:val="Heading1"/>
        <w:pBdr>
          <w:bottom w:val="single" w:color="B08D3F" w:sz="6" w:space="4"/>
        </w:pBdr>
        <w:spacing w:after="160" w:before="360"/>
      </w:pPr>
      <w:r>
        <w:rPr>
          <w:b/>
          <w:bCs/>
          <w:color w:val="1B2A4A"/>
          <w:sz w:val="30"/>
          <w:szCs w:val="30"/>
        </w:rPr>
        <w:t xml:space="preserve">7. What Has Been Built — Current Status</w:t>
      </w:r>
    </w:p>
    <w:p>
      <w:pPr>
        <w:spacing w:after="140" w:line="276"/>
      </w:pPr>
      <w:r>
        <w:rPr>
          <w:b w:val="false"/>
          <w:bCs w:val="false"/>
          <w:i w:val="false"/>
          <w:iCs w:val="false"/>
          <w:color w:val="444444"/>
          <w:sz w:val="21"/>
          <w:szCs w:val="21"/>
        </w:rPr>
        <w:t xml:space="preserve">This section states, honestly, what is finished and working versus what is partially done. Ratings reflect the current build, not the intended end state.</w:t>
      </w:r>
    </w:p>
    <w:p>
      <w:pPr>
        <w:spacing w:after="100"/>
      </w:pPr>
      <w:r>
        <w:rPr>
          <w:b/>
          <w:bCs/>
          <w:color w:val="1B2A4A"/>
          <w:sz w:val="21"/>
          <w:szCs w:val="21"/>
        </w:rPr>
        <w:t xml:space="preserve">Client request-to-completion flow</w:t>
      </w:r>
      <w:r>
        <w:t xml:space="preserve">   </w:t>
      </w:r>
      <w:r>
        <w:rPr>
          <w:b/>
          <w:bCs/>
          <w:color w:val="FFFFFF"/>
          <w:sz w:val="16"/>
          <w:szCs w:val="16"/>
          <w:shd w:fill="2E7D32" w:val="clear"/>
        </w:rPr>
        <w:t xml:space="preserve">  DONE  </w:t>
      </w:r>
      <w:r>
        <w:rPr>
          <w:color w:val="444444"/>
          <w:sz w:val="20"/>
          <w:szCs w:val="20"/>
        </w:rPr>
        <w:t xml:space="preserve">   Full loop works end to end: pick service → pick location → pick provider → request → live status → history.</w:t>
      </w:r>
    </w:p>
    <w:p>
      <w:pPr>
        <w:spacing w:after="100"/>
      </w:pPr>
      <w:r>
        <w:rPr>
          <w:b/>
          <w:bCs/>
          <w:color w:val="1B2A4A"/>
          <w:sz w:val="21"/>
          <w:szCs w:val="21"/>
        </w:rPr>
        <w:t xml:space="preserve">Provider (worker) flow</w:t>
      </w:r>
      <w:r>
        <w:t xml:space="preserve">   </w:t>
      </w:r>
      <w:r>
        <w:rPr>
          <w:b/>
          <w:bCs/>
          <w:color w:val="FFFFFF"/>
          <w:sz w:val="16"/>
          <w:szCs w:val="16"/>
          <w:shd w:fill="2E7D32" w:val="clear"/>
        </w:rPr>
        <w:t xml:space="preserve">  DONE  </w:t>
      </w:r>
      <w:r>
        <w:rPr>
          <w:color w:val="444444"/>
          <w:sz w:val="20"/>
          <w:szCs w:val="20"/>
        </w:rPr>
        <w:t xml:space="preserve">   Onboarding, dashboard, accept/decline, availability toggle, history all implemented.</w:t>
      </w:r>
    </w:p>
    <w:p>
      <w:pPr>
        <w:spacing w:after="100"/>
      </w:pPr>
      <w:r>
        <w:rPr>
          <w:b/>
          <w:bCs/>
          <w:color w:val="1B2A4A"/>
          <w:sz w:val="21"/>
          <w:szCs w:val="21"/>
        </w:rPr>
        <w:t xml:space="preserve">Config-driven service system</w:t>
      </w:r>
      <w:r>
        <w:t xml:space="preserve">   </w:t>
      </w:r>
      <w:r>
        <w:rPr>
          <w:b/>
          <w:bCs/>
          <w:color w:val="FFFFFF"/>
          <w:sz w:val="16"/>
          <w:szCs w:val="16"/>
          <w:shd w:fill="2E7D32" w:val="clear"/>
        </w:rPr>
        <w:t xml:space="preserve">  DONE  </w:t>
      </w:r>
      <w:r>
        <w:rPr>
          <w:color w:val="444444"/>
          <w:sz w:val="20"/>
          <w:szCs w:val="20"/>
        </w:rPr>
        <w:t xml:space="preserve">   One config file defines all six services — label, fields, pricing. Adding a service is a data entry, not new code.</w:t>
      </w:r>
    </w:p>
    <w:p>
      <w:pPr>
        <w:spacing w:after="100"/>
      </w:pPr>
      <w:r>
        <w:rPr>
          <w:b/>
          <w:bCs/>
          <w:color w:val="1B2A4A"/>
          <w:sz w:val="21"/>
          <w:szCs w:val="21"/>
        </w:rPr>
        <w:t xml:space="preserve">Distance-based pricing engine</w:t>
      </w:r>
      <w:r>
        <w:t xml:space="preserve">   </w:t>
      </w:r>
      <w:r>
        <w:rPr>
          <w:b/>
          <w:bCs/>
          <w:color w:val="FFFFFF"/>
          <w:sz w:val="16"/>
          <w:szCs w:val="16"/>
          <w:shd w:fill="2E7D32" w:val="clear"/>
        </w:rPr>
        <w:t xml:space="preserve">  DONE  </w:t>
      </w:r>
      <w:r>
        <w:rPr>
          <w:color w:val="444444"/>
          <w:sz w:val="20"/>
          <w:szCs w:val="20"/>
        </w:rPr>
        <w:t xml:space="preserve">   Base fee + per-meter rate, with a near/far threshold, computed per service; item-based add-ons (e.g. fuel × price/liter) supported.</w:t>
      </w:r>
    </w:p>
    <w:p>
      <w:pPr>
        <w:spacing w:after="100"/>
      </w:pPr>
      <w:r>
        <w:rPr>
          <w:b/>
          <w:bCs/>
          <w:color w:val="1B2A4A"/>
          <w:sz w:val="21"/>
          <w:szCs w:val="21"/>
        </w:rPr>
        <w:t xml:space="preserve">Saved vehicles</w:t>
      </w:r>
      <w:r>
        <w:t xml:space="preserve">   </w:t>
      </w:r>
      <w:r>
        <w:rPr>
          <w:b/>
          <w:bCs/>
          <w:color w:val="FFFFFF"/>
          <w:sz w:val="16"/>
          <w:szCs w:val="16"/>
          <w:shd w:fill="2E7D32" w:val="clear"/>
        </w:rPr>
        <w:t xml:space="preserve">  DONE  </w:t>
      </w:r>
      <w:r>
        <w:rPr>
          <w:color w:val="444444"/>
          <w:sz w:val="20"/>
          <w:szCs w:val="20"/>
        </w:rPr>
        <w:t xml:space="preserve">   Up to 3 vehicles per client profile, auto-fills mechanic/tow/garage request forms.</w:t>
      </w:r>
    </w:p>
    <w:p>
      <w:pPr>
        <w:spacing w:after="100"/>
      </w:pPr>
      <w:r>
        <w:rPr>
          <w:b/>
          <w:bCs/>
          <w:color w:val="1B2A4A"/>
          <w:sz w:val="21"/>
          <w:szCs w:val="21"/>
        </w:rPr>
        <w:t xml:space="preserve">National ID handling</w:t>
      </w:r>
      <w:r>
        <w:t xml:space="preserve">   </w:t>
      </w:r>
      <w:r>
        <w:rPr>
          <w:b/>
          <w:bCs/>
          <w:color w:val="FFFFFF"/>
          <w:sz w:val="16"/>
          <w:szCs w:val="16"/>
          <w:shd w:fill="B08D00" w:val="clear"/>
        </w:rPr>
        <w:t xml:space="preserve">  PARTIAL  </w:t>
      </w:r>
      <w:r>
        <w:rPr>
          <w:color w:val="444444"/>
          <w:sz w:val="20"/>
          <w:szCs w:val="20"/>
        </w:rPr>
        <w:t xml:space="preserve">   Client-side AES encryption before writing to the database; providers see a badge, never the number. The encryption key itself ships inside the app bundle — see Section 8.</w:t>
      </w:r>
    </w:p>
    <w:p>
      <w:pPr>
        <w:spacing w:after="100"/>
      </w:pPr>
      <w:r>
        <w:rPr>
          <w:b/>
          <w:bCs/>
          <w:color w:val="1B2A4A"/>
          <w:sz w:val="21"/>
          <w:szCs w:val="21"/>
        </w:rPr>
        <w:t xml:space="preserve">Offline handling</w:t>
      </w:r>
      <w:r>
        <w:t xml:space="preserve">   </w:t>
      </w:r>
      <w:r>
        <w:rPr>
          <w:b/>
          <w:bCs/>
          <w:color w:val="FFFFFF"/>
          <w:sz w:val="16"/>
          <w:szCs w:val="16"/>
          <w:shd w:fill="2E7D32" w:val="clear"/>
        </w:rPr>
        <w:t xml:space="preserve">  DONE  </w:t>
      </w:r>
      <w:r>
        <w:rPr>
          <w:color w:val="444444"/>
          <w:sz w:val="20"/>
          <w:szCs w:val="20"/>
        </w:rPr>
        <w:t xml:space="preserve">   Independent connectivity signal (not reliant on Firestore callbacks) drives a visible banner across every screen; guards against actions silently hanging.</w:t>
      </w:r>
    </w:p>
    <w:p>
      <w:pPr>
        <w:spacing w:after="100"/>
      </w:pPr>
      <w:r>
        <w:rPr>
          <w:b/>
          <w:bCs/>
          <w:color w:val="1B2A4A"/>
          <w:sz w:val="21"/>
          <w:szCs w:val="21"/>
        </w:rPr>
        <w:t xml:space="preserve">Request state integrity</w:t>
      </w:r>
      <w:r>
        <w:t xml:space="preserve">   </w:t>
      </w:r>
      <w:r>
        <w:rPr>
          <w:b/>
          <w:bCs/>
          <w:color w:val="FFFFFF"/>
          <w:sz w:val="16"/>
          <w:szCs w:val="16"/>
          <w:shd w:fill="2E7D32" w:val="clear"/>
        </w:rPr>
        <w:t xml:space="preserve">  DONE  </w:t>
      </w:r>
      <w:r>
        <w:rPr>
          <w:color w:val="444444"/>
          <w:sz w:val="20"/>
          <w:szCs w:val="20"/>
        </w:rPr>
        <w:t xml:space="preserve">   Firestore security rules enforce a strict state machine (pending→accepted/declined/cancelled, accepted→completed/cancelled); no other transition or field edit is possible; full audit trail (no hard deletes).</w:t>
      </w:r>
    </w:p>
    <w:p>
      <w:pPr>
        <w:spacing w:after="100"/>
      </w:pPr>
      <w:r>
        <w:rPr>
          <w:b/>
          <w:bCs/>
          <w:color w:val="1B2A4A"/>
          <w:sz w:val="21"/>
          <w:szCs w:val="21"/>
        </w:rPr>
        <w:t xml:space="preserve">Arabic / RTL localization</w:t>
      </w:r>
      <w:r>
        <w:t xml:space="preserve">   </w:t>
      </w:r>
      <w:r>
        <w:rPr>
          <w:b/>
          <w:bCs/>
          <w:color w:val="FFFFFF"/>
          <w:sz w:val="16"/>
          <w:szCs w:val="16"/>
          <w:shd w:fill="B08D00" w:val="clear"/>
        </w:rPr>
        <w:t xml:space="preserve">  PARTIAL  </w:t>
      </w:r>
      <w:r>
        <w:rPr>
          <w:color w:val="444444"/>
          <w:sz w:val="20"/>
          <w:szCs w:val="20"/>
        </w:rPr>
        <w:t xml:space="preserve">   Typed translation system in place and proven on 4 of 14 screens (sign-in, sign-up, service selection, worker dashboard). Remaining 10 screens — including the new Payment screen — are still English-only.</w:t>
      </w:r>
    </w:p>
    <w:p>
      <w:pPr>
        <w:spacing w:after="100"/>
      </w:pPr>
      <w:r>
        <w:rPr>
          <w:b/>
          <w:bCs/>
          <w:color w:val="1B2A4A"/>
          <w:sz w:val="21"/>
          <w:szCs w:val="21"/>
        </w:rPr>
        <w:t xml:space="preserve">Payments</w:t>
      </w:r>
      <w:r>
        <w:t xml:space="preserve">   </w:t>
      </w:r>
      <w:r>
        <w:rPr>
          <w:b/>
          <w:bCs/>
          <w:color w:val="FFFFFF"/>
          <w:sz w:val="16"/>
          <w:szCs w:val="16"/>
          <w:shd w:fill="B08D00" w:val="clear"/>
        </w:rPr>
        <w:t xml:space="preserve">  PARTIAL  </w:t>
      </w:r>
      <w:r>
        <w:rPr>
          <w:color w:val="444444"/>
          <w:sz w:val="20"/>
          <w:szCs w:val="20"/>
        </w:rPr>
        <w:t xml:space="preserve">   Cash/card selection and a guarded "mark as paid" flow are built end to end, with Firestore rules enforcing it can only happen once, only after a job is completed, and only by the client. Card payment is currently simulated — a timed delay, no live charge — and no real gateway is integrated yet.</w:t>
      </w:r>
    </w:p>
    <w:p>
      <w:pPr>
        <w:spacing w:after="100"/>
      </w:pPr>
      <w:r>
        <w:rPr>
          <w:b/>
          <w:bCs/>
          <w:color w:val="1B2A4A"/>
          <w:sz w:val="21"/>
          <w:szCs w:val="21"/>
        </w:rPr>
        <w:t xml:space="preserve">Admin / backoffice</w:t>
      </w:r>
      <w:r>
        <w:t xml:space="preserve">   </w:t>
      </w:r>
      <w:r>
        <w:rPr>
          <w:b/>
          <w:bCs/>
          <w:color w:val="FFFFFF"/>
          <w:sz w:val="16"/>
          <w:szCs w:val="16"/>
          <w:shd w:fill="C0392B" w:val="clear"/>
        </w:rPr>
        <w:t xml:space="preserve">  NOT STARTED  </w:t>
      </w:r>
      <w:r>
        <w:rPr>
          <w:color w:val="444444"/>
          <w:sz w:val="20"/>
          <w:szCs w:val="20"/>
        </w:rPr>
        <w:t xml:space="preserve">   No dashboard exists for a non-developer to manage providers, verify KYC, view disputes, or pull business analytics.</w:t>
      </w:r>
    </w:p>
    <w:p>
      <w:pPr>
        <w:spacing w:after="100"/>
      </w:pPr>
      <w:r>
        <w:rPr>
          <w:b/>
          <w:bCs/>
          <w:color w:val="1B2A4A"/>
          <w:sz w:val="21"/>
          <w:szCs w:val="21"/>
        </w:rPr>
        <w:t xml:space="preserve">Automated testing</w:t>
      </w:r>
      <w:r>
        <w:t xml:space="preserve">   </w:t>
      </w:r>
      <w:r>
        <w:rPr>
          <w:b/>
          <w:bCs/>
          <w:color w:val="FFFFFF"/>
          <w:sz w:val="16"/>
          <w:szCs w:val="16"/>
          <w:shd w:fill="C0392B" w:val="clear"/>
        </w:rPr>
        <w:t xml:space="preserve">  NOT STARTED  </w:t>
      </w:r>
      <w:r>
        <w:rPr>
          <w:color w:val="444444"/>
          <w:sz w:val="20"/>
          <w:szCs w:val="20"/>
        </w:rPr>
        <w:t xml:space="preserve">   No unit, integration, or end-to-end tests in the project.</w:t>
      </w:r>
    </w:p>
    <w:p>
      <w:pPr>
        <w:spacing w:after="100"/>
      </w:pPr>
      <w:r>
        <w:rPr>
          <w:b/>
          <w:bCs/>
          <w:color w:val="1B2A4A"/>
          <w:sz w:val="21"/>
          <w:szCs w:val="21"/>
        </w:rPr>
        <w:t xml:space="preserve">Server-side backend logic</w:t>
      </w:r>
      <w:r>
        <w:t xml:space="preserve">   </w:t>
      </w:r>
      <w:r>
        <w:rPr>
          <w:b/>
          <w:bCs/>
          <w:color w:val="FFFFFF"/>
          <w:sz w:val="16"/>
          <w:szCs w:val="16"/>
          <w:shd w:fill="C0392B" w:val="clear"/>
        </w:rPr>
        <w:t xml:space="preserve">  NOT STARTED  </w:t>
      </w:r>
      <w:r>
        <w:rPr>
          <w:color w:val="444444"/>
          <w:sz w:val="20"/>
          <w:szCs w:val="20"/>
        </w:rPr>
        <w:t xml:space="preserve">   Project runs entirely client-side against Firebase's free tier — no Cloud Functions. Several security gaps below can only be closed with server-side logic.</w:t>
      </w:r>
    </w:p>
    <w:p>
      <w:pPr>
        <w:pStyle w:val="Heading1"/>
        <w:pBdr>
          <w:bottom w:val="single" w:color="B08D3F" w:sz="6" w:space="4"/>
        </w:pBdr>
        <w:spacing w:after="160" w:before="360"/>
      </w:pPr>
      <w:r>
        <w:rPr>
          <w:b/>
          <w:bCs/>
          <w:color w:val="1B2A4A"/>
          <w:sz w:val="30"/>
          <w:szCs w:val="30"/>
        </w:rPr>
        <w:t xml:space="preserve">8. What Is Missing</w:t>
      </w:r>
    </w:p>
    <w:p>
      <w:pPr>
        <w:pStyle w:val="Heading2"/>
        <w:spacing w:after="120" w:before="260"/>
      </w:pPr>
      <w:r>
        <w:rPr>
          <w:b/>
          <w:bCs/>
          <w:color w:val="1B2A4A"/>
          <w:sz w:val="24"/>
          <w:szCs w:val="24"/>
        </w:rPr>
        <w:t xml:space="preserve">8.1 Security &amp; Data Integrity</w:t>
      </w:r>
    </w:p>
    <w:p>
      <w:pPr>
        <w:pStyle w:val="ListParagraph"/>
        <w:numPr>
          <w:ilvl w:val="0"/>
          <w:numId w:val="2"/>
        </w:numPr>
        <w:spacing w:after="80" w:line="270"/>
      </w:pPr>
      <w:r>
        <w:rPr>
          <w:b/>
          <w:bCs/>
          <w:color w:val="1B2A4A"/>
          <w:sz w:val="21"/>
          <w:szCs w:val="21"/>
        </w:rPr>
        <w:t xml:space="preserve">Price validation:</w:t>
      </w:r>
      <w:r>
        <w:rPr>
          <w:color w:val="444444"/>
          <w:sz w:val="21"/>
          <w:szCs w:val="21"/>
        </w:rPr>
        <w:t xml:space="preserve"> The price attached to a request is calculated on the client and never re-checked server-side against the actual pricing formula. Current rules stop an obviously invalid price (negative or zero) but cannot verify the number is correct for the distance and service — a real tampering risk on every paid transaction.</w:t>
      </w:r>
    </w:p>
    <w:p>
      <w:pPr>
        <w:pStyle w:val="ListParagraph"/>
        <w:numPr>
          <w:ilvl w:val="0"/>
          <w:numId w:val="2"/>
        </w:numPr>
        <w:spacing w:after="80" w:line="270"/>
      </w:pPr>
      <w:r>
        <w:rPr>
          <w:b/>
          <w:bCs/>
          <w:color w:val="2E7D32"/>
          <w:sz w:val="21"/>
          <w:szCs w:val="21"/>
        </w:rPr>
        <w:t xml:space="preserve">Push token exposure — resolved:</w:t>
      </w:r>
      <w:r>
        <w:rPr>
          <w:color w:val="444444"/>
          <w:sz w:val="21"/>
          <w:szCs w:val="21"/>
        </w:rPr>
        <w:t xml:space="preserve"> This was flagged in an earlier review. It has since been fixed without a backend: each provider's push token now lives in a private, request-scoped record rather than on the broadly-readable provider listing, readable only by the provider themself or a client currently in an active request with them, verified against the real request rather than trusted blindly.</w:t>
      </w:r>
    </w:p>
    <w:p>
      <w:pPr>
        <w:pStyle w:val="ListParagraph"/>
        <w:numPr>
          <w:ilvl w:val="0"/>
          <w:numId w:val="2"/>
        </w:numPr>
        <w:spacing w:after="80" w:line="270"/>
      </w:pPr>
      <w:r>
        <w:rPr>
          <w:b/>
          <w:bCs/>
          <w:color w:val="1B2A4A"/>
          <w:sz w:val="21"/>
          <w:szCs w:val="21"/>
        </w:rPr>
        <w:t xml:space="preserve">Encryption key location:</w:t>
      </w:r>
      <w:r>
        <w:rPr>
          <w:color w:val="444444"/>
          <w:sz w:val="21"/>
          <w:szCs w:val="21"/>
        </w:rPr>
        <w:t xml:space="preserve"> The key used to encrypt national ID numbers ships inside the installed app itself. It protects the ID from casual database browsing but not from someone reverse-engineering the app — a real weakness for an app handling government identification numbers.</w:t>
      </w:r>
    </w:p>
    <w:p>
      <w:pPr>
        <w:pStyle w:val="ListParagraph"/>
        <w:numPr>
          <w:ilvl w:val="0"/>
          <w:numId w:val="2"/>
        </w:numPr>
        <w:spacing w:after="80" w:line="270"/>
      </w:pPr>
      <w:r>
        <w:rPr>
          <w:b/>
          <w:bCs/>
          <w:color w:val="2E7D32"/>
          <w:sz w:val="21"/>
          <w:szCs w:val="21"/>
        </w:rPr>
        <w:t xml:space="preserve">Admin credentials in the project export — resolved:</w:t>
      </w:r>
      <w:r>
        <w:rPr>
          <w:color w:val="444444"/>
          <w:sz w:val="21"/>
          <w:szCs w:val="21"/>
        </w:rPr>
        <w:t xml:space="preserve"> A Firebase Admin SDK service-account key file was found sitting in the project root alongside the public app config during an earlier review. That key grants full server-side access to the Firebase project and is not the same as the public config file. It has since been removed from version control and rotated, along with `.env` and `google-services.json` — the app now pulls the Google services file from an EAS environment variable via a dynamic `app.config.js` instead of a repo-tracked file.</w:t>
      </w:r>
    </w:p>
    <w:p>
      <w:pPr>
        <w:pStyle w:val="Heading2"/>
        <w:spacing w:after="120" w:before="260"/>
      </w:pPr>
      <w:r>
        <w:rPr>
          <w:b/>
          <w:bCs/>
          <w:color w:val="1B2A4A"/>
          <w:sz w:val="24"/>
          <w:szCs w:val="24"/>
        </w:rPr>
        <w:t xml:space="preserve">8.2 Business &amp; Monetization Layer</w:t>
      </w:r>
    </w:p>
    <w:p>
      <w:pPr>
        <w:pStyle w:val="ListParagraph"/>
        <w:numPr>
          <w:ilvl w:val="0"/>
          <w:numId w:val="2"/>
        </w:numPr>
        <w:spacing w:after="80" w:line="270"/>
      </w:pPr>
      <w:r>
        <w:rPr>
          <w:b/>
          <w:bCs/>
          <w:color w:val="1B2A4A"/>
          <w:sz w:val="21"/>
          <w:szCs w:val="21"/>
        </w:rPr>
        <w:t xml:space="preserve">No payment gateway:</w:t>
      </w:r>
      <w:r>
        <w:rPr>
          <w:color w:val="444444"/>
          <w:sz w:val="21"/>
          <w:szCs w:val="21"/>
        </w:rPr>
        <w:t xml:space="preserve"> No mada, Apple Pay, STC Pay, or any other gateway is integrated. There is currently no mechanism for Tari9 to collect a commission or for a client to pay in-app.</w:t>
      </w:r>
    </w:p>
    <w:p>
      <w:pPr>
        <w:pStyle w:val="ListParagraph"/>
        <w:numPr>
          <w:ilvl w:val="0"/>
          <w:numId w:val="2"/>
        </w:numPr>
        <w:spacing w:after="80" w:line="270"/>
      </w:pPr>
      <w:r>
        <w:rPr>
          <w:b/>
          <w:bCs/>
          <w:color w:val="1B2A4A"/>
          <w:sz w:val="21"/>
          <w:szCs w:val="21"/>
        </w:rPr>
        <w:t xml:space="preserve">No operations dashboard:</w:t>
      </w:r>
      <w:r>
        <w:rPr>
          <w:color w:val="444444"/>
          <w:sz w:val="21"/>
          <w:szCs w:val="21"/>
        </w:rPr>
        <w:t xml:space="preserve"> There is no way for a non-developer to verify a new provider, resolve a dispute between a client and provider, or see any business-level reporting (requests per day, revenue, active providers, etc.). All operational visibility today requires opening the raw Firebase console.</w:t>
      </w:r>
    </w:p>
    <w:p>
      <w:pPr>
        <w:pStyle w:val="ListParagraph"/>
        <w:numPr>
          <w:ilvl w:val="0"/>
          <w:numId w:val="2"/>
        </w:numPr>
        <w:spacing w:after="80" w:line="270"/>
      </w:pPr>
      <w:r>
        <w:rPr>
          <w:b/>
          <w:bCs/>
          <w:color w:val="1B2A4A"/>
          <w:sz w:val="21"/>
          <w:szCs w:val="21"/>
        </w:rPr>
        <w:t xml:space="preserve">No defined revenue mechanism in-app:</w:t>
      </w:r>
      <w:r>
        <w:rPr>
          <w:color w:val="444444"/>
          <w:sz w:val="21"/>
          <w:szCs w:val="21"/>
        </w:rPr>
        <w:t xml:space="preserve"> The business model (commission per request, subscription for providers, etc.) is not yet reflected anywhere in the product — it needs to be designed and then built.</w:t>
      </w:r>
    </w:p>
    <w:p>
      <w:pPr>
        <w:pStyle w:val="Heading2"/>
        <w:spacing w:after="120" w:before="260"/>
      </w:pPr>
      <w:r>
        <w:rPr>
          <w:b/>
          <w:bCs/>
          <w:color w:val="1B2A4A"/>
          <w:sz w:val="24"/>
          <w:szCs w:val="24"/>
        </w:rPr>
        <w:t xml:space="preserve">8.3 Saudi Market Readiness</w:t>
      </w:r>
    </w:p>
    <w:p>
      <w:pPr>
        <w:pStyle w:val="ListParagraph"/>
        <w:numPr>
          <w:ilvl w:val="0"/>
          <w:numId w:val="2"/>
        </w:numPr>
        <w:spacing w:after="80" w:line="270"/>
      </w:pPr>
      <w:r>
        <w:rPr>
          <w:b/>
          <w:bCs/>
          <w:color w:val="1B2A4A"/>
          <w:sz w:val="21"/>
          <w:szCs w:val="21"/>
        </w:rPr>
        <w:t xml:space="preserve">Data residency / PDPL:</w:t>
      </w:r>
      <w:r>
        <w:rPr>
          <w:color w:val="444444"/>
          <w:sz w:val="21"/>
          <w:szCs w:val="21"/>
        </w:rPr>
        <w:t xml:space="preserve"> Saudi Arabia's Personal Data Protection Law (administered by SDAIA) sets requirements on how personal data — including identity data — is stored and processed. The app currently stores data on Firebase's default global infrastructure. This needs a compliance review before Saudi national ID data is collected in production.</w:t>
      </w:r>
    </w:p>
    <w:p>
      <w:pPr>
        <w:pStyle w:val="ListParagraph"/>
        <w:numPr>
          <w:ilvl w:val="0"/>
          <w:numId w:val="2"/>
        </w:numPr>
        <w:spacing w:after="80" w:line="270"/>
      </w:pPr>
      <w:r>
        <w:rPr>
          <w:b/>
          <w:bCs/>
          <w:color w:val="1B2A4A"/>
          <w:sz w:val="21"/>
          <w:szCs w:val="21"/>
        </w:rPr>
        <w:t xml:space="preserve">Arabic/RTL is incomplete:</w:t>
      </w:r>
      <w:r>
        <w:rPr>
          <w:color w:val="444444"/>
          <w:sz w:val="21"/>
          <w:szCs w:val="21"/>
        </w:rPr>
        <w:t xml:space="preserve"> Only 4 of 14 screens are localized into Arabic; for a Saudi-first launch this needs to be complete, including a full pass on right-to-left layout for every screen, not just the four already converted.</w:t>
      </w:r>
    </w:p>
    <w:p>
      <w:pPr>
        <w:pStyle w:val="ListParagraph"/>
        <w:numPr>
          <w:ilvl w:val="0"/>
          <w:numId w:val="2"/>
        </w:numPr>
        <w:spacing w:after="80" w:line="270"/>
      </w:pPr>
      <w:r>
        <w:rPr>
          <w:b/>
          <w:bCs/>
          <w:color w:val="1B2A4A"/>
          <w:sz w:val="21"/>
          <w:szCs w:val="21"/>
        </w:rPr>
        <w:t xml:space="preserve">Mapping stack is not enterprise-grade:</w:t>
      </w:r>
      <w:r>
        <w:rPr>
          <w:color w:val="444444"/>
          <w:sz w:val="21"/>
          <w:szCs w:val="21"/>
        </w:rPr>
        <w:t xml:space="preserve"> Maps and address lookup currently run on free, community-maintained OpenStreetMap data via Nominatim, which is rate-limited to roughly one request per second and has materially weaker Saudi road/address coverage than Google Maps or HERE — both of which a Saudi partner will expect. This was a deliberate cost trade-off during the self-funded rebuild, not a technical ceiling: the original 2023 app already ran on the Google Maps SDK successfully (see Section 2), so moving back is a known, low-risk change rather than new integration work.</w:t>
      </w:r>
    </w:p>
    <w:p>
      <w:pPr>
        <w:pStyle w:val="ListParagraph"/>
        <w:numPr>
          <w:ilvl w:val="0"/>
          <w:numId w:val="2"/>
        </w:numPr>
        <w:spacing w:after="80" w:line="270"/>
      </w:pPr>
      <w:r>
        <w:rPr>
          <w:b/>
          <w:bCs/>
          <w:color w:val="1B2A4A"/>
          <w:sz w:val="21"/>
          <w:szCs w:val="21"/>
        </w:rPr>
        <w:t xml:space="preserve">Client support channel not yet rebuilt:</w:t>
      </w:r>
      <w:r>
        <w:rPr>
          <w:color w:val="444444"/>
          <w:sz w:val="21"/>
          <w:szCs w:val="21"/>
        </w:rPr>
        <w:t xml:space="preserve"> The 2023 native version had an in-app client–provider chat and a help center screen (WhatsApp, Messenger, Instagram, phone helpline, FAQ). Neither has been carried over to the React Native rebuild yet, so the current app has no in-app support channel at all. Both are re-builds, not new concepts — the product has done this before.</w:t>
      </w:r>
    </w:p>
    <w:p>
      <w:pPr>
        <w:pStyle w:val="ListParagraph"/>
        <w:numPr>
          <w:ilvl w:val="0"/>
          <w:numId w:val="2"/>
        </w:numPr>
        <w:spacing w:after="80" w:line="270"/>
      </w:pPr>
      <w:r>
        <w:rPr>
          <w:b/>
          <w:bCs/>
          <w:color w:val="1B2A4A"/>
          <w:sz w:val="21"/>
          <w:szCs w:val="21"/>
        </w:rPr>
        <w:t xml:space="preserve">Market-entry structure:</w:t>
      </w:r>
      <w:r>
        <w:rPr>
          <w:color w:val="444444"/>
          <w:sz w:val="21"/>
          <w:szCs w:val="21"/>
        </w:rPr>
        <w:t xml:space="preserve"> An Algerian company operating in the Kingdom typically needs either a MISA foreign-investment license or a Saudi partner/agent structure. This is a legal and regulatory question that sits outside the codebase and should be on the deal checklist.</w:t>
      </w:r>
    </w:p>
    <w:p>
      <w:pPr>
        <w:pStyle w:val="ListParagraph"/>
        <w:numPr>
          <w:ilvl w:val="0"/>
          <w:numId w:val="2"/>
        </w:numPr>
        <w:spacing w:after="80" w:line="270"/>
      </w:pPr>
      <w:r>
        <w:rPr>
          <w:b/>
          <w:bCs/>
          <w:color w:val="1B2A4A"/>
          <w:sz w:val="21"/>
          <w:szCs w:val="21"/>
        </w:rPr>
        <w:t xml:space="preserve">Ambulance licensing:</w:t>
      </w:r>
      <w:r>
        <w:rPr>
          <w:color w:val="444444"/>
          <w:sz w:val="21"/>
          <w:szCs w:val="21"/>
        </w:rPr>
        <w:t xml:space="preserve"> As covered in Section 2, ambulance dispatch through a private app is a regulated activity in Saudi Arabia and should not be presented as an unmodified, ready-to-launch feature.</w:t>
      </w:r>
    </w:p>
    <w:p>
      <w:pPr>
        <w:pStyle w:val="Heading2"/>
        <w:spacing w:after="120" w:before="260"/>
      </w:pPr>
      <w:r>
        <w:rPr>
          <w:b/>
          <w:bCs/>
          <w:color w:val="1B2A4A"/>
          <w:sz w:val="24"/>
          <w:szCs w:val="24"/>
        </w:rPr>
        <w:t xml:space="preserve">8.4 Engineering Maturity</w:t>
      </w:r>
    </w:p>
    <w:p>
      <w:pPr>
        <w:pStyle w:val="ListParagraph"/>
        <w:numPr>
          <w:ilvl w:val="0"/>
          <w:numId w:val="2"/>
        </w:numPr>
        <w:spacing w:after="80" w:line="270"/>
      </w:pPr>
      <w:r>
        <w:rPr>
          <w:b/>
          <w:bCs/>
          <w:color w:val="1B2A4A"/>
          <w:sz w:val="21"/>
          <w:szCs w:val="21"/>
        </w:rPr>
        <w:t xml:space="preserve">No automated tests:</w:t>
      </w:r>
      <w:r>
        <w:rPr>
          <w:color w:val="444444"/>
          <w:sz w:val="21"/>
          <w:szCs w:val="21"/>
        </w:rPr>
        <w:t xml:space="preserve"> No unit, integration, or end-to-end tests exist. The pricing engine and the request state-transition logic are the two highest-value places to start, since both are pure logic with no external dependency.</w:t>
      </w:r>
    </w:p>
    <w:p>
      <w:pPr>
        <w:pStyle w:val="ListParagraph"/>
        <w:numPr>
          <w:ilvl w:val="0"/>
          <w:numId w:val="2"/>
        </w:numPr>
        <w:spacing w:after="80" w:line="270"/>
      </w:pPr>
      <w:r>
        <w:rPr>
          <w:b/>
          <w:bCs/>
          <w:color w:val="1B2A4A"/>
          <w:sz w:val="21"/>
          <w:szCs w:val="21"/>
        </w:rPr>
        <w:t xml:space="preserve">No crash/error monitoring:</w:t>
      </w:r>
      <w:r>
        <w:rPr>
          <w:color w:val="444444"/>
          <w:sz w:val="21"/>
          <w:szCs w:val="21"/>
        </w:rPr>
        <w:t xml:space="preserve"> No Sentry, Firebase Crashlytics, or equivalent is wired in, so there is currently no visibility into crashes or errors happening on real devices.</w:t>
      </w:r>
    </w:p>
    <w:p>
      <w:pPr>
        <w:pStyle w:val="ListParagraph"/>
        <w:numPr>
          <w:ilvl w:val="0"/>
          <w:numId w:val="2"/>
        </w:numPr>
        <w:spacing w:after="80" w:line="270"/>
      </w:pPr>
      <w:r>
        <w:rPr>
          <w:b/>
          <w:bCs/>
          <w:color w:val="1B2A4A"/>
          <w:sz w:val="21"/>
          <w:szCs w:val="21"/>
        </w:rPr>
        <w:t xml:space="preserve">No CI/CD:</w:t>
      </w:r>
      <w:r>
        <w:rPr>
          <w:color w:val="444444"/>
          <w:sz w:val="21"/>
          <w:szCs w:val="21"/>
        </w:rPr>
        <w:t xml:space="preserve"> There is no automated build/test pipeline; every release currently depends on a manual process.</w:t>
      </w:r>
    </w:p>
    <w:p>
      <w:pPr>
        <w:pStyle w:val="ListParagraph"/>
        <w:numPr>
          <w:ilvl w:val="0"/>
          <w:numId w:val="2"/>
        </w:numPr>
        <w:spacing w:after="80" w:line="270"/>
      </w:pPr>
      <w:r>
        <w:rPr>
          <w:b/>
          <w:bCs/>
          <w:color w:val="1B2A4A"/>
          <w:sz w:val="21"/>
          <w:szCs w:val="21"/>
        </w:rPr>
        <w:t xml:space="preserve">Bus-factor / team risk:</w:t>
      </w:r>
      <w:r>
        <w:rPr>
          <w:color w:val="444444"/>
          <w:sz w:val="21"/>
          <w:szCs w:val="21"/>
        </w:rPr>
        <w:t xml:space="preserve"> The project has been built by a single developer. For an institutional partner, this is a real continuity risk that should have an explicit answer (hiring plan, technical co-founder, etc.) going into the deal.</w:t>
      </w:r>
    </w:p>
    <w:p>
      <w:pPr>
        <w:pStyle w:val="Heading1"/>
        <w:pBdr>
          <w:bottom w:val="single" w:color="B08D3F" w:sz="6" w:space="4"/>
        </w:pBdr>
        <w:spacing w:after="160" w:before="360"/>
      </w:pPr>
      <w:r>
        <w:rPr>
          <w:b/>
          <w:bCs/>
          <w:color w:val="1B2A4A"/>
          <w:sz w:val="30"/>
          <w:szCs w:val="30"/>
        </w:rPr>
        <w:t xml:space="preserve">9. Recommended Next Steps</w:t>
      </w:r>
    </w:p>
    <w:p>
      <w:pPr>
        <w:spacing w:after="140" w:line="276"/>
      </w:pPr>
      <w:r>
        <w:rPr>
          <w:b w:val="false"/>
          <w:bCs w:val="false"/>
          <w:i/>
          <w:iCs/>
          <w:color w:val="444444"/>
          <w:sz w:val="21"/>
          <w:szCs w:val="21"/>
        </w:rPr>
        <w:t xml:space="preserve">Grouped by what needs to happen before a credible demo versus what can be committed to as a post-deal roadmap.</w:t>
      </w:r>
    </w:p>
    <w:p>
      <w:pPr>
        <w:pStyle w:val="Heading2"/>
        <w:spacing w:after="120" w:before="260"/>
      </w:pPr>
      <w:r>
        <w:rPr>
          <w:b/>
          <w:bCs/>
          <w:color w:val="1B2A4A"/>
          <w:sz w:val="24"/>
          <w:szCs w:val="24"/>
        </w:rPr>
        <w:t xml:space="preserve">9.1 Before presenting / demoing to a Saudi partner</w:t>
      </w:r>
    </w:p>
    <w:p>
      <w:pPr>
        <w:pStyle w:val="ListParagraph"/>
        <w:numPr>
          <w:ilvl w:val="0"/>
          <w:numId w:val="2"/>
        </w:numPr>
        <w:spacing w:after="80" w:line="270"/>
      </w:pPr>
      <w:r>
        <w:rPr>
          <w:color w:val="444444"/>
          <w:sz w:val="21"/>
          <w:szCs w:val="21"/>
        </w:rPr>
        <w:t xml:space="preserve">Reframe ambulance and taxi as roadmap items, not launch features, unless licensing conversations are already underway.</w:t>
      </w:r>
    </w:p>
    <w:p>
      <w:pPr>
        <w:pStyle w:val="ListParagraph"/>
        <w:numPr>
          <w:ilvl w:val="0"/>
          <w:numId w:val="2"/>
        </w:numPr>
        <w:spacing w:after="80" w:line="270"/>
      </w:pPr>
      <w:r>
        <w:rPr>
          <w:color w:val="444444"/>
          <w:sz w:val="21"/>
          <w:szCs w:val="21"/>
        </w:rPr>
        <w:t xml:space="preserve">Finish Arabic/RTL across all screens — partial localization undercuts a Saudi-first pitch immediately.</w:t>
      </w:r>
    </w:p>
    <w:p>
      <w:pPr>
        <w:pStyle w:val="ListParagraph"/>
        <w:numPr>
          <w:ilvl w:val="0"/>
          <w:numId w:val="2"/>
        </w:numPr>
        <w:spacing w:after="80" w:line="270"/>
      </w:pPr>
      <w:r>
        <w:rPr>
          <w:color w:val="444444"/>
          <w:sz w:val="21"/>
          <w:szCs w:val="21"/>
        </w:rPr>
        <w:t xml:space="preserve">Fix server-side price validation — this remains the kind of finding a technical due-diligence review will surface in the first pass. (The push-token exposure flagged in an earlier pass has since been resolved — see Section 8.1.)</w:t>
      </w:r>
    </w:p>
    <w:p>
      <w:pPr>
        <w:pStyle w:val="Heading2"/>
        <w:spacing w:after="120" w:before="260"/>
      </w:pPr>
      <w:r>
        <w:rPr>
          <w:b/>
          <w:bCs/>
          <w:color w:val="1B2A4A"/>
          <w:sz w:val="24"/>
          <w:szCs w:val="24"/>
        </w:rPr>
        <w:t xml:space="preserve">9.2 Committed roadmap, post-deal</w:t>
      </w:r>
    </w:p>
    <w:p>
      <w:pPr>
        <w:pStyle w:val="ListParagraph"/>
        <w:numPr>
          <w:ilvl w:val="0"/>
          <w:numId w:val="2"/>
        </w:numPr>
        <w:spacing w:after="80" w:line="270"/>
      </w:pPr>
      <w:r>
        <w:rPr>
          <w:color w:val="444444"/>
          <w:sz w:val="21"/>
          <w:szCs w:val="21"/>
        </w:rPr>
        <w:t xml:space="preserve">Move to a paid Firebase tier (or equivalent) and introduce server-side logic (Cloud Functions) to close the security gaps in Section 8.1 properly.</w:t>
      </w:r>
    </w:p>
    <w:p>
      <w:pPr>
        <w:pStyle w:val="ListParagraph"/>
        <w:numPr>
          <w:ilvl w:val="0"/>
          <w:numId w:val="2"/>
        </w:numPr>
        <w:spacing w:after="80" w:line="270"/>
      </w:pPr>
      <w:r>
        <w:rPr>
          <w:color w:val="444444"/>
          <w:sz w:val="21"/>
          <w:szCs w:val="21"/>
        </w:rPr>
        <w:t xml:space="preserve">Integrate a Saudi-relevant payment gateway (mada / Apple Pay / STC Pay) and define the commission model.</w:t>
      </w:r>
    </w:p>
    <w:p>
      <w:pPr>
        <w:pStyle w:val="ListParagraph"/>
        <w:numPr>
          <w:ilvl w:val="0"/>
          <w:numId w:val="2"/>
        </w:numPr>
        <w:spacing w:after="80" w:line="270"/>
      </w:pPr>
      <w:r>
        <w:rPr>
          <w:color w:val="444444"/>
          <w:sz w:val="21"/>
          <w:szCs w:val="21"/>
        </w:rPr>
        <w:t xml:space="preserve">Build a minimal admin dashboard for provider verification, dispute handling, and basic analytics.</w:t>
      </w:r>
    </w:p>
    <w:p>
      <w:pPr>
        <w:pStyle w:val="ListParagraph"/>
        <w:numPr>
          <w:ilvl w:val="0"/>
          <w:numId w:val="2"/>
        </w:numPr>
        <w:spacing w:after="80" w:line="270"/>
      </w:pPr>
      <w:r>
        <w:rPr>
          <w:color w:val="444444"/>
          <w:sz w:val="21"/>
          <w:szCs w:val="21"/>
        </w:rPr>
        <w:t xml:space="preserve">Commission a formal PDPL/data-residency compliance review before collecting Saudi national ID data in production.</w:t>
      </w:r>
    </w:p>
    <w:p>
      <w:pPr>
        <w:pStyle w:val="ListParagraph"/>
        <w:numPr>
          <w:ilvl w:val="0"/>
          <w:numId w:val="2"/>
        </w:numPr>
        <w:spacing w:after="80" w:line="270"/>
      </w:pPr>
      <w:r>
        <w:rPr>
          <w:color w:val="444444"/>
          <w:sz w:val="21"/>
          <w:szCs w:val="21"/>
        </w:rPr>
        <w:t xml:space="preserve">Move mapping/geocoding to a licensed provider (Google Maps or HERE) for Saudi launch.</w:t>
      </w:r>
    </w:p>
    <w:p>
      <w:pPr>
        <w:pStyle w:val="ListParagraph"/>
        <w:numPr>
          <w:ilvl w:val="0"/>
          <w:numId w:val="2"/>
        </w:numPr>
        <w:spacing w:after="80" w:line="270"/>
      </w:pPr>
      <w:r>
        <w:rPr>
          <w:color w:val="444444"/>
          <w:sz w:val="21"/>
          <w:szCs w:val="21"/>
        </w:rPr>
        <w:t xml:space="preserve">Add automated tests for pricing and request-state logic, plus crash monitoring, before scaling beyond a pilot.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6"/>
        <w:szCs w:val="16"/>
      </w:rPr>
      <w:t xml:space="preserve">Tari9 — Product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2026-09-01T11:09:59.067Z</dcterms:created>
  <dcterms:modified xsi:type="dcterms:W3CDTF">2026-09-01T11:09:59.079Z</dcterms:modified>
</cp:coreProperties>
</file>

<file path=docProps/custom.xml><?xml version="1.0" encoding="utf-8"?>
<Properties xmlns="http://schemas.openxmlformats.org/officeDocument/2006/custom-properties" xmlns:vt="http://schemas.openxmlformats.org/officeDocument/2006/docPropsVTypes"/>
</file>