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D4C" w14:paraId="6D0586F8" w14:textId="77777777" w:rsidTr="271D8B7F">
        <w:tc>
          <w:tcPr>
            <w:tcW w:w="9360" w:type="dxa"/>
            <w:shd w:val="clear" w:color="auto" w:fill="0E7C66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702E3408" w14:textId="77777777" w:rsidR="00A57D4C" w:rsidRDefault="009B6415">
            <w:pPr>
              <w:spacing w:after="100"/>
            </w:pPr>
            <w:r>
              <w:rPr>
                <w:b/>
                <w:bCs/>
                <w:color w:val="FFFFFF"/>
                <w:spacing w:val="60"/>
              </w:rPr>
              <w:t>BBE NEXT FOR GROWTH</w:t>
            </w:r>
          </w:p>
          <w:p w14:paraId="67B1AFE4" w14:textId="77777777" w:rsidR="00A57D4C" w:rsidRDefault="009B6415">
            <w:pPr>
              <w:spacing w:after="80"/>
            </w:pPr>
            <w:r>
              <w:rPr>
                <w:b/>
                <w:bCs/>
                <w:color w:val="FFFFFF"/>
                <w:sz w:val="44"/>
                <w:szCs w:val="44"/>
              </w:rPr>
              <w:t>AIM Incubator Tiger Team</w:t>
            </w:r>
          </w:p>
          <w:p w14:paraId="50708B25" w14:textId="77777777" w:rsidR="00A57D4C" w:rsidRDefault="271D8B7F">
            <w:r w:rsidRPr="271D8B7F">
              <w:rPr>
                <w:color w:val="E5F4EF"/>
                <w:sz w:val="24"/>
                <w:szCs w:val="24"/>
              </w:rPr>
              <w:t>Design Hackathon Brief  —  Week of June 8, Purchase NY</w:t>
            </w:r>
          </w:p>
        </w:tc>
      </w:tr>
    </w:tbl>
    <w:p w14:paraId="672A6659" w14:textId="77777777" w:rsidR="00A57D4C" w:rsidRDefault="00A57D4C">
      <w:pPr>
        <w:spacing w:before="80" w:after="120" w:line="300" w:lineRule="auto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D4C" w14:paraId="43F693B3" w14:textId="77777777" w:rsidTr="271D8B7F">
        <w:tc>
          <w:tcPr>
            <w:tcW w:w="9360" w:type="dxa"/>
            <w:tcBorders>
              <w:left w:val="single" w:sz="24" w:space="0" w:color="0E7C66"/>
            </w:tcBorders>
            <w:shd w:val="clear" w:color="auto" w:fill="E5F4E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3AB330DF" w14:textId="77777777" w:rsidR="00A57D4C" w:rsidRDefault="271D8B7F">
            <w:pPr>
              <w:spacing w:after="80"/>
            </w:pPr>
            <w:r w:rsidRPr="271D8B7F">
              <w:rPr>
                <w:b/>
                <w:bCs/>
                <w:color w:val="0E7C66"/>
              </w:rPr>
              <w:t>A quick guide to how we’ll spend the 2½ days together.</w:t>
            </w:r>
          </w:p>
          <w:p w14:paraId="7772A9EB" w14:textId="77777777" w:rsidR="00A57D4C" w:rsidRDefault="271D8B7F">
            <w:pPr>
              <w:spacing w:after="60" w:line="300" w:lineRule="auto"/>
            </w:pPr>
            <w:r w:rsidRPr="271D8B7F">
              <w:rPr>
                <w:color w:val="1F2937"/>
              </w:rPr>
              <w:t>Have a look before June 9 and come ready with the pre-work. We’ll close Define and open Design together in the room.</w:t>
            </w:r>
          </w:p>
        </w:tc>
      </w:tr>
    </w:tbl>
    <w:p w14:paraId="3E2C3885" w14:textId="77777777" w:rsidR="00A57D4C" w:rsidRDefault="271D8B7F" w:rsidP="271D8B7F">
      <w:pPr>
        <w:pStyle w:val="Heading1"/>
        <w:pBdr>
          <w:bottom w:val="single" w:sz="8" w:space="6" w:color="0E7C66"/>
        </w:pBdr>
        <w:spacing w:before="360" w:after="160"/>
      </w:pPr>
      <w:r w:rsidRPr="271D8B7F">
        <w:rPr>
          <w:b/>
          <w:bCs/>
          <w:color w:val="0E7C66"/>
          <w:sz w:val="36"/>
          <w:szCs w:val="36"/>
        </w:rPr>
        <w:t>1. Why we’re coming together</w:t>
      </w:r>
    </w:p>
    <w:p w14:paraId="3220FB68" w14:textId="77777777" w:rsidR="00A57D4C" w:rsidRDefault="271D8B7F">
      <w:pPr>
        <w:spacing w:before="80" w:after="120" w:line="300" w:lineRule="auto"/>
      </w:pPr>
      <w:r w:rsidRPr="271D8B7F">
        <w:rPr>
          <w:color w:val="1F2937"/>
        </w:rPr>
        <w:t>PepsiCo’s Better Brand Equity (BBE) quarterly read is foundational, but today it’s slow, disconnected, and underused as a growth lever. Analysts spend 15–20 hours per project stitching data together; reports often read like data dumps; and BBE on its own only tells part of the growth story.</w:t>
      </w:r>
    </w:p>
    <w:p w14:paraId="3DF89FCC" w14:textId="77777777" w:rsidR="00A57D4C" w:rsidRDefault="271D8B7F">
      <w:pPr>
        <w:spacing w:before="80" w:after="120" w:line="300" w:lineRule="auto"/>
      </w:pPr>
      <w:r w:rsidRPr="271D8B7F">
        <w:rPr>
          <w:color w:val="1F2937"/>
        </w:rPr>
        <w:t>The BBE Next for Growth Tiger Team has a finite charter: reinvent how PepsiCo measures, predicts, and acts on brand equity — and feed that work into a better BGS process and the wider measurement spine. This 2.5-day hackathon is where Define closes and Design begins.</w:t>
      </w:r>
    </w:p>
    <w:p w14:paraId="038D81B4" w14:textId="77777777" w:rsidR="00A57D4C" w:rsidRDefault="271D8B7F" w:rsidP="271D8B7F">
      <w:pPr>
        <w:pStyle w:val="Heading1"/>
        <w:pBdr>
          <w:bottom w:val="single" w:sz="8" w:space="6" w:color="0E7C66"/>
        </w:pBdr>
        <w:spacing w:before="360" w:after="160"/>
      </w:pPr>
      <w:r w:rsidRPr="271D8B7F">
        <w:rPr>
          <w:b/>
          <w:bCs/>
          <w:color w:val="0E7C66"/>
          <w:sz w:val="36"/>
          <w:szCs w:val="36"/>
        </w:rPr>
        <w:t>2. The problems we’re solving</w:t>
      </w:r>
    </w:p>
    <w:p w14:paraId="571797BA" w14:textId="77777777" w:rsidR="00A57D4C" w:rsidRDefault="009B6415">
      <w:pPr>
        <w:pStyle w:val="ListParagraph"/>
        <w:numPr>
          <w:ilvl w:val="0"/>
          <w:numId w:val="2"/>
        </w:numPr>
        <w:spacing w:before="40" w:after="60" w:line="300" w:lineRule="auto"/>
      </w:pPr>
      <w:r>
        <w:rPr>
          <w:b/>
          <w:bCs/>
          <w:color w:val="1F2937"/>
        </w:rPr>
        <w:t xml:space="preserve">The BBE Progress Tracker is misaligned with the broader BBE reporting story. </w:t>
      </w:r>
      <w:r>
        <w:rPr>
          <w:color w:val="1F2937"/>
        </w:rPr>
        <w:t>Different views, different numbers, different narratives — analysts spend time reconciling instead of interpreting.</w:t>
      </w:r>
    </w:p>
    <w:p w14:paraId="679224D1" w14:textId="77777777" w:rsidR="00A57D4C" w:rsidRDefault="271D8B7F">
      <w:pPr>
        <w:pStyle w:val="ListParagraph"/>
        <w:numPr>
          <w:ilvl w:val="0"/>
          <w:numId w:val="2"/>
        </w:numPr>
        <w:spacing w:before="40" w:after="60" w:line="300" w:lineRule="auto"/>
      </w:pPr>
      <w:r w:rsidRPr="271D8B7F">
        <w:rPr>
          <w:b/>
          <w:bCs/>
          <w:color w:val="1F2937"/>
        </w:rPr>
        <w:t xml:space="preserve">MDS is read in isolation from Demand and Pricing Power. </w:t>
      </w:r>
      <w:r w:rsidRPr="271D8B7F">
        <w:rPr>
          <w:color w:val="1F2937"/>
        </w:rPr>
        <w:t>Equity signals get disconnected from the commercial reality they’re supposed to predict.</w:t>
      </w:r>
    </w:p>
    <w:p w14:paraId="42CD5F44" w14:textId="77777777" w:rsidR="00A57D4C" w:rsidRDefault="271D8B7F">
      <w:pPr>
        <w:pStyle w:val="ListParagraph"/>
        <w:numPr>
          <w:ilvl w:val="0"/>
          <w:numId w:val="2"/>
        </w:numPr>
        <w:spacing w:before="40" w:after="60" w:line="300" w:lineRule="auto"/>
      </w:pPr>
      <w:r w:rsidRPr="271D8B7F">
        <w:rPr>
          <w:b/>
          <w:bCs/>
          <w:color w:val="1F2937"/>
        </w:rPr>
        <w:t xml:space="preserve">Reports read like a data dump. </w:t>
      </w:r>
      <w:r w:rsidRPr="271D8B7F">
        <w:rPr>
          <w:color w:val="1F2937"/>
        </w:rPr>
        <w:t>Insight gets buried; the “so what” doesn’t surface; analysts spend hours building the story manually.</w:t>
      </w:r>
    </w:p>
    <w:p w14:paraId="2FC7FC81" w14:textId="77777777" w:rsidR="00A57D4C" w:rsidRDefault="009B6415">
      <w:pPr>
        <w:pStyle w:val="ListParagraph"/>
        <w:numPr>
          <w:ilvl w:val="0"/>
          <w:numId w:val="2"/>
        </w:numPr>
        <w:spacing w:before="40" w:after="60" w:line="300" w:lineRule="auto"/>
      </w:pPr>
      <w:r>
        <w:rPr>
          <w:b/>
          <w:bCs/>
          <w:color w:val="1F2937"/>
        </w:rPr>
        <w:t xml:space="preserve">BBE data on its own only goes so far. </w:t>
      </w:r>
      <w:r>
        <w:rPr>
          <w:color w:val="1F2937"/>
        </w:rPr>
        <w:t>Without category context, outcome trajectory, and portfolio role, equity reads can mislead growth decisions.</w:t>
      </w:r>
    </w:p>
    <w:p w14:paraId="15CEF0C3" w14:textId="77777777" w:rsidR="00A57D4C" w:rsidRDefault="009B6415">
      <w:pPr>
        <w:pStyle w:val="Heading1"/>
        <w:pBdr>
          <w:bottom w:val="single" w:sz="8" w:space="6" w:color="0E7C66"/>
        </w:pBdr>
        <w:spacing w:before="360" w:after="160"/>
      </w:pPr>
      <w:r>
        <w:rPr>
          <w:b/>
          <w:bCs/>
          <w:color w:val="0E7C66"/>
          <w:sz w:val="36"/>
          <w:szCs w:val="36"/>
        </w:rPr>
        <w:t>3. The vision for the Quick Report</w:t>
      </w:r>
    </w:p>
    <w:p w14:paraId="3857913D" w14:textId="77777777" w:rsidR="00A57D4C" w:rsidRDefault="009B6415">
      <w:pPr>
        <w:spacing w:before="80" w:after="120" w:line="300" w:lineRule="auto"/>
      </w:pPr>
      <w:r>
        <w:rPr>
          <w:color w:val="1F2937"/>
        </w:rPr>
        <w:t>A reimagined BBE Quick Report that is:</w:t>
      </w:r>
    </w:p>
    <w:p w14:paraId="46E40E0D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b/>
          <w:bCs/>
          <w:color w:val="1F2937"/>
        </w:rPr>
        <w:t xml:space="preserve">Interactive — </w:t>
      </w:r>
      <w:r>
        <w:rPr>
          <w:color w:val="1F2937"/>
        </w:rPr>
        <w:t>Analysts and brand teams can pressure-test reads, not just consume them.</w:t>
      </w:r>
    </w:p>
    <w:p w14:paraId="4527CA25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b/>
          <w:bCs/>
          <w:color w:val="1F2937"/>
        </w:rPr>
        <w:t xml:space="preserve">Actionable — </w:t>
      </w:r>
      <w:r>
        <w:rPr>
          <w:color w:val="1F2937"/>
        </w:rPr>
        <w:t>Equity findings tie directly to growth choices, not just trend lines.</w:t>
      </w:r>
    </w:p>
    <w:p w14:paraId="517A03D5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b/>
          <w:bCs/>
          <w:color w:val="1F2937"/>
        </w:rPr>
        <w:t xml:space="preserve">Insightful — </w:t>
      </w:r>
      <w:r>
        <w:rPr>
          <w:color w:val="1F2937"/>
        </w:rPr>
        <w:t>Provocation, not summary. Surfaces the tension worth acting on.</w:t>
      </w:r>
    </w:p>
    <w:p w14:paraId="1B99B994" w14:textId="77777777" w:rsidR="00A57D4C" w:rsidRDefault="009B6415">
      <w:pPr>
        <w:pStyle w:val="Heading1"/>
        <w:pBdr>
          <w:bottom w:val="single" w:sz="8" w:space="6" w:color="0E7C66"/>
        </w:pBdr>
        <w:spacing w:before="360" w:after="160"/>
      </w:pPr>
      <w:r>
        <w:rPr>
          <w:b/>
          <w:bCs/>
          <w:color w:val="0E7C66"/>
          <w:sz w:val="36"/>
          <w:szCs w:val="36"/>
        </w:rPr>
        <w:t>4. How we work as a Tiger Team</w:t>
      </w:r>
    </w:p>
    <w:p w14:paraId="4627E17F" w14:textId="77777777" w:rsidR="00A57D4C" w:rsidRDefault="271D8B7F">
      <w:pPr>
        <w:spacing w:before="80" w:after="120" w:line="300" w:lineRule="auto"/>
      </w:pPr>
      <w:r w:rsidRPr="271D8B7F">
        <w:rPr>
          <w:color w:val="1F2937"/>
        </w:rPr>
        <w:t>A tiger team has a finite charter and a clear exit. We’re not a standing committee. We move in stages: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A57D4C" w14:paraId="77E4A5BA" w14:textId="77777777" w:rsidTr="271D8B7F">
        <w:trPr>
          <w:tblHeader/>
        </w:trPr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C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463899" w14:textId="77777777" w:rsidR="00A57D4C" w:rsidRDefault="009B6415">
            <w:r>
              <w:rPr>
                <w:b/>
                <w:bCs/>
                <w:color w:val="FFFFFF"/>
                <w:sz w:val="24"/>
                <w:szCs w:val="24"/>
              </w:rPr>
              <w:t>Define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C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CD0ABA0" w14:textId="77777777" w:rsidR="00A57D4C" w:rsidRDefault="009B6415">
            <w:r>
              <w:rPr>
                <w:b/>
                <w:bCs/>
                <w:color w:val="FFFFFF"/>
                <w:sz w:val="24"/>
                <w:szCs w:val="24"/>
              </w:rPr>
              <w:t>Design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0E7C6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5B368DB" w14:textId="77777777" w:rsidR="00A57D4C" w:rsidRDefault="009B6415">
            <w:r>
              <w:rPr>
                <w:b/>
                <w:bCs/>
                <w:color w:val="FFFFFF"/>
                <w:sz w:val="24"/>
                <w:szCs w:val="24"/>
              </w:rPr>
              <w:t>Develop</w:t>
            </w:r>
          </w:p>
        </w:tc>
      </w:tr>
      <w:tr w:rsidR="00A57D4C" w14:paraId="0C2E2769" w14:textId="77777777" w:rsidTr="271D8B7F"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025CB96" w14:textId="77777777" w:rsidR="00A57D4C" w:rsidRDefault="009B6415">
            <w:pPr>
              <w:spacing w:after="60" w:line="280" w:lineRule="auto"/>
            </w:pPr>
            <w:r>
              <w:rPr>
                <w:color w:val="1F2937"/>
              </w:rPr>
              <w:t>Lock the problem, the user, the success bar.</w:t>
            </w:r>
          </w:p>
          <w:p w14:paraId="7FE4BF24" w14:textId="77777777" w:rsidR="00A57D4C" w:rsidRDefault="009B6415">
            <w:pPr>
              <w:spacing w:after="60" w:line="280" w:lineRule="auto"/>
            </w:pPr>
            <w:r>
              <w:rPr>
                <w:i/>
                <w:iCs/>
                <w:color w:val="6B7280"/>
              </w:rPr>
              <w:t>In progress; closes at this hackathon.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0E1953B" w14:textId="77777777" w:rsidR="00A57D4C" w:rsidRDefault="009B6415">
            <w:pPr>
              <w:spacing w:after="60" w:line="280" w:lineRule="auto"/>
            </w:pPr>
            <w:r>
              <w:rPr>
                <w:color w:val="1F2937"/>
              </w:rPr>
              <w:t>Pressure-test the concept, lock the v2 design, decide what’s worth building.</w:t>
            </w:r>
          </w:p>
          <w:p w14:paraId="59A84684" w14:textId="77777777" w:rsidR="00A57D4C" w:rsidRDefault="271D8B7F">
            <w:pPr>
              <w:spacing w:after="60" w:line="280" w:lineRule="auto"/>
            </w:pPr>
            <w:r w:rsidRPr="271D8B7F">
              <w:rPr>
                <w:i/>
                <w:iCs/>
                <w:color w:val="6B7280"/>
              </w:rPr>
              <w:t>This hackathon.</w:t>
            </w:r>
          </w:p>
        </w:tc>
        <w:tc>
          <w:tcPr>
            <w:tcW w:w="312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5E3C279" w14:textId="77777777" w:rsidR="00A57D4C" w:rsidRDefault="009B6415">
            <w:pPr>
              <w:spacing w:after="60" w:line="280" w:lineRule="auto"/>
            </w:pPr>
            <w:r>
              <w:rPr>
                <w:color w:val="1F2937"/>
              </w:rPr>
              <w:t>Build, test, hand off to the operating model.</w:t>
            </w:r>
          </w:p>
          <w:p w14:paraId="373DE1FB" w14:textId="77777777" w:rsidR="00A57D4C" w:rsidRDefault="009B6415">
            <w:pPr>
              <w:spacing w:after="60" w:line="280" w:lineRule="auto"/>
            </w:pPr>
            <w:r>
              <w:rPr>
                <w:i/>
                <w:iCs/>
                <w:color w:val="6B7280"/>
              </w:rPr>
              <w:t>Post-hackathon sprints.</w:t>
            </w:r>
          </w:p>
        </w:tc>
      </w:tr>
    </w:tbl>
    <w:p w14:paraId="673E39F8" w14:textId="77777777" w:rsidR="00A57D4C" w:rsidRDefault="009B6415">
      <w:pPr>
        <w:spacing w:before="80" w:after="120" w:line="300" w:lineRule="auto"/>
      </w:pPr>
      <w:r>
        <w:rPr>
          <w:color w:val="1F2937"/>
        </w:rPr>
        <w:t xml:space="preserve">Our working model is </w:t>
      </w:r>
    </w:p>
    <w:p w14:paraId="5F0C1996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b/>
          <w:bCs/>
          <w:color w:val="1F2937"/>
        </w:rPr>
        <w:t xml:space="preserve">Agent-assisted intelligence </w:t>
      </w:r>
      <w:r>
        <w:rPr>
          <w:color w:val="1F2937"/>
        </w:rPr>
        <w:t>does the heavy lifting on synthesis, pattern detection, and first-draft narrative.</w:t>
      </w:r>
    </w:p>
    <w:p w14:paraId="0C9BB72C" w14:textId="77777777" w:rsidR="00A57D4C" w:rsidRDefault="271D8B7F">
      <w:pPr>
        <w:pStyle w:val="ListParagraph"/>
        <w:numPr>
          <w:ilvl w:val="0"/>
          <w:numId w:val="1"/>
        </w:numPr>
        <w:spacing w:before="40" w:after="60" w:line="300" w:lineRule="auto"/>
      </w:pPr>
      <w:r w:rsidRPr="271D8B7F">
        <w:rPr>
          <w:b/>
          <w:bCs/>
          <w:color w:val="1F2937"/>
        </w:rPr>
        <w:t xml:space="preserve">The data spine </w:t>
      </w:r>
      <w:r w:rsidRPr="271D8B7F">
        <w:rPr>
          <w:color w:val="1F2937"/>
        </w:rPr>
        <w:t>— BBE, MDS, Demand, Pricing Power, category context — is what the agent reasons over.</w:t>
      </w:r>
    </w:p>
    <w:p w14:paraId="4B0E59A3" w14:textId="77777777" w:rsidR="00A57D4C" w:rsidRDefault="271D8B7F">
      <w:pPr>
        <w:pStyle w:val="ListParagraph"/>
        <w:numPr>
          <w:ilvl w:val="0"/>
          <w:numId w:val="1"/>
        </w:numPr>
        <w:spacing w:before="40" w:after="60" w:line="300" w:lineRule="auto"/>
      </w:pPr>
      <w:r w:rsidRPr="271D8B7F">
        <w:rPr>
          <w:b/>
          <w:bCs/>
          <w:color w:val="1F2937"/>
        </w:rPr>
        <w:t xml:space="preserve">The human in the loop </w:t>
      </w:r>
      <w:r w:rsidRPr="271D8B7F">
        <w:rPr>
          <w:color w:val="1F2937"/>
        </w:rPr>
        <w:t>— Tim, Tracey, Ali, analysts — sets the provocation bar, validates the read, and owns the growth decision.</w:t>
      </w:r>
    </w:p>
    <w:p w14:paraId="394AE3CE" w14:textId="77777777" w:rsidR="00A57D4C" w:rsidRDefault="271D8B7F">
      <w:pPr>
        <w:spacing w:before="80" w:after="120" w:line="300" w:lineRule="auto"/>
      </w:pPr>
      <w:r w:rsidRPr="271D8B7F">
        <w:rPr>
          <w:b/>
          <w:bCs/>
          <w:color w:val="1F2937"/>
        </w:rPr>
        <w:t xml:space="preserve">How we'll spend the time: </w:t>
      </w:r>
      <w:r w:rsidRPr="271D8B7F">
        <w:rPr>
          <w:color w:val="1F2937"/>
        </w:rPr>
        <w:t>working-session heavy, light on decks. Decisions happen in the room together.</w:t>
      </w:r>
    </w:p>
    <w:p w14:paraId="0D8A15BE" w14:textId="77777777" w:rsidR="00A57D4C" w:rsidRDefault="271D8B7F" w:rsidP="271D8B7F">
      <w:pPr>
        <w:pStyle w:val="Heading1"/>
        <w:pBdr>
          <w:bottom w:val="single" w:sz="8" w:space="6" w:color="0E7C66"/>
        </w:pBdr>
        <w:spacing w:before="360" w:after="160"/>
      </w:pPr>
      <w:r w:rsidRPr="271D8B7F">
        <w:rPr>
          <w:b/>
          <w:bCs/>
          <w:color w:val="0E7C66"/>
          <w:sz w:val="36"/>
          <w:szCs w:val="36"/>
        </w:rPr>
        <w:t>5. What we’re building: agent-assisted intelligence</w:t>
      </w:r>
    </w:p>
    <w:p w14:paraId="01E2050C" w14:textId="77777777" w:rsidR="00A57D4C" w:rsidRDefault="009B6415">
      <w:pPr>
        <w:spacing w:before="80" w:after="120" w:line="300" w:lineRule="auto"/>
      </w:pPr>
      <w:r>
        <w:rPr>
          <w:color w:val="1F2937"/>
        </w:rPr>
        <w:t xml:space="preserve">The BBE Quick Report is the first proof point of a broader system: agent-assisted intelligence that links </w:t>
      </w:r>
    </w:p>
    <w:p w14:paraId="0883DBB8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b/>
          <w:bCs/>
          <w:color w:val="1F2937"/>
        </w:rPr>
        <w:t xml:space="preserve">BGS </w:t>
      </w:r>
      <w:r>
        <w:rPr>
          <w:color w:val="1F2937"/>
        </w:rPr>
        <w:t>gets sharper inputs from a connected equity-and-outcome read.</w:t>
      </w:r>
    </w:p>
    <w:p w14:paraId="503F170E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b/>
          <w:bCs/>
          <w:color w:val="1F2937"/>
        </w:rPr>
        <w:t xml:space="preserve">Growth Navigator </w:t>
      </w:r>
      <w:r>
        <w:rPr>
          <w:color w:val="1F2937"/>
        </w:rPr>
        <w:t>gets the equity signal woven into the growth process framework, not bolted on.</w:t>
      </w:r>
    </w:p>
    <w:p w14:paraId="356E15F2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b/>
          <w:bCs/>
          <w:color w:val="1F2937"/>
        </w:rPr>
        <w:t xml:space="preserve">The measurement spine </w:t>
      </w:r>
      <w:r>
        <w:rPr>
          <w:color w:val="1F2937"/>
        </w:rPr>
        <w:t>gets a connected view of equity, demand, and pricing power — the foundation for predictive, not just diagnostic, measurement.</w:t>
      </w: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57D4C" w14:paraId="044B98A8" w14:textId="77777777" w:rsidTr="271D8B7F">
        <w:tc>
          <w:tcPr>
            <w:tcW w:w="9360" w:type="dxa"/>
            <w:tcBorders>
              <w:left w:val="single" w:sz="24" w:space="0" w:color="0E7C66"/>
            </w:tcBorders>
            <w:shd w:val="clear" w:color="auto" w:fill="E5F4EF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7866C045" w14:textId="77777777" w:rsidR="00A57D4C" w:rsidRDefault="009B6415">
            <w:pPr>
              <w:spacing w:after="80"/>
            </w:pPr>
            <w:r>
              <w:rPr>
                <w:b/>
                <w:bCs/>
                <w:color w:val="0E7C66"/>
              </w:rPr>
              <w:t>The bet:</w:t>
            </w:r>
          </w:p>
          <w:p w14:paraId="73749010" w14:textId="77777777" w:rsidR="00A57D4C" w:rsidRDefault="271D8B7F">
            <w:pPr>
              <w:spacing w:after="60" w:line="300" w:lineRule="auto"/>
            </w:pPr>
            <w:r w:rsidRPr="271D8B7F">
              <w:rPr>
                <w:color w:val="1F2937"/>
              </w:rPr>
              <w:t>If we build BBE Next in isolation, we’ll have a better report.</w:t>
            </w:r>
          </w:p>
          <w:p w14:paraId="4200FD28" w14:textId="77777777" w:rsidR="00A57D4C" w:rsidRDefault="271D8B7F">
            <w:pPr>
              <w:spacing w:after="60" w:line="300" w:lineRule="auto"/>
            </w:pPr>
            <w:r w:rsidRPr="271D8B7F">
              <w:rPr>
                <w:color w:val="1F2937"/>
              </w:rPr>
              <w:t>If we build it as the front end of the measurement spine, we’ll have a growth system.</w:t>
            </w:r>
          </w:p>
        </w:tc>
      </w:tr>
    </w:tbl>
    <w:p w14:paraId="39932736" w14:textId="77777777" w:rsidR="00A57D4C" w:rsidRDefault="009B6415">
      <w:pPr>
        <w:pStyle w:val="Heading1"/>
        <w:pBdr>
          <w:bottom w:val="single" w:sz="8" w:space="6" w:color="0E7C66"/>
        </w:pBdr>
        <w:spacing w:before="360" w:after="160"/>
      </w:pPr>
      <w:r>
        <w:rPr>
          <w:b/>
          <w:bCs/>
          <w:color w:val="0E7C66"/>
          <w:sz w:val="36"/>
          <w:szCs w:val="36"/>
        </w:rPr>
        <w:t>6. What success looks like after 2.5 days</w:t>
      </w:r>
    </w:p>
    <w:p w14:paraId="29C9D642" w14:textId="77777777" w:rsidR="00A57D4C" w:rsidRDefault="009B6415">
      <w:pPr>
        <w:spacing w:before="80" w:after="120" w:line="300" w:lineRule="auto"/>
      </w:pPr>
      <w:r>
        <w:rPr>
          <w:color w:val="1F2937"/>
        </w:rPr>
        <w:t>By Thursday mid-day, we leave with:</w:t>
      </w:r>
    </w:p>
    <w:p w14:paraId="0F5C94E6" w14:textId="77777777" w:rsidR="00A57D4C" w:rsidRDefault="271D8B7F">
      <w:pPr>
        <w:pStyle w:val="ListParagraph"/>
        <w:numPr>
          <w:ilvl w:val="0"/>
          <w:numId w:val="1"/>
        </w:numPr>
        <w:spacing w:before="40" w:after="60" w:line="300" w:lineRule="auto"/>
      </w:pPr>
      <w:r w:rsidRPr="271D8B7F">
        <w:rPr>
          <w:color w:val="1F2937"/>
        </w:rPr>
        <w:t xml:space="preserve">A </w:t>
      </w:r>
      <w:r w:rsidRPr="271D8B7F">
        <w:rPr>
          <w:b/>
          <w:bCs/>
          <w:color w:val="1F2937"/>
        </w:rPr>
        <w:t>locked problem statement</w:t>
      </w:r>
      <w:r w:rsidRPr="271D8B7F">
        <w:rPr>
          <w:color w:val="1F2937"/>
        </w:rPr>
        <w:t xml:space="preserve"> — what we’re solving, for whom, why it matters now.</w:t>
      </w:r>
    </w:p>
    <w:p w14:paraId="591AD448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color w:val="1F2937"/>
        </w:rPr>
        <w:t xml:space="preserve">A </w:t>
      </w:r>
      <w:r>
        <w:rPr>
          <w:b/>
          <w:bCs/>
          <w:color w:val="1F2937"/>
        </w:rPr>
        <w:t>prioritized list of use cases</w:t>
      </w:r>
      <w:r>
        <w:rPr>
          <w:color w:val="1F2937"/>
        </w:rPr>
        <w:t xml:space="preserve"> — top 3–5, ranked by analyst impact and growth-decision value.</w:t>
      </w:r>
    </w:p>
    <w:p w14:paraId="078A5F0A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color w:val="1F2937"/>
        </w:rPr>
        <w:t xml:space="preserve">A </w:t>
      </w:r>
      <w:r>
        <w:rPr>
          <w:b/>
          <w:bCs/>
          <w:color w:val="1F2937"/>
        </w:rPr>
        <w:t>draft v2 product concept</w:t>
      </w:r>
      <w:r>
        <w:rPr>
          <w:color w:val="1F2937"/>
        </w:rPr>
        <w:t xml:space="preserve"> for the BBE Quick Report — clear evolution from today’s prototype.</w:t>
      </w:r>
    </w:p>
    <w:p w14:paraId="4AFDCF72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color w:val="1F2937"/>
        </w:rPr>
        <w:t xml:space="preserve">A clear </w:t>
      </w:r>
      <w:r>
        <w:rPr>
          <w:b/>
          <w:bCs/>
          <w:color w:val="1F2937"/>
        </w:rPr>
        <w:t>“what we are building vs. not building”</w:t>
      </w:r>
      <w:r>
        <w:rPr>
          <w:color w:val="1F2937"/>
        </w:rPr>
        <w:t xml:space="preserve"> — the explicit out-of-scope list matters as much as the in-scope.</w:t>
      </w:r>
    </w:p>
    <w:p w14:paraId="64DF98A4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b/>
          <w:bCs/>
          <w:color w:val="1F2937"/>
        </w:rPr>
        <w:t xml:space="preserve">Alignment on how BBE, Growth Navigator, and category context come together </w:t>
      </w:r>
      <w:r>
        <w:rPr>
          <w:color w:val="1F2937"/>
        </w:rPr>
        <w:t>as one read.</w:t>
      </w:r>
    </w:p>
    <w:p w14:paraId="539B38DF" w14:textId="77777777" w:rsidR="00A57D4C" w:rsidRDefault="271D8B7F">
      <w:pPr>
        <w:pStyle w:val="ListParagraph"/>
        <w:numPr>
          <w:ilvl w:val="0"/>
          <w:numId w:val="1"/>
        </w:numPr>
        <w:spacing w:before="40" w:after="60" w:line="300" w:lineRule="auto"/>
      </w:pPr>
      <w:r w:rsidRPr="271D8B7F">
        <w:rPr>
          <w:b/>
          <w:bCs/>
          <w:color w:val="1F2937"/>
        </w:rPr>
        <w:t>MDS, Demand, and Pricing Power framed as one system</w:t>
      </w:r>
      <w:r w:rsidRPr="271D8B7F">
        <w:rPr>
          <w:color w:val="1F2937"/>
        </w:rPr>
        <w:t>, not three reports.</w:t>
      </w:r>
    </w:p>
    <w:p w14:paraId="13E569B1" w14:textId="77777777" w:rsidR="00A57D4C" w:rsidRDefault="271D8B7F">
      <w:pPr>
        <w:pStyle w:val="ListParagraph"/>
        <w:numPr>
          <w:ilvl w:val="0"/>
          <w:numId w:val="1"/>
        </w:numPr>
        <w:spacing w:before="40" w:after="60" w:line="300" w:lineRule="auto"/>
      </w:pPr>
      <w:r w:rsidRPr="271D8B7F">
        <w:rPr>
          <w:b/>
          <w:bCs/>
          <w:color w:val="1F2937"/>
        </w:rPr>
        <w:t xml:space="preserve">A resolution to the BBE Progress Tracker misalignment </w:t>
      </w:r>
      <w:r w:rsidRPr="271D8B7F">
        <w:rPr>
          <w:color w:val="1F2937"/>
        </w:rPr>
        <w:t>— one source of truth, one narrative.</w:t>
      </w:r>
    </w:p>
    <w:p w14:paraId="57665960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color w:val="1F2937"/>
        </w:rPr>
        <w:t xml:space="preserve">A </w:t>
      </w:r>
      <w:r>
        <w:rPr>
          <w:b/>
          <w:bCs/>
          <w:color w:val="1F2937"/>
        </w:rPr>
        <w:t>30/60/90 roadmap</w:t>
      </w:r>
      <w:r>
        <w:rPr>
          <w:color w:val="1F2937"/>
        </w:rPr>
        <w:t xml:space="preserve"> out of the hackathon — what ships, who owns it, when it lands.</w:t>
      </w:r>
    </w:p>
    <w:p w14:paraId="088F499D" w14:textId="77777777" w:rsidR="00A57D4C" w:rsidRDefault="009B6415">
      <w:pPr>
        <w:pStyle w:val="ListParagraph"/>
        <w:numPr>
          <w:ilvl w:val="0"/>
          <w:numId w:val="1"/>
        </w:numPr>
        <w:spacing w:before="40" w:after="60" w:line="300" w:lineRule="auto"/>
      </w:pPr>
      <w:r>
        <w:rPr>
          <w:color w:val="1F2937"/>
        </w:rPr>
        <w:t xml:space="preserve">A </w:t>
      </w:r>
      <w:r>
        <w:rPr>
          <w:b/>
          <w:bCs/>
          <w:color w:val="1F2937"/>
        </w:rPr>
        <w:t>first-cut user journey</w:t>
      </w:r>
      <w:r>
        <w:rPr>
          <w:color w:val="1F2937"/>
        </w:rPr>
        <w:t xml:space="preserve"> for the analyst using the Quick Report end-to-end.</w:t>
      </w:r>
    </w:p>
    <w:p w14:paraId="3F5C6AAD" w14:textId="77777777" w:rsidR="00A57D4C" w:rsidRDefault="271D8B7F" w:rsidP="271D8B7F">
      <w:pPr>
        <w:pStyle w:val="Heading1"/>
        <w:pBdr>
          <w:bottom w:val="single" w:sz="8" w:space="6" w:color="0E7C66"/>
        </w:pBdr>
        <w:spacing w:before="360" w:after="160"/>
      </w:pPr>
      <w:r w:rsidRPr="271D8B7F">
        <w:rPr>
          <w:b/>
          <w:bCs/>
          <w:color w:val="0E7C66"/>
          <w:sz w:val="36"/>
          <w:szCs w:val="36"/>
        </w:rPr>
        <w:t>7. Who’s in the room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360"/>
        <w:gridCol w:w="3000"/>
      </w:tblGrid>
      <w:tr w:rsidR="00A57D4C" w14:paraId="6411E761" w14:textId="77777777" w:rsidTr="271D8B7F"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F4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D909AED" w14:textId="77777777" w:rsidR="00A57D4C" w:rsidRDefault="009B6415">
            <w:r>
              <w:rPr>
                <w:b/>
                <w:bCs/>
                <w:color w:val="1F2937"/>
              </w:rPr>
              <w:t>Name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F4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810568A" w14:textId="77777777" w:rsidR="00A57D4C" w:rsidRDefault="009B6415">
            <w:r>
              <w:rPr>
                <w:b/>
                <w:bCs/>
                <w:color w:val="1F2937"/>
              </w:rPr>
              <w:t>Role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E5F4E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26989A59" w14:textId="77777777" w:rsidR="00A57D4C" w:rsidRDefault="009B6415">
            <w:r>
              <w:rPr>
                <w:b/>
                <w:bCs/>
                <w:color w:val="1F2937"/>
              </w:rPr>
              <w:t>Seat</w:t>
            </w:r>
          </w:p>
        </w:tc>
      </w:tr>
      <w:tr w:rsidR="00A57D4C" w14:paraId="0BD2EED5" w14:textId="77777777" w:rsidTr="271D8B7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2D162E1" w14:textId="77777777" w:rsidR="00A57D4C" w:rsidRDefault="009B6415">
            <w:r>
              <w:rPr>
                <w:color w:val="1F2937"/>
              </w:rPr>
              <w:t>Kate Schardt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8FFF3C5" w14:textId="77777777" w:rsidR="00A57D4C" w:rsidRDefault="009B6415">
            <w:r>
              <w:rPr>
                <w:color w:val="1F2937"/>
              </w:rPr>
              <w:t>VP, Global Insights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C3F640" w14:textId="77777777" w:rsidR="00A57D4C" w:rsidRDefault="009B6415">
            <w:r>
              <w:rPr>
                <w:color w:val="1F2937"/>
              </w:rPr>
              <w:t>Sponsor</w:t>
            </w:r>
          </w:p>
        </w:tc>
      </w:tr>
      <w:tr w:rsidR="00A57D4C" w14:paraId="72E31805" w14:textId="77777777" w:rsidTr="271D8B7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A2B0158" w14:textId="77777777" w:rsidR="00A57D4C" w:rsidRDefault="009B6415">
            <w:r>
              <w:rPr>
                <w:color w:val="1F2937"/>
              </w:rPr>
              <w:t>Lydia Armstrong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E65DDCD" w14:textId="77777777" w:rsidR="00A57D4C" w:rsidRDefault="009B6415">
            <w:r>
              <w:rPr>
                <w:color w:val="1F2937"/>
              </w:rPr>
              <w:t>Mktg &amp; Insights Capability Director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6B40A0E7" w14:textId="77777777" w:rsidR="00A57D4C" w:rsidRDefault="271D8B7F">
            <w:r w:rsidRPr="271D8B7F">
              <w:rPr>
                <w:color w:val="1F2937"/>
              </w:rPr>
              <w:t>Tiger Team Lead</w:t>
            </w:r>
          </w:p>
        </w:tc>
      </w:tr>
      <w:tr w:rsidR="00A57D4C" w14:paraId="1A30AD8A" w14:textId="77777777" w:rsidTr="271D8B7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E9091A6" w14:textId="77777777" w:rsidR="00A57D4C" w:rsidRDefault="009B6415">
            <w:r>
              <w:rPr>
                <w:color w:val="1F2937"/>
              </w:rPr>
              <w:t>Tim McEntaggart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027B868" w14:textId="77777777" w:rsidR="00A57D4C" w:rsidRDefault="009B6415">
            <w:r>
              <w:rPr>
                <w:color w:val="1F2937"/>
              </w:rPr>
              <w:t>Mktg &amp; Insights Capability Sr Director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D066C36" w14:textId="77777777" w:rsidR="00A57D4C" w:rsidRDefault="009B6415">
            <w:r>
              <w:rPr>
                <w:color w:val="1F2937"/>
              </w:rPr>
              <w:t>Brand / BBE SME</w:t>
            </w:r>
          </w:p>
        </w:tc>
      </w:tr>
      <w:tr w:rsidR="00A57D4C" w14:paraId="078A323F" w14:textId="77777777" w:rsidTr="271D8B7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D73B501" w14:textId="77777777" w:rsidR="00A57D4C" w:rsidRDefault="009B6415">
            <w:r>
              <w:rPr>
                <w:color w:val="1F2937"/>
              </w:rPr>
              <w:t>Jeremy Wasson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F49DAB0" w14:textId="77777777" w:rsidR="00A57D4C" w:rsidRDefault="009B6415">
            <w:r>
              <w:rPr>
                <w:color w:val="1F2937"/>
              </w:rPr>
              <w:t>Mktg &amp; Insights Capability Sr Director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95E64EF" w14:textId="77777777" w:rsidR="00A57D4C" w:rsidRDefault="271D8B7F">
            <w:r w:rsidRPr="271D8B7F">
              <w:rPr>
                <w:color w:val="1F2937"/>
              </w:rPr>
              <w:t>MarSci bridge to measurement spine</w:t>
            </w:r>
          </w:p>
        </w:tc>
      </w:tr>
      <w:tr w:rsidR="00A57D4C" w14:paraId="6D8C37BF" w14:textId="77777777" w:rsidTr="271D8B7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B403064" w14:textId="77777777" w:rsidR="00A57D4C" w:rsidRDefault="009B6415">
            <w:r>
              <w:rPr>
                <w:color w:val="1F2937"/>
              </w:rPr>
              <w:t>Tracey Neis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A654C94" w14:textId="77777777" w:rsidR="00A57D4C" w:rsidRDefault="271D8B7F">
            <w:r w:rsidRPr="271D8B7F">
              <w:rPr>
                <w:color w:val="1F2937"/>
              </w:rPr>
              <w:t>Insights CoE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519BFA6" w14:textId="77777777" w:rsidR="00A57D4C" w:rsidRDefault="009B6415">
            <w:r>
              <w:rPr>
                <w:color w:val="1F2937"/>
              </w:rPr>
              <w:t>Insight planning / truth serum</w:t>
            </w:r>
          </w:p>
        </w:tc>
      </w:tr>
      <w:tr w:rsidR="00A57D4C" w14:paraId="72A0DB74" w14:textId="77777777" w:rsidTr="271D8B7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6C2DB4E" w14:textId="77777777" w:rsidR="00A57D4C" w:rsidRDefault="009B6415">
            <w:r>
              <w:rPr>
                <w:color w:val="1F2937"/>
              </w:rPr>
              <w:t>Ali Levins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10A31B1" w14:textId="77777777" w:rsidR="00A57D4C" w:rsidRDefault="009B6415">
            <w:r>
              <w:rPr>
                <w:color w:val="1F2937"/>
              </w:rPr>
              <w:t>Growth Navigator, Marketing Capabilities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CCE6526" w14:textId="77777777" w:rsidR="00A57D4C" w:rsidRDefault="009B6415">
            <w:r>
              <w:rPr>
                <w:color w:val="1F2937"/>
              </w:rPr>
              <w:t>BGS + Growth Process Framework</w:t>
            </w:r>
          </w:p>
        </w:tc>
      </w:tr>
      <w:tr w:rsidR="00A57D4C" w14:paraId="4818D02D" w14:textId="77777777" w:rsidTr="271D8B7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45970D0C" w14:textId="77777777" w:rsidR="00A57D4C" w:rsidRDefault="009B6415">
            <w:r>
              <w:rPr>
                <w:color w:val="1F2937"/>
              </w:rPr>
              <w:t>Jim Keyt (TBC)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48DDC0E" w14:textId="77777777" w:rsidR="00A57D4C" w:rsidRDefault="009B6415">
            <w:r>
              <w:rPr>
                <w:color w:val="1F2937"/>
              </w:rPr>
              <w:t>S&amp;T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897D31D" w14:textId="77777777" w:rsidR="00A57D4C" w:rsidRDefault="009B6415">
            <w:r>
              <w:rPr>
                <w:color w:val="1F2937"/>
              </w:rPr>
              <w:t>AIM Enterprise Architecture Lead</w:t>
            </w:r>
          </w:p>
        </w:tc>
      </w:tr>
      <w:tr w:rsidR="00A57D4C" w14:paraId="7F72C9B1" w14:textId="77777777" w:rsidTr="271D8B7F"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3EFF837" w14:textId="77777777" w:rsidR="00A57D4C" w:rsidRDefault="009B6415">
            <w:r>
              <w:rPr>
                <w:color w:val="1F2937"/>
              </w:rPr>
              <w:t>Brion Goudreau (TBC)</w:t>
            </w:r>
          </w:p>
        </w:tc>
        <w:tc>
          <w:tcPr>
            <w:tcW w:w="336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1C2A7856" w14:textId="77777777" w:rsidR="00A57D4C" w:rsidRDefault="009B6415">
            <w:r>
              <w:rPr>
                <w:color w:val="1F2937"/>
              </w:rPr>
              <w:t>S&amp;T</w:t>
            </w:r>
          </w:p>
        </w:tc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8FAFC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375ACD04" w14:textId="77777777" w:rsidR="00A57D4C" w:rsidRDefault="009B6415">
            <w:r>
              <w:rPr>
                <w:color w:val="1F2937"/>
              </w:rPr>
              <w:t>AIM Incubator S&amp;T Lead</w:t>
            </w:r>
          </w:p>
        </w:tc>
      </w:tr>
    </w:tbl>
    <w:p w14:paraId="0DB862A2" w14:textId="77777777" w:rsidR="00AC2EF1" w:rsidRDefault="00AC2EF1">
      <w:pPr>
        <w:spacing w:before="120" w:after="120" w:line="300" w:lineRule="auto"/>
        <w:rPr>
          <w:kern w:val="2"/>
          <w:lang w:eastAsia="en-US"/>
          <w14:ligatures w14:val="standardContextual"/>
        </w:rPr>
      </w:pPr>
      <w:r>
        <w:rPr>
          <w:color w:val="1F2937"/>
        </w:rPr>
        <w:t>In addition to the core tiger team, we will bring in 20 to 25 cross-functional and cross-market stakeholders on day 2 of the hackathon to pressure-test the prototype design and sharpen what moves forward.</w:t>
      </w:r>
    </w:p>
    <w:p w14:paraId="4BDC1A85" w14:textId="77777777" w:rsidR="009B6415" w:rsidRDefault="009B6415"/>
    <w:sectPr w:rsidR="009B6415">
      <w:headerReference w:type="default" r:id="rId7"/>
      <w:footerReference w:type="default" r:id="rId8"/>
      <w:pgSz w:w="12240" w:h="15840"/>
      <w:pgMar w:top="1080" w:right="1440" w:bottom="108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F57F15" w14:textId="77777777" w:rsidR="00766997" w:rsidRDefault="00766997">
      <w:r>
        <w:separator/>
      </w:r>
    </w:p>
  </w:endnote>
  <w:endnote w:type="continuationSeparator" w:id="0">
    <w:p w14:paraId="72D98375" w14:textId="77777777" w:rsidR="00766997" w:rsidRDefault="007669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DE9144" w14:textId="4CBA6920" w:rsidR="00A57D4C" w:rsidRDefault="271D8B7F" w:rsidP="271D8B7F">
    <w:pPr>
      <w:jc w:val="center"/>
    </w:pPr>
    <w:r w:rsidRPr="271D8B7F">
      <w:rPr>
        <w:color w:val="6B7280"/>
        <w:sz w:val="18"/>
        <w:szCs w:val="18"/>
      </w:rPr>
      <w:t xml:space="preserve">Internal  ·  BBE Next for Growth Tiger Team  ·  Page </w:t>
    </w:r>
    <w:r w:rsidR="009B6415" w:rsidRPr="271D8B7F">
      <w:rPr>
        <w:color w:val="6B7280"/>
        <w:sz w:val="18"/>
        <w:szCs w:val="18"/>
      </w:rPr>
      <w:fldChar w:fldCharType="begin"/>
    </w:r>
    <w:r w:rsidR="009B6415" w:rsidRPr="271D8B7F">
      <w:rPr>
        <w:color w:val="6B7280"/>
        <w:sz w:val="18"/>
        <w:szCs w:val="18"/>
      </w:rPr>
      <w:instrText>PAGE</w:instrText>
    </w:r>
    <w:r w:rsidR="009B6415" w:rsidRPr="271D8B7F">
      <w:rPr>
        <w:color w:val="6B7280"/>
        <w:sz w:val="18"/>
        <w:szCs w:val="18"/>
      </w:rPr>
      <w:fldChar w:fldCharType="separate"/>
    </w:r>
    <w:r w:rsidR="004A1881">
      <w:rPr>
        <w:noProof/>
        <w:color w:val="6B7280"/>
        <w:sz w:val="18"/>
        <w:szCs w:val="18"/>
      </w:rPr>
      <w:t>1</w:t>
    </w:r>
    <w:r w:rsidR="009B6415" w:rsidRPr="271D8B7F">
      <w:rPr>
        <w:color w:val="6B72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E8E07" w14:textId="77777777" w:rsidR="00766997" w:rsidRDefault="00766997">
      <w:r>
        <w:separator/>
      </w:r>
    </w:p>
  </w:footnote>
  <w:footnote w:type="continuationSeparator" w:id="0">
    <w:p w14:paraId="62BD86F3" w14:textId="77777777" w:rsidR="00766997" w:rsidRDefault="0076699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E74552" w14:textId="77777777" w:rsidR="00A57D4C" w:rsidRDefault="271D8B7F">
    <w:pPr>
      <w:jc w:val="right"/>
    </w:pPr>
    <w:r w:rsidRPr="271D8B7F">
      <w:rPr>
        <w:color w:val="6B7280"/>
        <w:sz w:val="18"/>
        <w:szCs w:val="18"/>
      </w:rPr>
      <w:t>BBE Next for Growth  ·  Hackathon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5DCF"/>
    <w:multiLevelType w:val="hybridMultilevel"/>
    <w:tmpl w:val="FFFFFFFF"/>
    <w:lvl w:ilvl="0" w:tplc="A51C940A">
      <w:start w:val="1"/>
      <w:numFmt w:val="decimal"/>
      <w:lvlText w:val="%1."/>
      <w:lvlJc w:val="left"/>
      <w:pPr>
        <w:ind w:left="540" w:hanging="280"/>
      </w:pPr>
    </w:lvl>
    <w:lvl w:ilvl="1" w:tplc="A920E23A">
      <w:numFmt w:val="decimal"/>
      <w:lvlText w:val=""/>
      <w:lvlJc w:val="left"/>
    </w:lvl>
    <w:lvl w:ilvl="2" w:tplc="79C4DFEA">
      <w:numFmt w:val="decimal"/>
      <w:lvlText w:val=""/>
      <w:lvlJc w:val="left"/>
    </w:lvl>
    <w:lvl w:ilvl="3" w:tplc="C4B841D6">
      <w:numFmt w:val="decimal"/>
      <w:lvlText w:val=""/>
      <w:lvlJc w:val="left"/>
    </w:lvl>
    <w:lvl w:ilvl="4" w:tplc="04EE5980">
      <w:numFmt w:val="decimal"/>
      <w:lvlText w:val=""/>
      <w:lvlJc w:val="left"/>
    </w:lvl>
    <w:lvl w:ilvl="5" w:tplc="DD303580">
      <w:numFmt w:val="decimal"/>
      <w:lvlText w:val=""/>
      <w:lvlJc w:val="left"/>
    </w:lvl>
    <w:lvl w:ilvl="6" w:tplc="FFF64F3E">
      <w:numFmt w:val="decimal"/>
      <w:lvlText w:val=""/>
      <w:lvlJc w:val="left"/>
    </w:lvl>
    <w:lvl w:ilvl="7" w:tplc="4BBCE330">
      <w:numFmt w:val="decimal"/>
      <w:lvlText w:val=""/>
      <w:lvlJc w:val="left"/>
    </w:lvl>
    <w:lvl w:ilvl="8" w:tplc="3B76A3D2">
      <w:numFmt w:val="decimal"/>
      <w:lvlText w:val=""/>
      <w:lvlJc w:val="left"/>
    </w:lvl>
  </w:abstractNum>
  <w:abstractNum w:abstractNumId="1" w15:restartNumberingAfterBreak="0">
    <w:nsid w:val="2C450F11"/>
    <w:multiLevelType w:val="hybridMultilevel"/>
    <w:tmpl w:val="FFFFFFFF"/>
    <w:lvl w:ilvl="0" w:tplc="7BCA4FE4">
      <w:start w:val="1"/>
      <w:numFmt w:val="decimal"/>
      <w:lvlText w:val="%1."/>
      <w:lvlJc w:val="left"/>
      <w:pPr>
        <w:ind w:left="540" w:hanging="280"/>
      </w:pPr>
    </w:lvl>
    <w:lvl w:ilvl="1" w:tplc="40AA195C">
      <w:numFmt w:val="decimal"/>
      <w:lvlText w:val=""/>
      <w:lvlJc w:val="left"/>
    </w:lvl>
    <w:lvl w:ilvl="2" w:tplc="2818783A">
      <w:numFmt w:val="decimal"/>
      <w:lvlText w:val=""/>
      <w:lvlJc w:val="left"/>
    </w:lvl>
    <w:lvl w:ilvl="3" w:tplc="AE961B8C">
      <w:numFmt w:val="decimal"/>
      <w:lvlText w:val=""/>
      <w:lvlJc w:val="left"/>
    </w:lvl>
    <w:lvl w:ilvl="4" w:tplc="24DEA0E0">
      <w:numFmt w:val="decimal"/>
      <w:lvlText w:val=""/>
      <w:lvlJc w:val="left"/>
    </w:lvl>
    <w:lvl w:ilvl="5" w:tplc="58E0F938">
      <w:numFmt w:val="decimal"/>
      <w:lvlText w:val=""/>
      <w:lvlJc w:val="left"/>
    </w:lvl>
    <w:lvl w:ilvl="6" w:tplc="6520E110">
      <w:numFmt w:val="decimal"/>
      <w:lvlText w:val=""/>
      <w:lvlJc w:val="left"/>
    </w:lvl>
    <w:lvl w:ilvl="7" w:tplc="A2288860">
      <w:numFmt w:val="decimal"/>
      <w:lvlText w:val=""/>
      <w:lvlJc w:val="left"/>
    </w:lvl>
    <w:lvl w:ilvl="8" w:tplc="3DDCA834">
      <w:numFmt w:val="decimal"/>
      <w:lvlText w:val=""/>
      <w:lvlJc w:val="left"/>
    </w:lvl>
  </w:abstractNum>
  <w:abstractNum w:abstractNumId="2" w15:restartNumberingAfterBreak="0">
    <w:nsid w:val="7DC58732"/>
    <w:multiLevelType w:val="hybridMultilevel"/>
    <w:tmpl w:val="FFFFFFFF"/>
    <w:lvl w:ilvl="0" w:tplc="B78C1898">
      <w:start w:val="1"/>
      <w:numFmt w:val="bullet"/>
      <w:lvlText w:val="•"/>
      <w:lvlJc w:val="left"/>
      <w:pPr>
        <w:ind w:left="540" w:hanging="280"/>
      </w:pPr>
    </w:lvl>
    <w:lvl w:ilvl="1" w:tplc="F4EECEBE">
      <w:numFmt w:val="decimal"/>
      <w:lvlText w:val=""/>
      <w:lvlJc w:val="left"/>
    </w:lvl>
    <w:lvl w:ilvl="2" w:tplc="E62E23E2">
      <w:numFmt w:val="decimal"/>
      <w:lvlText w:val=""/>
      <w:lvlJc w:val="left"/>
    </w:lvl>
    <w:lvl w:ilvl="3" w:tplc="08EC8EB0">
      <w:numFmt w:val="decimal"/>
      <w:lvlText w:val=""/>
      <w:lvlJc w:val="left"/>
    </w:lvl>
    <w:lvl w:ilvl="4" w:tplc="91BE8BF0">
      <w:numFmt w:val="decimal"/>
      <w:lvlText w:val=""/>
      <w:lvlJc w:val="left"/>
    </w:lvl>
    <w:lvl w:ilvl="5" w:tplc="E82433BC">
      <w:numFmt w:val="decimal"/>
      <w:lvlText w:val=""/>
      <w:lvlJc w:val="left"/>
    </w:lvl>
    <w:lvl w:ilvl="6" w:tplc="3252EBE2">
      <w:numFmt w:val="decimal"/>
      <w:lvlText w:val=""/>
      <w:lvlJc w:val="left"/>
    </w:lvl>
    <w:lvl w:ilvl="7" w:tplc="CE564BCE">
      <w:numFmt w:val="decimal"/>
      <w:lvlText w:val=""/>
      <w:lvlJc w:val="left"/>
    </w:lvl>
    <w:lvl w:ilvl="8" w:tplc="A4503294">
      <w:numFmt w:val="decimal"/>
      <w:lvlText w:val=""/>
      <w:lvlJc w:val="left"/>
    </w:lvl>
  </w:abstractNum>
  <w:abstractNum w:abstractNumId="3" w15:restartNumberingAfterBreak="0">
    <w:nsid w:val="7DE0E78B"/>
    <w:multiLevelType w:val="hybridMultilevel"/>
    <w:tmpl w:val="FFFFFFFF"/>
    <w:lvl w:ilvl="0" w:tplc="ED184DEA">
      <w:start w:val="1"/>
      <w:numFmt w:val="bullet"/>
      <w:lvlText w:val="●"/>
      <w:lvlJc w:val="left"/>
      <w:pPr>
        <w:ind w:left="720" w:hanging="360"/>
      </w:pPr>
    </w:lvl>
    <w:lvl w:ilvl="1" w:tplc="89C4BC16">
      <w:start w:val="1"/>
      <w:numFmt w:val="bullet"/>
      <w:lvlText w:val="○"/>
      <w:lvlJc w:val="left"/>
      <w:pPr>
        <w:ind w:left="1440" w:hanging="360"/>
      </w:pPr>
    </w:lvl>
    <w:lvl w:ilvl="2" w:tplc="2C66CC64">
      <w:start w:val="1"/>
      <w:numFmt w:val="bullet"/>
      <w:lvlText w:val="■"/>
      <w:lvlJc w:val="left"/>
      <w:pPr>
        <w:ind w:left="2160" w:hanging="360"/>
      </w:pPr>
    </w:lvl>
    <w:lvl w:ilvl="3" w:tplc="C506F3E8">
      <w:start w:val="1"/>
      <w:numFmt w:val="bullet"/>
      <w:lvlText w:val="●"/>
      <w:lvlJc w:val="left"/>
      <w:pPr>
        <w:ind w:left="2880" w:hanging="360"/>
      </w:pPr>
    </w:lvl>
    <w:lvl w:ilvl="4" w:tplc="ADF2903A">
      <w:start w:val="1"/>
      <w:numFmt w:val="bullet"/>
      <w:lvlText w:val="○"/>
      <w:lvlJc w:val="left"/>
      <w:pPr>
        <w:ind w:left="3600" w:hanging="360"/>
      </w:pPr>
    </w:lvl>
    <w:lvl w:ilvl="5" w:tplc="AE7A0194">
      <w:start w:val="1"/>
      <w:numFmt w:val="bullet"/>
      <w:lvlText w:val="■"/>
      <w:lvlJc w:val="left"/>
      <w:pPr>
        <w:ind w:left="4320" w:hanging="360"/>
      </w:pPr>
    </w:lvl>
    <w:lvl w:ilvl="6" w:tplc="C6D2133C">
      <w:start w:val="1"/>
      <w:numFmt w:val="bullet"/>
      <w:lvlText w:val="●"/>
      <w:lvlJc w:val="left"/>
      <w:pPr>
        <w:ind w:left="5040" w:hanging="360"/>
      </w:pPr>
    </w:lvl>
    <w:lvl w:ilvl="7" w:tplc="3634E810">
      <w:start w:val="1"/>
      <w:numFmt w:val="bullet"/>
      <w:lvlText w:val="●"/>
      <w:lvlJc w:val="left"/>
      <w:pPr>
        <w:ind w:left="5760" w:hanging="360"/>
      </w:pPr>
    </w:lvl>
    <w:lvl w:ilvl="8" w:tplc="7304E5E8">
      <w:start w:val="1"/>
      <w:numFmt w:val="bullet"/>
      <w:lvlText w:val="●"/>
      <w:lvlJc w:val="left"/>
      <w:pPr>
        <w:ind w:left="6480" w:hanging="360"/>
      </w:pPr>
    </w:lvl>
  </w:abstractNum>
  <w:num w:numId="1" w16cid:durableId="192958842">
    <w:abstractNumId w:val="2"/>
    <w:lvlOverride w:ilvl="0">
      <w:startOverride w:val="1"/>
    </w:lvlOverride>
  </w:num>
  <w:num w:numId="2" w16cid:durableId="497159238">
    <w:abstractNumId w:val="0"/>
    <w:lvlOverride w:ilvl="0">
      <w:startOverride w:val="1"/>
    </w:lvlOverride>
  </w:num>
  <w:num w:numId="3" w16cid:durableId="79706882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71D8B7F"/>
    <w:rsid w:val="0001753D"/>
    <w:rsid w:val="000A2577"/>
    <w:rsid w:val="000C2827"/>
    <w:rsid w:val="00176862"/>
    <w:rsid w:val="001B2676"/>
    <w:rsid w:val="002D69AA"/>
    <w:rsid w:val="00385063"/>
    <w:rsid w:val="0045035D"/>
    <w:rsid w:val="004A1881"/>
    <w:rsid w:val="005810A6"/>
    <w:rsid w:val="006204EC"/>
    <w:rsid w:val="00766997"/>
    <w:rsid w:val="008620EF"/>
    <w:rsid w:val="008A65D0"/>
    <w:rsid w:val="00954DC9"/>
    <w:rsid w:val="009B6415"/>
    <w:rsid w:val="009D6EC9"/>
    <w:rsid w:val="009F4CE9"/>
    <w:rsid w:val="00A57D4C"/>
    <w:rsid w:val="00AC2EF1"/>
    <w:rsid w:val="00B06AA9"/>
    <w:rsid w:val="00B147EA"/>
    <w:rsid w:val="00BC0DB5"/>
    <w:rsid w:val="00F85280"/>
    <w:rsid w:val="271D8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FC41015"/>
  <w15:docId w15:val="{01EBAA95-D436-4366-AEB5-8908F9EAB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BC0DB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A65D0"/>
  </w:style>
  <w:style w:type="paragraph" w:styleId="Footer">
    <w:name w:val="footer"/>
    <w:basedOn w:val="Normal"/>
    <w:link w:val="FooterChar"/>
    <w:uiPriority w:val="99"/>
    <w:semiHidden/>
    <w:unhideWhenUsed/>
    <w:rsid w:val="00BC0DB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A65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BBE Next for Growth — Hackathon Brief</dc:title>
  <dc:subject/>
  <dc:creator>Kate Schardt</dc:creator>
  <cp:keywords/>
  <cp:lastModifiedBy>Neis, Tracey {PEP}</cp:lastModifiedBy>
  <cp:revision>3</cp:revision>
  <dcterms:created xsi:type="dcterms:W3CDTF">2026-05-19T19:24:00Z</dcterms:created>
  <dcterms:modified xsi:type="dcterms:W3CDTF">2026-05-22T08:54:00Z</dcterms:modified>
</cp:coreProperties>
</file>