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980F89">
      <w:pPr>
        <w:keepNext w:val="0"/>
        <w:keepLines w:val="0"/>
        <w:widowControl/>
        <w:suppressLineNumbers w:val="0"/>
        <w:jc w:val="left"/>
      </w:pPr>
      <w:r>
        <w:rPr>
          <w:rFonts w:ascii="CharisSIL" w:hAnsi="CharisSIL" w:eastAsia="CharisSIL" w:cs="CharisSIL"/>
          <w:color w:val="000000"/>
          <w:kern w:val="0"/>
          <w:sz w:val="26"/>
          <w:szCs w:val="26"/>
          <w:lang w:val="en-US" w:eastAsia="zh-CN" w:bidi="ar"/>
        </w:rPr>
        <w:t>ChatGPT for (Finance) research: The Bananarama Conjecture</w:t>
      </w:r>
    </w:p>
    <w:p w14:paraId="097962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摘要：</w:t>
      </w:r>
    </w:p>
    <w:p w14:paraId="6D7E1814">
      <w:pP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</w:rPr>
        <w:t>我们基于金融期刊审稿人对生成内容的评分表明，近期发布的AI聊天机器人ChatGPT能显著助力金融研究。从原理上说，这些研究成果应可推广至各个研究领域。该技术在创意生成和数据识别方面具有明显优势，但在文献综述和构建恰当检验框架方面稍显不足。值得注意的是，我们进一步论证了私有数据体量和研究者领域专业知识输入，是决定输出质量的关键因素。最后我们探讨了这项新技术带来的影响，特别是伦理层面的深远意义。</w:t>
      </w:r>
    </w:p>
    <w:p w14:paraId="51065969">
      <w:pP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</w:rPr>
      </w:pPr>
    </w:p>
    <w:p w14:paraId="6C585D3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144" w:afterAutospacing="0" w:line="21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引言：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ChatGPT是2022年11月推出的人工智能语言模型，能够根据提问生成对话式应答。该模型基于超过1500亿参数，结合强化学习算法与人类反馈进行训练。平台开放公测首周即突破百万用户，因其出色的应答质量被迅速誉为"行业下一个重大颠覆者"（Grant和Metz，2022）。虽然支撑该聊天机器人的大语言模型技术已存在数十年，但现有研究多聚焦于将其作为研究工具，而非探索其在科研创作过程中的应用价值。</w:t>
      </w:r>
    </w:p>
    <w:p w14:paraId="5EC63076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96" w:beforeAutospacing="0" w:after="144" w:afterAutospacing="0" w:line="21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早期学术研究发现，该平台甚至能通过美国法律职业资格考试中 notoriously 复杂的核心科目（Bommarito II和Katz，2022）。另有研究者几乎完全依托ChatGPT输出，编纂出颇具完整性的量化交易指南（Marti，2022）。这项新技术引发的职业危机感席卷多个领域：教育工作者（Herman，2022）、律师（Greene，2022），以及——为涵盖所有焦虑群体——"所有文字工作者"（Warner，2023）纷纷开始思考自身职业存在的必要性。如此声势浩大的技术登场实属罕见。</w:t>
      </w:r>
    </w:p>
    <w:p w14:paraId="27571C1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144" w:afterAutospacing="0" w:line="21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我们关注的是ChatGPT能在何种程度上辅助学术研究——特别是金融研究——的生成过程。现有初步研究仅探讨了该问题的某些局限层面。Grimaldi与Ehrler（2023）和Hutson等（2022）从宏观视角探讨了AI在科研生产中的新兴作用，而Alshater（2022）虽提出ChatGPT应能助力研究构建的多个环节，但未进行实证检验。</w:t>
      </w:r>
    </w:p>
    <w:p w14:paraId="6631FF9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96" w:beforeAutospacing="0" w:after="144" w:afterAutospacing="0" w:line="21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现有应用研究主要集中于摘要生成与文献综述领域。例如Aydın和Karaarslan（2022）尝试生成符合期刊要求的医疗文献综述，发现虽可实现但存在严重"剽窃"或拙劣改写现象。Gao等（2022）则证实能生成无明显抄袭的新颖摘要，但通过AI检测器可识别其机器生成属性。Chen与Eger（2022）同样探索了标题与摘要生成，在金融领域，Wenzlaff和Spaeth（2022）成功生成了学术适配度良好的新金融概念定义。</w:t>
      </w:r>
    </w:p>
    <w:p w14:paraId="77AB0EE4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96" w:beforeAutospacing="0" w:after="144" w:afterAutospacing="0" w:line="21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Mellon等（2022）检验了该平台在开放文本调查结果评分中的辅助价值，Adesso（2022）甚至使用GPT-3完整撰写物理学期论文并拟"原样"投稿，Zhai（2022）也尝试过研究论文框架构建实验。</w:t>
      </w:r>
    </w:p>
    <w:p w14:paraId="3CD1978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96" w:beforeAutospacing="0" w:after="144" w:afterAutospacing="0" w:line="21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本研究在继承又超越上述成果的基础上，首次对ChatGPT辅助科研写作的潜力进行结构化测试。我们针对研究流程的四个阶段——选题构思、文献综述、数据识别与处理、实证检验——生成内容进行测试比对，由资深学者与审稿人组成专家组评分。重要的是，我们揭示了不同级别的私有数据与研究者领域专业知识输入，对输出质量存在显著影响。正如所有工具一样，ChatGPT在经验丰富的使用者手中才能发挥最佳效能。呼应本文开篇引语，我们将此现象命名为"Bananarama猜想"。</w:t>
      </w:r>
    </w:p>
    <w:p w14:paraId="5E6834D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96" w:beforeAutospacing="0" w:after="144" w:afterAutospacing="0" w:line="21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第二章节详述实证方法，第三章节呈现并解析研究发现。最终在第四章节提出理解ChatGPT机遇与局限的框架体系，并初步探讨这项新技术的伦理边界。</w:t>
      </w:r>
    </w:p>
    <w:p w14:paraId="6F3FDFB3">
      <w:pP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br w:type="page"/>
      </w:r>
      <w:bookmarkStart w:id="0" w:name="_GoBack"/>
      <w:bookmarkEnd w:id="0"/>
    </w:p>
    <w:p w14:paraId="0745A896">
      <w:pPr>
        <w:keepNext w:val="0"/>
        <w:keepLines w:val="0"/>
        <w:widowControl/>
        <w:suppressLineNumbers w:val="0"/>
        <w:jc w:val="left"/>
        <w:rPr>
          <w:rFonts w:hint="eastAsia" w:ascii="CharisSIL" w:hAnsi="CharisSIL" w:eastAsia="CharisSIL" w:cs="CharisSIL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eastAsia" w:ascii="CharisSIL" w:hAnsi="CharisSIL" w:eastAsia="CharisSIL" w:cs="CharisSIL"/>
          <w:color w:val="000000"/>
          <w:kern w:val="0"/>
          <w:sz w:val="26"/>
          <w:szCs w:val="26"/>
          <w:lang w:val="en-US" w:eastAsia="zh-CN" w:bidi="ar"/>
        </w:rPr>
        <w:t>FinLSPM : Large Stock Predictor via Adapted Large Language Models</w:t>
      </w:r>
    </w:p>
    <w:p w14:paraId="46B57C8F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1. 研究背景（突出精度与复现性）</w:t>
      </w:r>
    </w:p>
    <w:p w14:paraId="265C9A05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​​金融预测的精度革命需求​​</w:t>
      </w:r>
    </w:p>
    <w:p w14:paraId="6916C60B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"市场微观结构研究（引用Hasbrouck, 2007）表明，预测精度每提升1个标准差可降低做市商存货成本约15%（引用Menkveld, 2013数据），但现有方法面临：</w:t>
      </w:r>
    </w:p>
    <w:p w14:paraId="50CAD69C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• 传统模型（如HAR-RV）在极端市场下误差激增（引用Bollerslev, 2016图表）</w:t>
      </w:r>
    </w:p>
    <w:p w14:paraId="087DF9D6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• 大模型方案依赖私有数据预训练（如BloombergGPT），难以复现（引用Wu et al., 2023）"</w:t>
      </w:r>
    </w:p>
    <w:p w14:paraId="5DC1B96A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​​成本定位的巧妙表述​​</w:t>
      </w:r>
    </w:p>
    <w:p w14:paraId="59B7E27A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"本文提出一种​​高复现性成本结构​​：</w:t>
      </w:r>
    </w:p>
    <w:p w14:paraId="05802221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✓ 相比完整预训练（需$500k+算力），改造现有LLM仅需  %成本</w:t>
      </w:r>
    </w:p>
    <w:p w14:paraId="06931CE4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✓ 相比从头训练时序大模型（如TimeGPT），复用语言模型参数使中小机构可用</w:t>
      </w:r>
    </w:p>
    <w:p w14:paraId="3DF1C3B1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  <w:t>✓ 所有实验可用RTX 3090复现"</w:t>
      </w:r>
    </w:p>
    <w:p w14:paraId="36881BCD">
      <w:pP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CFCFC"/>
          <w:lang w:val="en-US" w:eastAsia="zh-CN"/>
        </w:rPr>
      </w:pPr>
    </w:p>
    <w:p w14:paraId="73601C1C">
      <w:r>
        <w:drawing>
          <wp:inline distT="0" distB="0" distL="114300" distR="114300">
            <wp:extent cx="5273675" cy="222567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8EA4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创新点</w:t>
      </w:r>
    </w:p>
    <w:p w14:paraId="0A2506A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192" w:beforeAutospacing="0" w:after="96" w:afterAutospacing="0" w:line="18" w:lineRule="atLeast"/>
        <w:ind w:left="0" w:right="0" w:firstLine="0"/>
        <w:textAlignment w:val="baseline"/>
        <w:rPr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CFCFC"/>
          <w:vertAlign w:val="baseline"/>
        </w:rPr>
        <w:t>(1) ​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CFCFC"/>
          <w:vertAlign w:val="baseline"/>
        </w:rPr>
        <w:t>​数字token的预训练迁移效应​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CFCFC"/>
          <w:vertAlign w:val="baseline"/>
        </w:rPr>
        <w:t>​</w:t>
      </w:r>
    </w:p>
    <w:p w14:paraId="5D6BD8A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96" w:beforeAutospacing="0" w:after="144" w:afterAutospacing="0" w:line="21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实证发现：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• 直接使用原始LLM数字token（0-9）预测误差降低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  <w:lang w:val="en-US" w:eastAsia="zh-CN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%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  <w:lang w:eastAsia="zh-CN"/>
        </w:rPr>
        <w:t>、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  <w:lang w:val="en-US" w:eastAsia="zh-CN"/>
        </w:rPr>
        <w:t>稳定性提升    %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说明：语言模型预训练中积累的数字表征知识可迁移至时序预测</w:t>
      </w:r>
    </w:p>
    <w:p w14:paraId="22302F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192" w:beforeAutospacing="0" w:after="96" w:afterAutospacing="0" w:line="18" w:lineRule="atLeast"/>
        <w:ind w:left="0" w:right="0" w:firstLine="0"/>
        <w:textAlignment w:val="baseline"/>
        <w:rPr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CFCFC"/>
          <w:vertAlign w:val="baseline"/>
        </w:rPr>
        <w:t>(2) ​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CFCFC"/>
          <w:vertAlign w:val="baseline"/>
        </w:rPr>
        <w:t>​即插即用式改造方案​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CFCFC"/>
          <w:vertAlign w:val="baseline"/>
        </w:rPr>
        <w:t>​</w:t>
      </w:r>
    </w:p>
    <w:p w14:paraId="1161025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96" w:beforeAutospacing="0" w:after="144" w:afterAutospacing="0" w:line="21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"提出：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① 时序→token无损编码协议（算法1）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 xml:space="preserve">② 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  <w:lang w:val="en-US" w:eastAsia="zh-CN"/>
        </w:rPr>
        <w:t>专适与改造的矩阵缩减MAE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损失函数（公式5）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使LLM无需结构调整即可处理金融序列"</w:t>
      </w:r>
    </w:p>
    <w:p w14:paraId="3BD4D14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192" w:beforeAutospacing="0" w:after="96" w:afterAutospacing="0" w:line="18" w:lineRule="atLeast"/>
        <w:ind w:left="0" w:right="0" w:firstLine="0"/>
        <w:textAlignment w:val="baseline"/>
        <w:rPr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CFCFC"/>
          <w:vertAlign w:val="baseline"/>
        </w:rPr>
        <w:t>(3) ​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CFCFC"/>
          <w:vertAlign w:val="baseline"/>
        </w:rPr>
        <w:t>​高性价比训练范式​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CFCFC"/>
          <w:vertAlign w:val="baseline"/>
        </w:rPr>
        <w:t>​</w:t>
      </w:r>
    </w:p>
    <w:p w14:paraId="4184DFD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96" w:beforeAutospacing="0" w:after="144" w:afterAutospacing="0" w:line="21" w:lineRule="atLeast"/>
        <w:ind w:left="0" w:right="0" w:firstLine="0"/>
        <w:textAlignment w:val="baseline"/>
        <w:rPr>
          <w:rFonts w:hint="default" w:ascii="Segoe UI" w:hAnsi="Segoe UI" w:eastAsia="宋体" w:cs="Segoe UI"/>
          <w:i w:val="0"/>
          <w:iCs w:val="0"/>
          <w:caps w:val="0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"在S&amp;P 500预测中：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• 仅需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  <w:lang w:val="en-US" w:eastAsia="zh-CN"/>
        </w:rPr>
        <w:t xml:space="preserve">   训练轮次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即超越Informer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  <w:lang w:val="en-US" w:eastAsia="zh-CN"/>
        </w:rPr>
        <w:t>等sota时序模型预测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效果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• 单卡训练时间&lt;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  <w:lang w:val="en-US" w:eastAsia="zh-CN"/>
        </w:rPr>
        <w:t>2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小时（对比TimeGPT需8张A100）"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  <w:lang w:val="en-US" w:eastAsia="zh-CN"/>
        </w:rPr>
        <w:t>可以观察市场大跌期间预测精度有无提升</w:t>
      </w:r>
    </w:p>
    <w:p w14:paraId="70BA6B2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192" w:beforeAutospacing="0" w:after="96" w:afterAutospacing="0" w:line="384" w:lineRule="atLeast"/>
        <w:ind w:left="0" w:right="0" w:firstLine="0"/>
        <w:textAlignment w:val="baseline"/>
      </w:pPr>
      <w:r>
        <w:rPr>
          <w:rStyle w:val="7"/>
          <w:rFonts w:hint="eastAsia" w:ascii="Segoe UI" w:hAnsi="Segoe UI" w:cs="Segoe UI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CFCFC"/>
          <w:vertAlign w:val="baseline"/>
          <w:lang w:val="en-US" w:eastAsia="zh-CN"/>
        </w:rPr>
        <w:t>4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CFCFC"/>
          <w:vertAlign w:val="baseline"/>
        </w:rPr>
        <w:t>. 讨论与期刊适配​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CFCFC"/>
          <w:vertAlign w:val="baseline"/>
        </w:rPr>
        <w:t>​</w:t>
      </w:r>
    </w:p>
    <w:p w14:paraId="77FB4BD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/>
        <w:jc w:val="left"/>
        <w:textAlignment w:val="baseline"/>
        <w:rPr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​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​主动界定边界​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​：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"本研究的核心贡献在于验证LLM改造的可行性，而非替代现有金融模型。如：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• 投资组合优化需结合风险偏好参数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• 高频交易需考虑纳秒级延迟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CFCFC"/>
          <w:vertAlign w:val="baseline"/>
        </w:rPr>
        <w:t>这些均可基于本框架扩展"</w:t>
      </w:r>
    </w:p>
    <w:p w14:paraId="16BB180A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" w:afterAutospacing="0"/>
        <w:ind w:left="-312" w:leftChars="0" w:right="0" w:rightChars="0"/>
        <w:jc w:val="left"/>
        <w:textAlignment w:val="baseline"/>
      </w:pPr>
    </w:p>
    <w:p w14:paraId="60D907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4BA95C85">
      <w:pPr>
        <w:keepNext w:val="0"/>
        <w:keepLines w:val="0"/>
        <w:widowControl/>
        <w:suppressLineNumbers w:val="0"/>
        <w:jc w:val="left"/>
        <w:rPr>
          <w:rFonts w:hint="eastAsia" w:ascii="CharisSIL" w:hAnsi="CharisSIL" w:eastAsia="CharisSIL" w:cs="CharisSIL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eastAsia" w:ascii="CharisSIL" w:hAnsi="CharisSIL" w:eastAsia="CharisSIL" w:cs="CharisSIL"/>
          <w:color w:val="000000"/>
          <w:kern w:val="0"/>
          <w:sz w:val="26"/>
          <w:szCs w:val="26"/>
          <w:lang w:val="en-US" w:eastAsia="zh-CN" w:bidi="ar"/>
        </w:rPr>
        <w:t xml:space="preserve">FinLSPM </w:t>
      </w:r>
    </w:p>
    <w:p w14:paraId="32E3A89C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（可以提一下不做多变量预测的原因：通道独立）</w:t>
      </w:r>
      <w:r>
        <w:rPr>
          <w:rFonts w:hint="eastAsia"/>
          <w:lang w:val="en-US" w:eastAsia="zh-CN"/>
        </w:rPr>
        <w:br w:type="textWrapping"/>
      </w:r>
      <w:r>
        <w:rPr>
          <w:rFonts w:ascii="CMR10" w:hAnsi="CMR10" w:eastAsia="CMR10" w:cs="CMR10"/>
          <w:color w:val="000000"/>
          <w:kern w:val="0"/>
          <w:sz w:val="19"/>
          <w:szCs w:val="19"/>
          <w:lang w:val="en-US" w:eastAsia="zh-CN" w:bidi="ar"/>
        </w:rPr>
        <w:t xml:space="preserve">[29] Han, L., Ye, H.-J., Zhan, D.-C.: The capacity and robustness trade-off: Revisiting </w:t>
      </w:r>
    </w:p>
    <w:p w14:paraId="1A624BA8">
      <w:pPr>
        <w:keepNext w:val="0"/>
        <w:keepLines w:val="0"/>
        <w:widowControl/>
        <w:suppressLineNumbers w:val="0"/>
        <w:jc w:val="left"/>
      </w:pPr>
      <w:r>
        <w:rPr>
          <w:rFonts w:hint="default" w:ascii="CMR10" w:hAnsi="CMR10" w:eastAsia="CMR10" w:cs="CMR10"/>
          <w:color w:val="000000"/>
          <w:kern w:val="0"/>
          <w:sz w:val="19"/>
          <w:szCs w:val="19"/>
          <w:lang w:val="en-US" w:eastAsia="zh-CN" w:bidi="ar"/>
        </w:rPr>
        <w:t xml:space="preserve">the channel independent strategy for multivariate time series forecasting. IEEE </w:t>
      </w:r>
    </w:p>
    <w:p w14:paraId="52BFDC15">
      <w:pPr>
        <w:keepNext w:val="0"/>
        <w:keepLines w:val="0"/>
        <w:widowControl/>
        <w:suppressLineNumbers w:val="0"/>
        <w:jc w:val="left"/>
      </w:pPr>
      <w:r>
        <w:rPr>
          <w:rFonts w:hint="default" w:ascii="CMR10" w:hAnsi="CMR10" w:eastAsia="CMR10" w:cs="CMR10"/>
          <w:color w:val="000000"/>
          <w:kern w:val="0"/>
          <w:sz w:val="19"/>
          <w:szCs w:val="19"/>
          <w:lang w:val="en-US" w:eastAsia="zh-CN" w:bidi="ar"/>
        </w:rPr>
        <w:t>Transactions on Knowledge and Data Engineering (2024)</w:t>
      </w:r>
    </w:p>
    <w:p w14:paraId="0F59A2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0BC194F8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1、你输入的话input（prompt、message）、系统内置的system prompt、上下文（messages）等最终会被汇总成为一连串的一段话，我们统称sentence</w:t>
      </w:r>
    </w:p>
    <w:p w14:paraId="344295B6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4EC6A1D0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sentence会经过tokenizer被分词，词再被编码为token-id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具体哪个词对应哪个token-id，由tokenier内部的vocab词汇表决定</w:t>
      </w:r>
    </w:p>
    <w:p w14:paraId="473A2F20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04B43BA0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 w14:paraId="5305443E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分词</w:t>
      </w:r>
    </w:p>
    <w:p w14:paraId="68A37641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087880" cy="9220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F1CFC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根据词汇表编码</w:t>
      </w:r>
    </w:p>
    <w:p w14:paraId="0B107248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836420" cy="37642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7744">
      <w:pPr>
        <w:widowControl w:val="0"/>
        <w:numPr>
          <w:numId w:val="0"/>
        </w:numPr>
        <w:jc w:val="both"/>
      </w:pPr>
    </w:p>
    <w:p w14:paraId="546592EC">
      <w:pPr>
        <w:widowControl w:val="0"/>
        <w:numPr>
          <w:numId w:val="0"/>
        </w:numPr>
        <w:jc w:val="both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[CLS] 我 喜欢 猫 [SEP] → [0, 2, 3, 4, 1]</w:t>
      </w:r>
    </w:p>
    <w:p w14:paraId="2EA4B4F9"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开头加 [CLS]，结尾加 [SEP]</w:t>
      </w:r>
    </w:p>
    <w:p w14:paraId="28B1BBCB">
      <w:pP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br w:type="page"/>
      </w:r>
    </w:p>
    <w:p w14:paraId="6B42A9B3"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</w:pPr>
    </w:p>
    <w:p w14:paraId="7BA41CD4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Qwen2.5真实的词汇表</w:t>
      </w:r>
    </w:p>
    <w:p w14:paraId="40CB5EE2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3304540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2A34">
      <w:pPr>
        <w:widowControl w:val="0"/>
        <w:numPr>
          <w:numId w:val="0"/>
        </w:numPr>
        <w:ind w:leftChars="0"/>
        <w:jc w:val="both"/>
      </w:pPr>
    </w:p>
    <w:p w14:paraId="6045F4A2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还会有一些特殊的token用来表示空格、填充空的地方等等。</w:t>
      </w:r>
    </w:p>
    <w:p w14:paraId="39962903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468445E2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特别注意字符0-9对应的token-id为 15-24</w:t>
      </w:r>
    </w:p>
    <w:p w14:paraId="2A3959B0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0C8D506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</w:t>
      </w:r>
    </w:p>
    <w:p w14:paraId="54999647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00558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427736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494790"/>
            <wp:effectExtent l="0" t="0" r="190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 w14:paraId="1F5849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9103572"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我们的工作：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基座大模型是经过大量的数据预训练而来的，词汇表当中也包含了字符0-9，这意味预训练的过程中必然也包含了大量的数字数据，因此我们通过ban掉一些无用的token，只改造0-9对应的token之间的映射规律，实现一种低成本的专用时序预测大模型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2134235"/>
            <wp:effectExtent l="0" t="0" r="381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760B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270CEC54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Step1输入编码</w:t>
      </w:r>
    </w:p>
    <w:p w14:paraId="7E911A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before_decimal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决定保留小数点前几位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after_decimal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决定保留小数点后几位</w:t>
      </w:r>
    </w:p>
    <w:p w14:paraId="7C9A7A1B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453390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C1A1A">
      <w:pPr>
        <w:widowControl w:val="0"/>
        <w:numPr>
          <w:numId w:val="0"/>
        </w:numPr>
        <w:jc w:val="both"/>
      </w:pPr>
    </w:p>
    <w:p w14:paraId="71453941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Step2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损失函数设计（矩阵MAE）</w:t>
      </w:r>
    </w:p>
    <w:p w14:paraId="67BD6631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1D6DFD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compute_loss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return_outputs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919E5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5FC6B7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1. 获取配置参数</w:t>
      </w:r>
    </w:p>
    <w:p w14:paraId="3A63D9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before_decimal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data_processor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.before_decimal</w:t>
      </w:r>
    </w:p>
    <w:p w14:paraId="716720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after_decimal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data_processor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.after_decimal</w:t>
      </w:r>
    </w:p>
    <w:p w14:paraId="4B5BD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mae_config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'weight_base'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5E6927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invalid_penalty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mae_config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'invalid_penalty'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3F87EA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keep_all_weights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mae_config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'keep_all_weights'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5B3C7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mae_config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'digit_token_start'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0B74DD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固定10个数字token</w:t>
      </w:r>
    </w:p>
    <w:p w14:paraId="543326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6BB47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1. 获取模型输出和标签</w:t>
      </w:r>
    </w:p>
    <w:p w14:paraId="423C85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865A6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.logits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hasattr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'logits'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2C8035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"labels"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0D8BB4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shifts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C3EC3C1">
      <w:pPr>
        <w:keepNext w:val="0"/>
        <w:keepLines w:val="0"/>
        <w:widowControl/>
        <w:suppressLineNumbers w:val="0"/>
        <w:jc w:val="left"/>
      </w:pPr>
    </w:p>
    <w:p w14:paraId="0828B8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51819D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zero_tokenid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data_processor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.token_mapping_info[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'digit_tokens'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7CDC3E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vocab_size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data_processor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.token_mapping_info[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'vocab_size'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4951D0F1">
      <w:pPr>
        <w:keepNext w:val="0"/>
        <w:keepLines w:val="0"/>
        <w:widowControl/>
        <w:suppressLineNumbers w:val="0"/>
        <w:jc w:val="left"/>
      </w:pPr>
    </w:p>
    <w:p w14:paraId="56C8D9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3. 计算期望token值（使用配置的token范围）</w:t>
      </w:r>
    </w:p>
    <w:p w14:paraId="4E8353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probs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softmax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[...,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38AC0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token_values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.device).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1C6942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expected_tokens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probs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token_values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zero_tokenid</w:t>
      </w:r>
    </w:p>
    <w:p w14:paraId="32FEF3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true_values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zero_tokenid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shape: (batch_size, seq_len)</w:t>
      </w:r>
    </w:p>
    <w:p w14:paraId="3B453D82">
      <w:pPr>
        <w:keepNext w:val="0"/>
        <w:keepLines w:val="0"/>
        <w:widowControl/>
        <w:suppressLineNumbers w:val="0"/>
        <w:jc w:val="left"/>
      </w:pPr>
    </w:p>
    <w:p w14:paraId="625DCC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4. 计算权重模板（单个时间步）</w:t>
      </w:r>
    </w:p>
    <w:p w14:paraId="1822A0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total_digits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before_decimal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after_decimal</w:t>
      </w:r>
    </w:p>
    <w:p w14:paraId="1E8F65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single_step_weights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zeros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total_digits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.device)</w:t>
      </w:r>
    </w:p>
    <w:p w14:paraId="211E4E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1EAFB2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小数点前权重</w:t>
      </w:r>
    </w:p>
    <w:p w14:paraId="283FEE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before_decimal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46E394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single_step_weights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before_decimal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7018F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4A7F93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小数点后权重</w:t>
      </w:r>
    </w:p>
    <w:p w14:paraId="00927F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after_decimal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48C072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single_step_weights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before_decimal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38AB037">
      <w:pPr>
        <w:keepNext w:val="0"/>
        <w:keepLines w:val="0"/>
        <w:widowControl/>
        <w:suppressLineNumbers w:val="0"/>
        <w:jc w:val="left"/>
      </w:pPr>
    </w:p>
    <w:p w14:paraId="310398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5. 处理重复权重并移位(对其label)</w:t>
      </w:r>
    </w:p>
    <w:p w14:paraId="44F953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input_window_size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total_digits</w:t>
      </w:r>
    </w:p>
    <w:p w14:paraId="610919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single_step_weights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input_window_size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       </w:t>
      </w:r>
    </w:p>
    <w:p w14:paraId="42B43A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keep_all_weights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620502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只保留最后一次重复的权重，前面的都置0（不考虑自回归）</w:t>
      </w:r>
    </w:p>
    <w:p w14:paraId="021A95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total_digits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将前面(input_window_size-1)次重复的权重置0</w:t>
      </w:r>
    </w:p>
    <w:p w14:paraId="40BEF9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shifts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左移一位</w:t>
      </w:r>
    </w:p>
    <w:p w14:paraId="63DBA4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最后一位置0</w:t>
      </w:r>
    </w:p>
    <w:p w14:paraId="0882DA48">
      <w:pPr>
        <w:keepNext w:val="0"/>
        <w:keepLines w:val="0"/>
        <w:widowControl/>
        <w:suppressLineNumbers w:val="0"/>
        <w:jc w:val="left"/>
      </w:pPr>
    </w:p>
    <w:p w14:paraId="1C096E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6. 无效token惩罚</w:t>
      </w:r>
    </w:p>
    <w:p w14:paraId="334C96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abnormal_mask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expected_tokens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expected_tokens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9.49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68D3F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expanded_weights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unsqueeze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expand_as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abnormal_mask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2D0DC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adjusted_weights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3765B6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abnormal_mask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</w:p>
    <w:p w14:paraId="043DC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expanded_weights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invalid_penalty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</w:p>
    <w:p w14:paraId="1703C9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expanded_weights</w:t>
      </w:r>
    </w:p>
    <w:p w14:paraId="1AC44E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</w:t>
      </w:r>
    </w:p>
    <w:p w14:paraId="107F1D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adjusted_weights</w:t>
      </w:r>
    </w:p>
    <w:p w14:paraId="6F745859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153297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回归损失</w:t>
      </w:r>
    </w:p>
    <w:p w14:paraId="388820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expected_tokens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true_values</w:t>
      </w:r>
    </w:p>
    <w:p w14:paraId="154841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weighted_diff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weights</w:t>
      </w:r>
    </w:p>
    <w:p w14:paraId="3548C6F4">
      <w:pPr>
        <w:keepNext w:val="0"/>
        <w:keepLines w:val="0"/>
        <w:widowControl/>
        <w:suppressLineNumbers w:val="0"/>
        <w:jc w:val="left"/>
      </w:pPr>
    </w:p>
    <w:p w14:paraId="521756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#mae计算 Sum（前七位）+sum（后八位）+sum（后八位）+...+最后一位不计算</w:t>
      </w:r>
    </w:p>
    <w:p w14:paraId="670CE6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first_part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weighted_diff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[..., 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total_digits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#**2</w:t>
      </w:r>
    </w:p>
    <w:p w14:paraId="7015D1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remaining_diff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weighted_diff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[...,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total_digits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09D7AA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remaining_len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remaining_diff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55EA8E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second_part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</w:p>
    <w:p w14:paraId="31EEBB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remaining_len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F7423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chunk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remaining_diff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[...,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49C1F2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chunk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.shape[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确保有数据</w:t>
      </w:r>
    </w:p>
    <w:p w14:paraId="0BC3F4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second_part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chunk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#**2</w:t>
      </w:r>
    </w:p>
    <w:p w14:paraId="2E951C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mae_loss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first_part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second_part</w:t>
      </w:r>
    </w:p>
    <w:p w14:paraId="0ADEB1BC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755D20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mae_loss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weight_base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before_decimal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#让梯度回到mae的正常范围</w:t>
      </w:r>
    </w:p>
    <w:p w14:paraId="3D8F6D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cross_loss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compute_crossloss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82297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mae_loss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#mae_loss*0+cross_loss*0+R1*1</w:t>
      </w:r>
    </w:p>
    <w:p w14:paraId="4ADD27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34015F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1A6079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调试输出</w:t>
      </w:r>
    </w:p>
    <w:p w14:paraId="1049E9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true_values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.device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torch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device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'cuda:0'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4D0CB6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print(outputs)</w:t>
      </w:r>
    </w:p>
    <w:p w14:paraId="48116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print(torch.sum(weighted_diff),weighted_diff)</w:t>
      </w:r>
    </w:p>
    <w:p w14:paraId="40AC10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print(f"expected_tokens: {expected_tokens}")</w:t>
      </w:r>
    </w:p>
    <w:p w14:paraId="252CD126">
      <w:pPr>
        <w:keepNext w:val="0"/>
        <w:keepLines w:val="0"/>
        <w:widowControl/>
        <w:suppressLineNumbers w:val="0"/>
        <w:jc w:val="left"/>
      </w:pPr>
    </w:p>
    <w:p w14:paraId="2F59CA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"R1、cross_loss: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.item()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:.8f}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904B7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"mae loss: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mae_loss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:.8f}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9CB5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"Total loss: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:.2f}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1109B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782437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return_outputs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</w:t>
      </w:r>
    </w:p>
    <w:p w14:paraId="105F1E98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harisSI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MR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D196FF"/>
    <w:multiLevelType w:val="singleLevel"/>
    <w:tmpl w:val="F5D196F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75B7C293"/>
    <w:multiLevelType w:val="singleLevel"/>
    <w:tmpl w:val="75B7C293"/>
    <w:lvl w:ilvl="0" w:tentative="0">
      <w:start w:val="3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FF6DFA"/>
    <w:rsid w:val="5A1B7661"/>
    <w:rsid w:val="66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952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2025-05-01T06:33:00Z</dcterms:created>
  <dc:creator>Grred</dc:creator>
  <cp:lastModifiedBy>Grred</cp:lastModifiedBy>
  <dcterms:modified xsi:type="dcterms:W3CDTF">2025-05-02T06:40:57Z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500415DA0AC34D8696BE6577CECF5CFE_11</vt:lpwstr>
  </property>
  <property fmtid="{D5CDD505-2E9C-101B-9397-08002B2CF9AE}" pid="4" name="KSOTemplateDocerSaveRecord">
    <vt:lpwstr>eyJoZGlkIjoiOGRlZWI3ZjU5ZjdlZjg3ZjJhNDMyYzM4NjM1Njc2NWMiLCJ1c2VySWQiOiI2MDg2MjY5NDEifQ==</vt:lpwstr>
  </property>
</Properties>
</file>