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t xml:space="preserve">M92 Hardening Report</w:t>
      </w:r>
    </w:p>
    <w:p>
      <w:pPr>
        <w:pStyle w:val="Subtitle"/>
      </w:pPr>
      <w:r>
        <w:t xml:space="preserve">Live-tree adversarial review, agreed design, implementation, and validation</w:t>
      </w:r>
    </w:p>
    <w:p>
      <w:r>
        <w:t xml:space="preserve">Repository: /home/michael/EMF_Project</w:t>
      </w:r>
    </w:p>
    <w:p>
      <w:pPr>
        <w:pStyle w:val="Code"/>
      </w:pPr>
      <w:r>
        <w:t xml:space="preserve">Authoritative M91 checkpoint: d6a726a4da8d97e261a25622b6478c362e8b6a2a</w:t>
      </w:r>
    </w:p>
    <w:p>
      <w:r>
        <w:t xml:space="preserve">Review and implementation record: September 29, 2026</w:t>
      </w:r>
    </w:p>
    <w:p>
      <w:r>
        <w:t xml:space="preserve">This report consolidates the completed chat review, the agreed additive design, and the subsequent implementation. It is a historical record of those results, not a new independent adversarial review. Original findings and post-hardening outcomes are distinguished below.</w:t>
      </w:r>
    </w:p>
    <w:p>
      <w:pPr>
        <w:pStyle w:val="Important"/>
      </w:pPr>
      <w:r>
        <w:t xml:space="preserve">Final implementation assessment: ready for the full regression gate, under the agreed immutable-deployment contract. The full 2,900+ test regression has not been run. No commit was made.</w:t>
      </w:r>
    </w:p>
    <w:p>
      <w:pPr>
        <w:pStyle w:val="Heading1"/>
      </w:pPr>
      <w:r>
        <w:t xml:space="preserve">1. Scope and compatibility requirements</w:t>
      </w:r>
    </w:p>
    <w:p>
      <w:r>
        <w:t xml:space="preserve">The review examined the live working tree against checkpoint d6a726a4, including relevant untracked M92 source and test files. The workspace path and HEAD matched the supplied preflight; all required hardening files and mechanisms were present. Earlier review documents were not used as authoritative evidence.</w:t>
      </w:r>
    </w:p>
    <w:p>
      <w:r>
        <w:t xml:space="preserve">The review and design phases were read-only. The user subsequently authorized source/test implementation and, separately, this DOCX and ZIP export.</w:t>
      </w:r>
    </w:p>
    <w:p>
      <w:r>
        <w:t xml:space="preserve">• M91 Version 1 ProvenanceId computation and RendererBuild semantics must remain unchanged.</w:t>
      </w:r>
    </w:p>
    <w:p>
      <w:r>
        <w:t xml:space="preserve">• Historical M91 rows and verified-reuse eligibility/attribution must remain unchanged.</w:t>
      </w:r>
    </w:p>
    <w:p>
      <w:r>
        <w:t xml:space="preserve">• M92/M93 persistence stays additive: unchanged schema, manifest archive shape, SQLite hardening, and per-output transaction boundary.</w:t>
      </w:r>
    </w:p>
    <w:p>
      <w:r>
        <w:t xml:space="preserve">• The deployment boundary remains recursive first-party EMF.* managed assemblies (including EMF when applicable), not third-party libraries, .NET, LibreOffice, native code, fonts, or rendering configuration.</w:t>
      </w:r>
    </w:p>
    <w:p>
      <w:r>
        <w:t xml:space="preserve">• No full regression or commit was authorized. EMF_AZURE_OPENAI_LIVE remained unset.</w:t>
      </w:r>
    </w:p>
    <w:p>
      <w:pPr>
        <w:pStyle w:val="Heading1"/>
      </w:pPr>
      <w:r>
        <w:t xml:space="preserve">2. Original live-tree adversarial review</w:t>
      </w:r>
    </w:p>
    <w:p>
      <w:r>
        <w:t xml:space="preserve">No critical defects were confirmed. The review independently reproduced the then-current feature result of 80 passed, 1 skipped, and 0 failed, plus 22 architecture tests passed. Disposable probes used freshly copied live sources under /tmp; reviewed source files remained unchanged during that phase.</w:t>
      </w:r>
    </w:p>
    <w:p>
      <w:pPr>
        <w:pStyle w:val="Heading2"/>
      </w:pPr>
      <w:r>
        <w:t xml:space="preserve">H1: closure-verification scope</w:t>
      </w:r>
    </w:p>
    <w:p>
      <w:r>
        <w:t xml:space="preserve">The old VerifyRuntime API verified only caller-selected assemblies and issued the same EmfVerifiedRuntimeIdentity type as closure verification. A renderer-only manifest failed VerifyFirstPartyClosureRuntime but received a token through VerifyRuntime. Passing that token to the production output service successfully generated DOCX and persisted an M91 output row, M92 build link, and one-artifact archive. Renderer presence and MVID checks passed while first-party dependencies were omitted. The ordinary console entry point used closure verification; the reproduced bypass was through the public generation API.</w:t>
      </w:r>
    </w:p>
    <w:p>
      <w:pPr>
        <w:pStyle w:val="Heading2"/>
      </w:pPr>
      <w:r>
        <w:t xml:space="preserve">H2: loaded assembly versus replaceable file</w:t>
      </w:r>
    </w:p>
    <w:p>
      <w:r>
        <w:t xml:space="preserve">Capture compared selected loaded metadata and MVID with Assembly.Location file metadata, then hashed that file. In a disposable reproduction, a loaded assembly file was replaced with modified bytes retaining those fields and MVID. Verification accepted the replacement hash while the loaded assembly continued producing original content. This required file control and was not a manifest-only attack. It showed that metadata equality is not loaded-PE-byte equality.</w:t>
      </w:r>
    </w:p>
    <w:p>
      <w:pPr>
        <w:pStyle w:val="Heading2"/>
      </w:pPr>
      <w:r>
        <w:t xml:space="preserve">Other reproduced findings</w:t>
      </w:r>
    </w:p>
    <w:tbl>
      <w:tblPr>
        <w:tblW w:w="9360" w:type="dxa"/>
        <w:tblBorders>
          <w:top w:val="single" w:sz="4" w:color="D8DEE8"/>
          <w:left w:val="single" w:sz="4" w:color="D8DEE8"/>
          <w:bottom w:val="single" w:sz="4" w:color="D8DEE8"/>
          <w:right w:val="single" w:sz="4" w:color="D8DEE8"/>
          <w:insideH w:val="single" w:sz="4" w:color="D8DEE8"/>
          <w:insideV w:val="single" w:sz="4" w:color="D8DEE8"/>
        </w:tblBorders>
      </w:tblPr>
      <w:tblGrid>
        <w:gridCol w:w="2300"/>
        <w:gridCol w:w="7060"/>
      </w:tblGrid>
      <w:tr>
        <w:trPr>
          <w:cantSplit/>
          <w:tblHeader/>
        </w:trPr>
        <w:tc>
          <w:tcPr>
            <w:tcW w:w="2300" w:type="dxa"/>
            <w:shd w:fill="E8EEF7"/>
          </w:tcPr>
          <w:p>
            <w:pPr>
              <w:pStyle w:val="TableHeader"/>
            </w:pPr>
            <w:r>
              <w:t xml:space="preserve">Finding</w:t>
            </w:r>
          </w:p>
        </w:tc>
        <w:tc>
          <w:tcPr>
            <w:tcW w:w="7060" w:type="dxa"/>
            <w:shd w:fill="E8EEF7"/>
          </w:tcPr>
          <w:p>
            <w:pPr>
              <w:pStyle w:val="TableHeader"/>
            </w:pPr>
            <w:r>
              <w:t xml:space="preserve">Original evidence</w:t>
            </w:r>
          </w:p>
        </w:tc>
      </w:tr>
      <w:tr>
        <w:trPr>
          <w:cantSplit/>
        </w:trPr>
        <w:tc>
          <w:tcPr>
            <w:tcW w:w="2300" w:type="dxa"/>
          </w:tcPr>
          <w:p>
            <w:pPr>
              <w:pStyle w:val="TableText"/>
            </w:pPr>
            <w:r>
              <w:t xml:space="preserve">CLI null artifacts</w:t>
            </w:r>
          </w:p>
        </w:tc>
        <w:tc>
          <w:tcPr>
            <w:tcW w:w="7060" w:type="dxa"/>
          </w:tcPr>
          <w:p>
            <w:pPr>
              <w:pStyle w:val="TableText"/>
            </w:pPr>
            <w:r>
              <w:t xml:space="preserve">build verify with {"Artifacts":[null,null]} threw NullReferenceException because sorting dereferenced entries before validation.</w:t>
            </w:r>
          </w:p>
        </w:tc>
      </w:tr>
      <w:tr>
        <w:trPr>
          <w:cantSplit/>
        </w:trPr>
        <w:tc>
          <w:tcPr>
            <w:tcW w:w="2300" w:type="dxa"/>
          </w:tcPr>
          <w:p>
            <w:pPr>
              <w:pStyle w:val="TableText"/>
            </w:pPr>
            <w:r>
              <w:t xml:space="preserve">Constructor compatibility</w:t>
            </w:r>
          </w:p>
        </w:tc>
        <w:tc>
          <w:tcPr>
            <w:tcW w:w="7060" w:type="dxa"/>
          </w:tcPr>
          <w:p>
            <w:pPr>
              <w:pStyle w:val="TableText"/>
            </w:pPr>
            <w:r>
              <w:t xml:space="preserve">The four-argument constructor remained present. The actual M91 checkpoint had a three-argument constructor, and that exact signature was absent from the reviewed M92 tree.</w:t>
            </w:r>
          </w:p>
        </w:tc>
      </w:tr>
      <w:tr>
        <w:trPr>
          <w:cantSplit/>
        </w:trPr>
        <w:tc>
          <w:tcPr>
            <w:tcW w:w="2300" w:type="dxa"/>
          </w:tcPr>
          <w:p>
            <w:pPr>
              <w:pStyle w:val="TableText"/>
            </w:pPr>
            <w:r>
              <w:t xml:space="preserve">Assembly ambiguity</w:t>
            </w:r>
          </w:p>
        </w:tc>
        <w:tc>
          <w:tcPr>
            <w:tcW w:w="7060" w:type="dxa"/>
          </w:tcPr>
          <w:p>
            <w:pPr>
              <w:pStyle w:val="TableText"/>
            </w:pPr>
            <w:r>
              <w:t xml:space="preserve">Distinct assemblies with matching FullName but different MVIDs were accepted as roots; reversing root order changed BuildId. Process-wide first-match resolution could select an unrelated load context.</w:t>
            </w:r>
          </w:p>
        </w:tc>
      </w:tr>
      <w:tr>
        <w:trPr>
          <w:cantSplit/>
        </w:trPr>
        <w:tc>
          <w:tcPr>
            <w:tcW w:w="2300" w:type="dxa"/>
          </w:tcPr>
          <w:p>
            <w:pPr>
              <w:pStyle w:val="TableText"/>
            </w:pPr>
            <w:r>
              <w:t xml:space="preserve">Invalid UTF-16</w:t>
            </w:r>
          </w:p>
        </w:tc>
        <w:tc>
          <w:tcPr>
            <w:tcW w:w="7060" w:type="dxa"/>
          </w:tcPr>
          <w:p>
            <w:pPr>
              <w:pStyle w:val="TableText"/>
            </w:pPr>
            <w:r>
              <w:t xml:space="preserve">Different lone-surrogate artifact names produced identical canonical UTF-8 replacement bytes and BuildIds through the in-memory API. No production bypass was demonstrated for this lower-risk issue.</w:t>
            </w:r>
          </w:p>
        </w:tc>
      </w:tr>
    </w:tbl>
    <w:p>
      <w:r>
        <w:t xml:space="preserve"/>
      </w:r>
    </w:p>
    <w:p>
      <w:pPr>
        <w:pStyle w:val="Heading2"/>
      </w:pPr>
      <w:r>
        <w:t xml:space="preserve">Former blocker reproduction matrix — before this increment</w:t>
      </w:r>
    </w:p>
    <w:tbl>
      <w:tblPr>
        <w:tblW w:w="9360" w:type="dxa"/>
        <w:tblBorders>
          <w:top w:val="single" w:sz="4" w:color="D8DEE8"/>
          <w:left w:val="single" w:sz="4" w:color="D8DEE8"/>
          <w:bottom w:val="single" w:sz="4" w:color="D8DEE8"/>
          <w:right w:val="single" w:sz="4" w:color="D8DEE8"/>
          <w:insideH w:val="single" w:sz="4" w:color="D8DEE8"/>
          <w:insideV w:val="single" w:sz="4" w:color="D8DEE8"/>
        </w:tblBorders>
      </w:tblPr>
      <w:tblGrid>
        <w:gridCol w:w="2800"/>
        <w:gridCol w:w="2300"/>
        <w:gridCol w:w="4260"/>
      </w:tblGrid>
      <w:tr>
        <w:trPr>
          <w:cantSplit/>
          <w:tblHeader/>
        </w:trPr>
        <w:tc>
          <w:tcPr>
            <w:tcW w:w="2800" w:type="dxa"/>
            <w:shd w:fill="E8EEF7"/>
          </w:tcPr>
          <w:p>
            <w:pPr>
              <w:pStyle w:val="TableHeader"/>
            </w:pPr>
            <w:r>
              <w:t xml:space="preserve">Former blocker</w:t>
            </w:r>
          </w:p>
        </w:tc>
        <w:tc>
          <w:tcPr>
            <w:tcW w:w="2300" w:type="dxa"/>
            <w:shd w:fill="E8EEF7"/>
          </w:tcPr>
          <w:p>
            <w:pPr>
              <w:pStyle w:val="TableHeader"/>
            </w:pPr>
            <w:r>
              <w:t xml:space="preserve">Result</w:t>
            </w:r>
          </w:p>
        </w:tc>
        <w:tc>
          <w:tcPr>
            <w:tcW w:w="4260" w:type="dxa"/>
            <w:shd w:fill="E8EEF7"/>
          </w:tcPr>
          <w:p>
            <w:pPr>
              <w:pStyle w:val="TableHeader"/>
            </w:pPr>
            <w:r>
              <w:t xml:space="preserve">Evidence</w:t>
            </w:r>
          </w:p>
        </w:tc>
      </w:tr>
      <w:tr>
        <w:trPr>
          <w:cantSplit/>
        </w:trPr>
        <w:tc>
          <w:tcPr>
            <w:tcW w:w="2800" w:type="dxa"/>
          </w:tcPr>
          <w:p>
            <w:pPr>
              <w:pStyle w:val="TableText"/>
            </w:pPr>
            <w:r>
              <w:t xml:space="preserve">Unverified/unrelated attribution</w:t>
            </w:r>
          </w:p>
        </w:tc>
        <w:tc>
          <w:tcPr>
            <w:tcW w:w="2300" w:type="dxa"/>
          </w:tcPr>
          <w:p>
            <w:pPr>
              <w:pStyle w:val="TableText"/>
            </w:pPr>
            <w:r>
              <w:t xml:space="preserve">STILL REPRODUCIBLE: closure variant</w:t>
            </w:r>
          </w:p>
        </w:tc>
        <w:tc>
          <w:tcPr>
            <w:tcW w:w="4260" w:type="dxa"/>
          </w:tcPr>
          <w:p>
            <w:pPr>
              <w:pStyle w:val="TableText"/>
            </w:pPr>
            <w:r>
              <w:t xml:space="preserve">Bare manifests were rejected and renderer MVID was checked, but the renderer-only token still authorized generation.</w:t>
            </w:r>
          </w:p>
        </w:tc>
      </w:tr>
      <w:tr>
        <w:trPr>
          <w:cantSplit/>
        </w:trPr>
        <w:tc>
          <w:tcPr>
            <w:tcW w:w="2800" w:type="dxa"/>
          </w:tcPr>
          <w:p>
            <w:pPr>
              <w:pStyle w:val="TableText"/>
            </w:pPr>
            <w:r>
              <w:t xml:space="preserve">M92 composite INSERT OR REPLACE</w:t>
            </w:r>
          </w:p>
        </w:tc>
        <w:tc>
          <w:tcPr>
            <w:tcW w:w="2300" w:type="dxa"/>
          </w:tcPr>
          <w:p>
            <w:pPr>
              <w:pStyle w:val="TableText"/>
            </w:pPr>
            <w:r>
              <w:t xml:space="preserve">CONFIRMED CLOSED</w:t>
            </w:r>
          </w:p>
        </w:tc>
        <w:tc>
          <w:tcPr>
            <w:tcW w:w="4260" w:type="dxa"/>
          </w:tcPr>
          <w:p>
            <w:pPr>
              <w:pStyle w:val="TableText"/>
            </w:pPr>
            <w:r>
              <w:t xml:space="preserve">With recursive_triggers=OFF, a different LinkId for the same provenance/build/revision tuple was rejected; the original row remained.</w:t>
            </w:r>
          </w:p>
        </w:tc>
      </w:tr>
      <w:tr>
        <w:trPr>
          <w:cantSplit/>
        </w:trPr>
        <w:tc>
          <w:tcPr>
            <w:tcW w:w="2800" w:type="dxa"/>
          </w:tcPr>
          <w:p>
            <w:pPr>
              <w:pStyle w:val="TableText"/>
            </w:pPr>
            <w:r>
              <w:t xml:space="preserve">M92 orphan with foreign_keys=OFF</w:t>
            </w:r>
          </w:p>
        </w:tc>
        <w:tc>
          <w:tcPr>
            <w:tcW w:w="2300" w:type="dxa"/>
          </w:tcPr>
          <w:p>
            <w:pPr>
              <w:pStyle w:val="TableText"/>
            </w:pPr>
            <w:r>
              <w:t xml:space="preserve">CONFIRMED CLOSED</w:t>
            </w:r>
          </w:p>
        </w:tc>
        <w:tc>
          <w:tcPr>
            <w:tcW w:w="4260" w:type="dxa"/>
          </w:tcPr>
          <w:p>
            <w:pPr>
              <w:pStyle w:val="TableText"/>
            </w:pPr>
            <w:r>
              <w:t xml:space="preserve">The independent parent-existence trigger rejected the orphan insert.</w:t>
            </w:r>
          </w:p>
        </w:tc>
      </w:tr>
      <w:tr>
        <w:trPr>
          <w:cantSplit/>
        </w:trPr>
        <w:tc>
          <w:tcPr>
            <w:tcW w:w="2800" w:type="dxa"/>
          </w:tcPr>
          <w:p>
            <w:pPr>
              <w:pStyle w:val="TableText"/>
            </w:pPr>
            <w:r>
              <w:t xml:space="preserve">M92 explicit rowid replacement</w:t>
            </w:r>
          </w:p>
        </w:tc>
        <w:tc>
          <w:tcPr>
            <w:tcW w:w="2300" w:type="dxa"/>
          </w:tcPr>
          <w:p>
            <w:pPr>
              <w:pStyle w:val="TableText"/>
            </w:pPr>
            <w:r>
              <w:t xml:space="preserve">CONFIRMED CLOSED</w:t>
            </w:r>
          </w:p>
        </w:tc>
        <w:tc>
          <w:tcPr>
            <w:tcW w:w="4260" w:type="dxa"/>
          </w:tcPr>
          <w:p>
            <w:pPr>
              <w:pStyle w:val="TableText"/>
            </w:pPr>
            <w:r>
              <w:t xml:space="preserve">WITHOUT ROWID caused SQLite to reject the rowid column; original row remained.</w:t>
            </w:r>
          </w:p>
        </w:tc>
      </w:tr>
      <w:tr>
        <w:trPr>
          <w:cantSplit/>
        </w:trPr>
        <w:tc>
          <w:tcPr>
            <w:tcW w:w="2800" w:type="dxa"/>
          </w:tcPr>
          <w:p>
            <w:pPr>
              <w:pStyle w:val="TableText"/>
            </w:pPr>
            <w:r>
              <w:t xml:space="preserve">M93 explicit rowid replacement</w:t>
            </w:r>
          </w:p>
        </w:tc>
        <w:tc>
          <w:tcPr>
            <w:tcW w:w="2300" w:type="dxa"/>
          </w:tcPr>
          <w:p>
            <w:pPr>
              <w:pStyle w:val="TableText"/>
            </w:pPr>
            <w:r>
              <w:t xml:space="preserve">CONFIRMED CLOSED</w:t>
            </w:r>
          </w:p>
        </w:tc>
        <w:tc>
          <w:tcPr>
            <w:tcW w:w="4260" w:type="dxa"/>
          </w:tcPr>
          <w:p>
            <w:pPr>
              <w:pStyle w:val="TableText"/>
            </w:pPr>
            <w:r>
              <w:t xml:space="preserve">The manifest archive also rejected rowid replacement and preserved the original archive.</w:t>
            </w:r>
          </w:p>
        </w:tc>
      </w:tr>
    </w:tbl>
    <w:p>
      <w:r>
        <w:t xml:space="preserve"/>
      </w:r>
    </w:p>
    <w:p>
      <w:r>
        <w:t xml:space="preserve">The SQL attacks executed migration text extracted directly from the live source. Their protection was not redesigned during implementation.</w:t>
      </w:r>
    </w:p>
    <w:p>
      <w:pPr>
        <w:pStyle w:val="Heading2"/>
      </w:pPr>
      <w:r>
        <w:t xml:space="preserve">Additional review conclusions</w:t>
      </w:r>
    </w:p>
    <w:p>
      <w:r>
        <w:t xml:space="preserve">• Public link-only/output-link compatibility APIs can omit an archive, but production generation uses the manifest-inclusive atomic method. No separate production bypass through those compatibility methods was reproduced.</w:t>
      </w:r>
    </w:p>
    <w:p>
      <w:r>
        <w:t xml:space="preserve">• The old CRLF/delimiter finding did not reproduce: canonical encoding uses explicit LF, UTF-8 byte-length prefixes, ordinal ordering, and invariant numbers. Golden-vector and delimiter tests passed; additional culture checks passed. Windows execution was not performed.</w:t>
      </w:r>
    </w:p>
    <w:p>
      <w:r>
        <w:t xml:space="preserve">• Canonically equivalent Unicode strings having different BuildIds is exact-string identity semantics, not itself an integrity defect. Lone-surrogate replacement was a separate input-domain defect.</w:t>
      </w:r>
    </w:p>
    <w:p>
      <w:r>
        <w:t xml:space="preserve">• SourceRevisionId is a compiled identity label, not proof of a clean repository or authentic source. Dirty working-tree artifacts can retain the checkpoint revision label.</w:t>
      </w:r>
    </w:p>
    <w:p>
      <w:r>
        <w:t xml:space="preserve">• Per-output output/link/archive persistence was atomic. Exact concurrent retries preserved original timestamps. Injected link failure rolled back the newly inserted archive as well as output/link records.</w:t>
      </w:r>
    </w:p>
    <w:p>
      <w:r>
        <w:t xml:space="preserve">• Cancellation between DOCX and PDF persistence could leave one complete DOCX triple and no PDF row. Atomicity is per output, not across an entire Both request or filesystem publication; no partial-triple failure was reproduced.</w:t>
      </w:r>
    </w:p>
    <w:p>
      <w:r>
        <w:t xml:space="preserve">• Generated and verified-reused DOCX/PDF behavior passed the relevant tests. Reused bytes did not receive later-build attribution, and PDF-only generation did not record intermediate DOCX provenance.</w:t>
      </w:r>
    </w:p>
    <w:p>
      <w:r>
        <w:t xml:space="preserve">• A populated migration-91 database upgraded through 92/93 without changing historical output provenance, identities, or its sealed snapshot.</w:t>
      </w:r>
    </w:p>
    <w:p>
      <w:pPr>
        <w:pStyle w:val="Heading1"/>
      </w:pPr>
      <w:r>
        <w:t xml:space="preserve">3. Agreed additive architecture</w:t>
      </w:r>
    </w:p>
    <w:p>
      <w:r>
        <w:t xml:space="preserve">The chosen design uses a distinct closure-verified deployment type rather than a verification-scope flag on the weaker runtime token. A trusted host supplies an expectation established by deployment tooling. Reviewer generation attempts M91 verified reuse first and invokes deployment verification only if new M92 output is required.</w:t>
      </w:r>
    </w:p>
    <w:p>
      <w:pPr>
        <w:pStyle w:val="Code"/>
      </w:pPr>
      <w:r>
        <w:t xml:space="preserve">Trusted build/deployment → final artifacts → expected manifest → immutable deployment → reviewer process → M91 reuse check → verify expected closure when needed → generate → existing atomic persistence.</w:t>
      </w:r>
    </w:p>
    <w:p>
      <w:pPr>
        <w:pStyle w:val="Heading2"/>
      </w:pPr>
      <w:r>
        <w:t xml:space="preserve">Trust and H2 acceptance boundary</w:t>
      </w:r>
    </w:p>
    <w:p>
      <w:r>
        <w:t xml:space="preserve">The meaningful claim is: observed first-party deployment file snapshots match the independently established expected manifest. Loaded metadata and MVID comparisons detect ordinary inconsistencies and support renderer binding, but do not recover or attest the original PE bytes loaded by the CLR.</w:t>
      </w:r>
    </w:p>
    <w:p>
      <w:r>
        <w:t xml:space="preserve">• Trusted tooling creates the expectation from final artifacts before reviewer-process startup.</w:t>
      </w:r>
    </w:p>
    <w:p>
      <w:r>
        <w:t xml:space="preserve">• The manifest, assembly files, deployment directory, and relevant path targets/indirections remain immutable from before first assembly load through generation.</w:t>
      </w:r>
    </w:p>
    <w:p>
      <w:r>
        <w:t xml:space="preserve">• Upgrades deploy a new directory and restart the process rather than replacing binaries underneath it.</w:t>
      </w:r>
    </w:p>
    <w:p>
      <w:r>
        <w:t xml:space="preserve">• The covered first-party assemblies resolve from the configured deployment; arbitrary code injection and hostile mutation within the process are outside this claim.</w:t>
      </w:r>
    </w:p>
    <w:p>
      <w:r>
        <w:t xml:space="preserve">• File reads are sequential rather than an atomic filesystem snapshot. Rechecking narrows some race windows but does not establish filesystem immutability.</w:t>
      </w:r>
    </w:p>
    <w:p>
      <w:r>
        <w:t xml:space="preserve">A protected sidecar can carry the expected manifest. A writable sidecar beside writable binaries is not a trustworthy expectation. If deployment immutability cannot be provided, this increment must not be described as closing an unconditional loaded-byte-attestation requirement. The type boundary is also not a security boundary against arbitrary reflection or malicious code already executing in the process.</w:t>
      </w:r>
    </w:p>
    <w:p>
      <w:r>
        <w:t xml:space="preserve">Assembly.Location supplies a location, not an original-loaded-image snapshot. It can be empty for bundled or byte-array-loaded assemblies. .NET load contexts also permit separate assembly instances with matching names. These documented behaviors informed the design.</w:t>
      </w:r>
    </w:p>
    <w:p>
      <w:pPr>
        <w:pStyle w:val="Code"/>
      </w:pPr>
      <w:r>
        <w:t xml:space="preserve">References:</w:t>
      </w:r>
      <w:r>
        <w:br/>
        <w:t xml:space="preserve">https://learn.microsoft.com/en-us/dotnet/api/system.reflection.assembly.location?view=net-10.0</w:t>
      </w:r>
      <w:r>
        <w:br/>
        <w:t xml:space="preserve">https://learn.microsoft.com/en-us/dotnet/core/dependency-loading/understanding-assemblyloadcontext</w:t>
      </w:r>
    </w:p>
    <w:p>
      <w:pPr>
        <w:pStyle w:val="Heading1"/>
      </w:pPr>
      <w:r>
        <w:t xml:space="preserve">4. API and implementation changes</w:t>
      </w:r>
    </w:p>
    <w:p>
      <w:pPr>
        <w:pStyle w:val="Heading2"/>
      </w:pPr>
      <w:r>
        <w:t xml:space="preserve">Distinct verified identity and closure verification</w:t>
      </w:r>
    </w:p>
    <w:p>
      <w:r>
        <w:t xml:space="preserve">Added EmfVerifiedFirstPartyDeploymentIdentity with a nonpublic constructor, an immutable defensive copy of the manifest/artifact collection, BuildId and SourceRevisionId, and RequireVerifiedAssembly(Assembly). The verifier retains the exact covered Assembly instances. The weaker EmfVerifiedRuntimeIdentity cannot be converted into or accepted as this type.</w:t>
      </w:r>
    </w:p>
    <w:p>
      <w:pPr>
        <w:pStyle w:val="Code"/>
      </w:pPr>
      <w:r>
        <w:t xml:space="preserve">VerifyFirstPartyDeployment(</w:t>
      </w:r>
      <w:r>
        <w:br/>
        <w:t xml:space="preserve">    EmfBuildManifest expected,</w:t>
      </w:r>
      <w:r>
        <w:br/>
        <w:t xml:space="preserve">    string deploymentDirectory,</w:t>
      </w:r>
      <w:r>
        <w:br/>
        <w:t xml:space="preserve">    params Assembly[] roots)</w:t>
      </w:r>
      <w:r>
        <w:br/>
        <w:t xml:space="preserve">    → EmfVerifiedFirstPartyDeploymentIdentity</w:t>
      </w:r>
    </w:p>
    <w:p>
      <w:r>
        <w:t xml:space="preserve">The API freezes the expectation before validation, resolves the full recursive first-party closure, checks configured deployment locations, compares a freshly captured inventory with the expected BuildId, and issues the distinct identity. Per-file hashes and metadata use the existing single-byte-snapshot capture implementation. Location checks do not themselves establish filesystem immutability.</w:t>
      </w:r>
    </w:p>
    <w:p>
      <w:r>
        <w:t xml:space="preserve">Resolution now uses the referencing assembly’s load context rather than a process-wide FirstOrDefault. Conflicting distinct assembly instances encountered across roots/dependencies are rejected; repeating the identical instance is permitted.</w:t>
      </w:r>
    </w:p>
    <w:p>
      <w:pPr>
        <w:pStyle w:val="Heading2"/>
      </w:pPr>
      <w:r>
        <w:t xml:space="preserve">Generation and renderer binding</w:t>
      </w:r>
    </w:p>
    <w:p>
      <w:r>
        <w:t xml:space="preserve">Added the named CreateForVerifiedDeployment factory accepting Func&lt;EmfVerifiedFirstPartyDeploymentIdentity&gt; plus the existing converter, regulatory provider, and repository dependencies. The callback runs only after reuse early returns, once for a generation operation that needs M92 provenance.</w:t>
      </w:r>
    </w:p>
    <w:p>
      <w:r>
        <w:t xml:space="preserve">The service requires its actual renderer Assembly instance to be covered, then explicitly matches that artifact’s MVID to unchanged M91 RendererBuild. Only the returned identity’s manifest/build/revision are used for attribution and archival. Operation-local identity avoids mutable shared attribution state. Legacy runtime tokens provide no generation authorization.</w:t>
      </w:r>
    </w:p>
    <w:p>
      <w:pPr>
        <w:pStyle w:val="Heading2"/>
      </w:pPr>
      <w:r>
        <w:t xml:space="preserve">Constructor compatibility</w:t>
      </w:r>
    </w:p>
    <w:p>
      <w:r>
        <w:t xml:space="preserve">Restored the exact original three-argument constructor and optional defaults. Four- and five-argument CLR signatures remain additive compatibility overloads with required arguments, avoiding competing optional overloads. The old five-argument runtime-token overload is obsolete and does not authorize new M92 generation. Some uncommitted M92 source call sites using omitted named arguments were updated to the new factory; original M91 callers retain their signature.</w:t>
      </w:r>
    </w:p>
    <w:p>
      <w:pPr>
        <w:pStyle w:val="Heading2"/>
      </w:pPr>
      <w:r>
        <w:t xml:space="preserve">Manifest validation and Unicode</w:t>
      </w:r>
    </w:p>
    <w:p>
      <w:r>
        <w:t xml:space="preserve">Shared validation materializes and validates artifact entries before sorting. Null entries now produce InvalidDataException and controlled CLI failure. Text validation rejects lone surrogates before canonical encoding; strict UTF-8 is the defensive encoder. Valid surrogate pairs remain accepted; Unicode normalization is not applied, and existing valid canonical BuildIds retain their encoding semantics.</w:t>
      </w:r>
    </w:p>
    <w:p>
      <w:pPr>
        <w:pStyle w:val="Heading1"/>
      </w:pPr>
      <w:r>
        <w:t xml:space="preserve">5. Production composition and commands</w:t>
      </w:r>
    </w:p>
    <w:p>
      <w:pPr>
        <w:pStyle w:val="Normal"/>
      </w:pPr>
      <w:r>
        <w:t xml:space="preserve">New reviewer generation obtains its expectation from an explicit absolute path:</w:t>
      </w:r>
    </w:p>
    <w:p>
      <w:pPr>
        <w:pStyle w:val="Code"/>
      </w:pPr>
      <w:r>
        <w:t xml:space="preserve">EMF_EXPECTED_BUILD_MANIFEST=/absolute/path/to/expected-manifest.json</w:t>
      </w:r>
    </w:p>
    <w:p>
      <w:r>
        <w:t xml:space="preserve">ReviewerDeploymentVerification captures that configuration and defers loading. Its Lazy manifest is pinned after first use; subsequent verification compares deployment files against the same expectation. The production root is VeteransConsoleCommand’s assembly and the deployment directory is AppContext.BaseDirectory. VeteransConsoleCommand no longer captures its own expected manifest immediately before generation.</w:t>
      </w:r>
    </w:p>
    <w:p>
      <w:r>
        <w:t xml:space="preserve">Missing, relative, malformed, stale, or unrelated expectations fail new generation with the intended reviewer command result. There is no implicit creation, repair, or fallback expectation. Pure verified reuse needs neither configuration nor a manifest file. For mixed Both requests, only newly generated output receives new provenance; reused bytes retain existing attribution.</w:t>
      </w:r>
    </w:p>
    <w:tbl>
      <w:tblPr>
        <w:tblW w:w="9360" w:type="dxa"/>
        <w:tblBorders>
          <w:top w:val="single" w:sz="4" w:color="D8DEE8"/>
          <w:left w:val="single" w:sz="4" w:color="D8DEE8"/>
          <w:bottom w:val="single" w:sz="4" w:color="D8DEE8"/>
          <w:right w:val="single" w:sz="4" w:color="D8DEE8"/>
          <w:insideH w:val="single" w:sz="4" w:color="D8DEE8"/>
          <w:insideV w:val="single" w:sz="4" w:color="D8DEE8"/>
        </w:tblBorders>
      </w:tblPr>
      <w:tblGrid>
        <w:gridCol w:w="2900"/>
        <w:gridCol w:w="6460"/>
      </w:tblGrid>
      <w:tr>
        <w:trPr>
          <w:cantSplit/>
          <w:tblHeader/>
        </w:trPr>
        <w:tc>
          <w:tcPr>
            <w:tcW w:w="2900" w:type="dxa"/>
            <w:shd w:fill="E8EEF7"/>
          </w:tcPr>
          <w:p>
            <w:pPr>
              <w:pStyle w:val="TableHeader"/>
            </w:pPr>
            <w:r>
              <w:t xml:space="preserve">Command</w:t>
            </w:r>
          </w:p>
        </w:tc>
        <w:tc>
          <w:tcPr>
            <w:tcW w:w="6460" w:type="dxa"/>
            <w:shd w:fill="E8EEF7"/>
          </w:tcPr>
          <w:p>
            <w:pPr>
              <w:pStyle w:val="TableHeader"/>
            </w:pPr>
            <w:r>
              <w:t xml:space="preserve">Preserved purpose</w:t>
            </w:r>
          </w:p>
        </w:tc>
      </w:tr>
      <w:tr>
        <w:trPr>
          <w:cantSplit/>
        </w:trPr>
        <w:tc>
          <w:tcPr>
            <w:tcW w:w="2900" w:type="dxa"/>
          </w:tcPr>
          <w:p>
            <w:pPr>
              <w:pStyle w:val="TableText"/>
            </w:pPr>
            <w:r>
              <w:t xml:space="preserve">emf build identity</w:t>
            </w:r>
          </w:p>
        </w:tc>
        <w:tc>
          <w:tcPr>
            <w:tcW w:w="6460" w:type="dxa"/>
          </w:tcPr>
          <w:p>
            <w:pPr>
              <w:pStyle w:val="TableText"/>
            </w:pPr>
            <w:r>
              <w:t xml:space="preserve">Report currently observed first-party deployment file identity; explicitly not loaded-byte attestation.</w:t>
            </w:r>
          </w:p>
        </w:tc>
      </w:tr>
      <w:tr>
        <w:trPr>
          <w:cantSplit/>
        </w:trPr>
        <w:tc>
          <w:tcPr>
            <w:tcW w:w="2900" w:type="dxa"/>
          </w:tcPr>
          <w:p>
            <w:pPr>
              <w:pStyle w:val="TableText"/>
            </w:pPr>
            <w:r>
              <w:t xml:space="preserve">emf build manifest &lt;path&gt;</w:t>
            </w:r>
          </w:p>
        </w:tc>
        <w:tc>
          <w:tcPr>
            <w:tcW w:w="6460" w:type="dxa"/>
          </w:tcPr>
          <w:p>
            <w:pPr>
              <w:pStyle w:val="TableText"/>
            </w:pPr>
            <w:r>
              <w:t xml:space="preserve">Explicitly export observed inventory. Trusted packaging may use it against final artifacts in a separate prelaunch step; the command does not authenticate its output.</w:t>
            </w:r>
          </w:p>
        </w:tc>
      </w:tr>
      <w:tr>
        <w:trPr>
          <w:cantSplit/>
        </w:trPr>
        <w:tc>
          <w:tcPr>
            <w:tcW w:w="2900" w:type="dxa"/>
          </w:tcPr>
          <w:p>
            <w:pPr>
              <w:pStyle w:val="TableText"/>
            </w:pPr>
            <w:r>
              <w:t xml:space="preserve">emf build verify &lt;path&gt;</w:t>
            </w:r>
          </w:p>
        </w:tc>
        <w:tc>
          <w:tcPr>
            <w:tcW w:w="6460" w:type="dxa"/>
          </w:tcPr>
          <w:p>
            <w:pPr>
              <w:pStyle w:val="TableText"/>
            </w:pPr>
            <w:r>
              <w:t xml:space="preserve">Compare current first-party deployment files with the supplied expectation and report controlled success/failure.</w:t>
            </w:r>
          </w:p>
        </w:tc>
      </w:tr>
    </w:tbl>
    <w:p>
      <w:r>
        <w:t xml:space="preserve"/>
      </w:r>
    </w:p>
    <w:p>
      <w:r>
        <w:t xml:space="preserve">No migration changes were made. M91 ProvenanceId, RendererBuild semantics, historical rows, verified-reuse rules, M92/M93 schema/archive shape, and per-output atomic persistence remain preserved.</w:t>
      </w:r>
    </w:p>
    <w:p>
      <w:pPr>
        <w:pStyle w:val="Heading1"/>
      </w:pPr>
      <w:r>
        <w:t xml:space="preserve">6. Regression tests and recorded results</w:t>
      </w:r>
    </w:p>
    <w:p>
      <w:r>
        <w:t xml:space="preserve">New and updated tests cover: weak selected/legacy closure tokens; incomplete, complete, stale, extra, and unrelated expected inventories; missing configuration; same-MVID replacement; frozen caller-owned inventory and archive attribution; shadow renderer instances; context/root-order ambiguity; deferred pure reuse and mixed generation; null artifact CLI inputs; lone surrogates and valid Unicode; no implicit manifest fallback; and the original constructor signature.</w:t>
      </w:r>
    </w:p>
    <w:p>
      <w:r>
        <w:t xml:space="preserve">Binary compatibility is exercised by compiling a caller against a fixed M91 constructor contract and invoking it against the current implementation. Added persistence checks cover concurrent exact retries and a populated M91 database upgrade; the existing link-failure test now also verifies archive rollback.</w:t>
      </w:r>
    </w:p>
    <w:tbl>
      <w:tblPr>
        <w:tblW w:w="9360" w:type="dxa"/>
        <w:tblBorders>
          <w:top w:val="single" w:sz="4" w:color="D8DEE8"/>
          <w:left w:val="single" w:sz="4" w:color="D8DEE8"/>
          <w:bottom w:val="single" w:sz="4" w:color="D8DEE8"/>
          <w:right w:val="single" w:sz="4" w:color="D8DEE8"/>
          <w:insideH w:val="single" w:sz="4" w:color="D8DEE8"/>
          <w:insideV w:val="single" w:sz="4" w:color="D8DEE8"/>
        </w:tblBorders>
      </w:tblPr>
      <w:tblGrid>
        <w:gridCol w:w="4200"/>
        <w:gridCol w:w="1290"/>
        <w:gridCol w:w="1290"/>
        <w:gridCol w:w="1290"/>
        <w:gridCol w:w="1290"/>
      </w:tblGrid>
      <w:tr>
        <w:trPr>
          <w:cantSplit/>
          <w:tblHeader/>
        </w:trPr>
        <w:tc>
          <w:tcPr>
            <w:tcW w:w="4200" w:type="dxa"/>
            <w:shd w:fill="E8EEF7"/>
          </w:tcPr>
          <w:p>
            <w:pPr>
              <w:pStyle w:val="TableHeader"/>
            </w:pPr>
            <w:r>
              <w:t xml:space="preserve">Validation</w:t>
            </w:r>
          </w:p>
        </w:tc>
        <w:tc>
          <w:tcPr>
            <w:tcW w:w="1290" w:type="dxa"/>
            <w:shd w:fill="E8EEF7"/>
          </w:tcPr>
          <w:p>
            <w:pPr>
              <w:pStyle w:val="TableHeader"/>
            </w:pPr>
            <w:r>
              <w:t xml:space="preserve">Total</w:t>
            </w:r>
          </w:p>
        </w:tc>
        <w:tc>
          <w:tcPr>
            <w:tcW w:w="1290" w:type="dxa"/>
            <w:shd w:fill="E8EEF7"/>
          </w:tcPr>
          <w:p>
            <w:pPr>
              <w:pStyle w:val="TableHeader"/>
            </w:pPr>
            <w:r>
              <w:t xml:space="preserve">Passed</w:t>
            </w:r>
          </w:p>
        </w:tc>
        <w:tc>
          <w:tcPr>
            <w:tcW w:w="1290" w:type="dxa"/>
            <w:shd w:fill="E8EEF7"/>
          </w:tcPr>
          <w:p>
            <w:pPr>
              <w:pStyle w:val="TableHeader"/>
            </w:pPr>
            <w:r>
              <w:t xml:space="preserve">Failed</w:t>
            </w:r>
          </w:p>
        </w:tc>
        <w:tc>
          <w:tcPr>
            <w:tcW w:w="1290" w:type="dxa"/>
            <w:shd w:fill="E8EEF7"/>
          </w:tcPr>
          <w:p>
            <w:pPr>
              <w:pStyle w:val="TableHeader"/>
            </w:pPr>
            <w:r>
              <w:t xml:space="preserve">Skipped</w:t>
            </w:r>
          </w:p>
        </w:tc>
      </w:tr>
      <w:tr>
        <w:trPr>
          <w:cantSplit/>
        </w:trPr>
        <w:tc>
          <w:tcPr>
            <w:tcW w:w="4200" w:type="dxa"/>
          </w:tcPr>
          <w:p>
            <w:pPr>
              <w:pStyle w:val="TableText"/>
            </w:pPr>
            <w:r>
              <w:t xml:space="preserve">Focused M91/M92 (two runs)</w:t>
            </w:r>
          </w:p>
        </w:tc>
        <w:tc>
          <w:tcPr>
            <w:tcW w:w="1290" w:type="dxa"/>
          </w:tcPr>
          <w:p>
            <w:pPr>
              <w:pStyle w:val="TableText"/>
            </w:pPr>
            <w:r>
              <w:t xml:space="preserve">141</w:t>
            </w:r>
          </w:p>
        </w:tc>
        <w:tc>
          <w:tcPr>
            <w:tcW w:w="1290" w:type="dxa"/>
          </w:tcPr>
          <w:p>
            <w:pPr>
              <w:pStyle w:val="TableText"/>
            </w:pPr>
            <w:r>
              <w:t xml:space="preserve">140</w:t>
            </w:r>
          </w:p>
        </w:tc>
        <w:tc>
          <w:tcPr>
            <w:tcW w:w="1290" w:type="dxa"/>
          </w:tcPr>
          <w:p>
            <w:pPr>
              <w:pStyle w:val="TableText"/>
            </w:pPr>
            <w:r>
              <w:t xml:space="preserve">0</w:t>
            </w:r>
          </w:p>
        </w:tc>
        <w:tc>
          <w:tcPr>
            <w:tcW w:w="1290" w:type="dxa"/>
          </w:tcPr>
          <w:p>
            <w:pPr>
              <w:pStyle w:val="TableText"/>
            </w:pPr>
            <w:r>
              <w:t xml:space="preserve">1</w:t>
            </w:r>
          </w:p>
        </w:tc>
      </w:tr>
      <w:tr>
        <w:trPr>
          <w:cantSplit/>
        </w:trPr>
        <w:tc>
          <w:tcPr>
            <w:tcW w:w="4200" w:type="dxa"/>
          </w:tcPr>
          <w:p>
            <w:pPr>
              <w:pStyle w:val="TableText"/>
            </w:pPr>
            <w:r>
              <w:t xml:space="preserve">Complete expanded M92 feature gate</w:t>
            </w:r>
          </w:p>
        </w:tc>
        <w:tc>
          <w:tcPr>
            <w:tcW w:w="1290" w:type="dxa"/>
          </w:tcPr>
          <w:p>
            <w:pPr>
              <w:pStyle w:val="TableText"/>
            </w:pPr>
            <w:r>
              <w:t xml:space="preserve">134</w:t>
            </w:r>
          </w:p>
        </w:tc>
        <w:tc>
          <w:tcPr>
            <w:tcW w:w="1290" w:type="dxa"/>
          </w:tcPr>
          <w:p>
            <w:pPr>
              <w:pStyle w:val="TableText"/>
            </w:pPr>
            <w:r>
              <w:t xml:space="preserve">133</w:t>
            </w:r>
          </w:p>
        </w:tc>
        <w:tc>
          <w:tcPr>
            <w:tcW w:w="1290" w:type="dxa"/>
          </w:tcPr>
          <w:p>
            <w:pPr>
              <w:pStyle w:val="TableText"/>
            </w:pPr>
            <w:r>
              <w:t xml:space="preserve">0</w:t>
            </w:r>
          </w:p>
        </w:tc>
        <w:tc>
          <w:tcPr>
            <w:tcW w:w="1290" w:type="dxa"/>
          </w:tcPr>
          <w:p>
            <w:pPr>
              <w:pStyle w:val="TableText"/>
            </w:pPr>
            <w:r>
              <w:t xml:space="preserve">1</w:t>
            </w:r>
          </w:p>
        </w:tc>
      </w:tr>
      <w:tr>
        <w:trPr>
          <w:cantSplit/>
        </w:trPr>
        <w:tc>
          <w:tcPr>
            <w:tcW w:w="4200" w:type="dxa"/>
          </w:tcPr>
          <w:p>
            <w:pPr>
              <w:pStyle w:val="TableText"/>
            </w:pPr>
            <w:r>
              <w:t xml:space="preserve">Architecture auditor tests</w:t>
            </w:r>
          </w:p>
        </w:tc>
        <w:tc>
          <w:tcPr>
            <w:tcW w:w="1290" w:type="dxa"/>
          </w:tcPr>
          <w:p>
            <w:pPr>
              <w:pStyle w:val="TableText"/>
            </w:pPr>
            <w:r>
              <w:t xml:space="preserve">22</w:t>
            </w:r>
          </w:p>
        </w:tc>
        <w:tc>
          <w:tcPr>
            <w:tcW w:w="1290" w:type="dxa"/>
          </w:tcPr>
          <w:p>
            <w:pPr>
              <w:pStyle w:val="TableText"/>
            </w:pPr>
            <w:r>
              <w:t xml:space="preserve">22</w:t>
            </w:r>
          </w:p>
        </w:tc>
        <w:tc>
          <w:tcPr>
            <w:tcW w:w="1290" w:type="dxa"/>
          </w:tcPr>
          <w:p>
            <w:pPr>
              <w:pStyle w:val="TableText"/>
            </w:pPr>
            <w:r>
              <w:t xml:space="preserve">0</w:t>
            </w:r>
          </w:p>
        </w:tc>
        <w:tc>
          <w:tcPr>
            <w:tcW w:w="1290" w:type="dxa"/>
          </w:tcPr>
          <w:p>
            <w:pPr>
              <w:pStyle w:val="TableText"/>
            </w:pPr>
            <w:r>
              <w:t xml:space="preserve">0</w:t>
            </w:r>
          </w:p>
        </w:tc>
      </w:tr>
      <w:tr>
        <w:trPr>
          <w:cantSplit/>
        </w:trPr>
        <w:tc>
          <w:tcPr>
            <w:tcW w:w="4200" w:type="dxa"/>
          </w:tcPr>
          <w:p>
            <w:pPr>
              <w:pStyle w:val="TableText"/>
            </w:pPr>
            <w:r>
              <w:t xml:space="preserve">Main architecture dependency test</w:t>
            </w:r>
          </w:p>
        </w:tc>
        <w:tc>
          <w:tcPr>
            <w:tcW w:w="1290" w:type="dxa"/>
          </w:tcPr>
          <w:p>
            <w:pPr>
              <w:pStyle w:val="TableText"/>
            </w:pPr>
            <w:r>
              <w:t xml:space="preserve">1</w:t>
            </w:r>
          </w:p>
        </w:tc>
        <w:tc>
          <w:tcPr>
            <w:tcW w:w="1290" w:type="dxa"/>
          </w:tcPr>
          <w:p>
            <w:pPr>
              <w:pStyle w:val="TableText"/>
            </w:pPr>
            <w:r>
              <w:t xml:space="preserve">1</w:t>
            </w:r>
          </w:p>
        </w:tc>
        <w:tc>
          <w:tcPr>
            <w:tcW w:w="1290" w:type="dxa"/>
          </w:tcPr>
          <w:p>
            <w:pPr>
              <w:pStyle w:val="TableText"/>
            </w:pPr>
            <w:r>
              <w:t xml:space="preserve">0</w:t>
            </w:r>
          </w:p>
        </w:tc>
        <w:tc>
          <w:tcPr>
            <w:tcW w:w="1290" w:type="dxa"/>
          </w:tcPr>
          <w:p>
            <w:pPr>
              <w:pStyle w:val="TableText"/>
            </w:pPr>
            <w:r>
              <w:t xml:space="preserve">0</w:t>
            </w:r>
          </w:p>
        </w:tc>
      </w:tr>
    </w:tbl>
    <w:p>
      <w:r>
        <w:t xml:space="preserve"/>
      </w:r>
    </w:p>
    <w:p>
      <w:r>
        <w:t xml:space="preserve">Counts overlap between focused and feature runs and must not be summed as a unique full-suite total. The focused total combines a 139-case run (138 passed, 1 skipped) with two additional passing focused cases. The three-case follow-up run also contained the separately counted main architecture test.</w:t>
      </w:r>
    </w:p>
    <w:p>
      <w:r>
        <w:t xml:space="preserve">The single skip is the existing opt-in LibreOffice test. git diff --check was clean. No trailing whitespace was found in changed C# files. EMF_AZURE_OPENAI_LIVE remained unset. No full regression was run and no commit was made.</w:t>
      </w:r>
    </w:p>
    <w:p>
      <w:r>
        <w:t xml:space="preserve">Hash comparisons confirmed 36 protected persistence/schema/model/contract files were unchanged by this increment. The M91 ReviewerPackageOutputProvenance model remained byte-identical to the authoritative checkpoint.</w:t>
      </w:r>
    </w:p>
    <w:p>
      <w:pPr>
        <w:pStyle w:val="Heading2"/>
      </w:pPr>
      <w:r>
        <w:t xml:space="preserve">Feature-gate class selection</w:t>
      </w:r>
    </w:p>
    <w:p>
      <w:r>
        <w:t xml:space="preserve">• EmfAssemblyBuildIdentityTests</w:t>
      </w:r>
    </w:p>
    <w:p>
      <w:r>
        <w:t xml:space="preserve">• EmfFirstPartyDeploymentIdentityTests</w:t>
      </w:r>
    </w:p>
    <w:p>
      <w:r>
        <w:t xml:space="preserve">• ReviewerBuildManifestArchiveTests</w:t>
      </w:r>
    </w:p>
    <w:p>
      <w:r>
        <w:t xml:space="preserve">• ReviewerBuildProvenanceSqliteHardeningTests</w:t>
      </w:r>
    </w:p>
    <w:p>
      <w:r>
        <w:t xml:space="preserve">• ReviewerPackageOutputBuildProvenanceTests</w:t>
      </w:r>
    </w:p>
    <w:p>
      <w:r>
        <w:t xml:space="preserve">• ReviewerDeploymentCompositionTests</w:t>
      </w:r>
    </w:p>
    <w:p>
      <w:r>
        <w:t xml:space="preserve">• ReviewerDocumentConstructorCompatibilityTests</w:t>
      </w:r>
    </w:p>
    <w:p>
      <w:r>
        <w:t xml:space="preserve">• VeteransReviewerOutputProvenanceTests</w:t>
      </w:r>
    </w:p>
    <w:p>
      <w:r>
        <w:t xml:space="preserve">• VeteransReviewerOutputProvenanceIntegrationTests</w:t>
      </w:r>
    </w:p>
    <w:p>
      <w:r>
        <w:t xml:space="preserve">• ConsoleCommandRouterTests</w:t>
      </w:r>
    </w:p>
    <w:p>
      <w:r>
        <w:t xml:space="preserve">• VeteransClaimsSqliteMigrationTests</w:t>
      </w:r>
    </w:p>
    <w:p>
      <w:pPr>
        <w:pStyle w:val="Code"/>
      </w:pPr>
      <w:r>
        <w:t xml:space="preserve">Saved implementation logs used to verify these counts: /tmp/m92-hardening-_u_d0g0g/focused.log, final-focused.log, m92-feature-gate.log, and architecture.log. These are disposable VM logs and are not included in the ZIP.</w:t>
      </w:r>
    </w:p>
    <w:p>
      <w:pPr>
        <w:pStyle w:val="Heading1"/>
      </w:pPr>
      <w:r>
        <w:t xml:space="preserve">7. Exact files changed by this increment</w:t>
      </w:r>
    </w:p>
    <w:p>
      <w:r>
        <w:t xml:space="preserve">Sixteen files changed: seven source files and nine test/fixture files. This list excludes pre-existing M92 edits that were already in the live working tree. “New” is relative to the start of this implementation increment, not necessarily Git tracking state.</w:t>
      </w:r>
    </w:p>
    <w:p>
      <w:pPr>
        <w:pStyle w:val="FilePath"/>
      </w:pPr>
      <w:r>
        <w:t xml:space="preserve">Modified — src/EMF.Common/EmfBuildManifestIdentity.cs</w:t>
      </w:r>
    </w:p>
    <w:p>
      <w:r>
        <w:t xml:space="preserve">Closure verification, context resolution, structure and Unicode validation.</w:t>
      </w:r>
    </w:p>
    <w:p>
      <w:pPr>
        <w:pStyle w:val="FilePath"/>
      </w:pPr>
      <w:r>
        <w:t xml:space="preserve">New — src/EMF.Common/EmfVerifiedFirstPartyDeploymentIdentity.cs</w:t>
      </w:r>
    </w:p>
    <w:p>
      <w:r>
        <w:t xml:space="preserve">Distinct immutable deployment identity and exact assembly-instance membership.</w:t>
      </w:r>
    </w:p>
    <w:p>
      <w:pPr>
        <w:pStyle w:val="FilePath"/>
      </w:pPr>
      <w:r>
        <w:t xml:space="preserve">Modified — src/EMF.Console/BuildConsoleCommand.cs</w:t>
      </w:r>
    </w:p>
    <w:p>
      <w:r>
        <w:t xml:space="preserve">Deployment-file verification and accurate diagnostic wording.</w:t>
      </w:r>
    </w:p>
    <w:p>
      <w:pPr>
        <w:pStyle w:val="FilePath"/>
      </w:pPr>
      <w:r>
        <w:t xml:space="preserve">New — src/EMF.Console/ReviewerDeploymentVerification.cs</w:t>
      </w:r>
    </w:p>
    <w:p>
      <w:r>
        <w:t xml:space="preserve">Deferred, pinned external expectation from production configuration.</w:t>
      </w:r>
    </w:p>
    <w:p>
      <w:pPr>
        <w:pStyle w:val="FilePath"/>
      </w:pPr>
      <w:r>
        <w:t xml:space="preserve">Modified — src/EMF.Console/VeteransConsoleCommand.cs</w:t>
      </w:r>
    </w:p>
    <w:p>
      <w:r>
        <w:t xml:space="preserve">External expectation composition; removes generation-time self-capture.</w:t>
      </w:r>
    </w:p>
    <w:p>
      <w:pPr>
        <w:pStyle w:val="FilePath"/>
      </w:pPr>
      <w:r>
        <w:t xml:space="preserve">Modified — src/EMF.Extensions.VeteransClaims.Orchestration/VeteransReviewerPackageDocumentOutputService.cs</w:t>
      </w:r>
    </w:p>
    <w:p>
      <w:r>
        <w:t xml:space="preserve">Reuse-first typed verification, compatibility constructors, operation-local attribution.</w:t>
      </w:r>
    </w:p>
    <w:p>
      <w:pPr>
        <w:pStyle w:val="FilePath"/>
      </w:pPr>
      <w:r>
        <w:t xml:space="preserve">Modified — src/EMF.Extensions.VeteransClaims.Orchestration/VeteransReviewerPackageRendererIdentity.cs</w:t>
      </w:r>
    </w:p>
    <w:p>
      <w:r>
        <w:t xml:space="preserve">Actual renderer Assembly instance and M91 MVID binding.</w:t>
      </w:r>
    </w:p>
    <w:p>
      <w:pPr>
        <w:pStyle w:val="FilePath"/>
      </w:pPr>
      <w:r>
        <w:t xml:space="preserve">New — tests/EMF.Tests/EmfFirstPartyDeploymentIdentityTests.cs</w:t>
      </w:r>
    </w:p>
    <w:p>
      <w:r>
        <w:t xml:space="preserve">Closure, file replacement, ambiguity, frozen inventory, and Unicode tests.</w:t>
      </w:r>
    </w:p>
    <w:p>
      <w:pPr>
        <w:pStyle w:val="FilePath"/>
      </w:pPr>
      <w:r>
        <w:t xml:space="preserve">New — tests/EMF.Tests/ReviewerDeploymentCompositionTests.cs</w:t>
      </w:r>
    </w:p>
    <w:p>
      <w:r>
        <w:t xml:space="preserve">Configuration, fail-closed behavior, no fallback, pinned expectation, and pure reuse.</w:t>
      </w:r>
    </w:p>
    <w:p>
      <w:pPr>
        <w:pStyle w:val="FilePath"/>
      </w:pPr>
      <w:r>
        <w:t xml:space="preserve">New — tests/EMF.Tests/ReviewerDocumentConstructorCompatibilityTests.cs</w:t>
      </w:r>
    </w:p>
    <w:p>
      <w:r>
        <w:t xml:space="preserve">Reflection signatures and a precompiled M91-contract caller.</w:t>
      </w:r>
    </w:p>
    <w:p>
      <w:pPr>
        <w:pStyle w:val="FilePath"/>
      </w:pPr>
      <w:r>
        <w:t xml:space="preserve">New — tests/EMF.Tests/ReviewerDeploymentTestSupport.cs</w:t>
      </w:r>
    </w:p>
    <w:p>
      <w:r>
        <w:t xml:space="preserve">Expected deployment fixtures and isolated environment collection.</w:t>
      </w:r>
    </w:p>
    <w:p>
      <w:pPr>
        <w:pStyle w:val="FilePath"/>
      </w:pPr>
      <w:r>
        <w:t xml:space="preserve">Modified — tests/EMF.Tests/ConsoleCommandRouterTests.cs</w:t>
      </w:r>
    </w:p>
    <w:p>
      <w:r>
        <w:t xml:space="preserve">Malformed/null manifest structure cases.</w:t>
      </w:r>
    </w:p>
    <w:p>
      <w:pPr>
        <w:pStyle w:val="FilePath"/>
      </w:pPr>
      <w:r>
        <w:t xml:space="preserve">Modified — tests/EMF.Tests/VeteransReviewerOutputProvenanceIntegrationTests.cs</w:t>
      </w:r>
    </w:p>
    <w:p>
      <w:r>
        <w:t xml:space="preserve">Weak token rejection, deferred and mixed reuse, frozen archival, retries, rollback, and M91 upgrade.</w:t>
      </w:r>
    </w:p>
    <w:p>
      <w:pPr>
        <w:pStyle w:val="FilePath"/>
      </w:pPr>
      <w:r>
        <w:t xml:space="preserve">Modified — tests/EMF.Tests/VeteransEvidencePackageConsoleTests.cs</w:t>
      </w:r>
    </w:p>
    <w:p>
      <w:r>
        <w:t xml:space="preserve">Explicit deployment setup and reuse after configuration removal.</w:t>
      </w:r>
    </w:p>
    <w:p>
      <w:pPr>
        <w:pStyle w:val="FilePath"/>
      </w:pPr>
      <w:r>
        <w:t xml:space="preserve">Modified — tests/EMF.Tests/VeteransReviewerPackageSnapshotTests.cs</w:t>
      </w:r>
    </w:p>
    <w:p>
      <w:r>
        <w:t xml:space="preserve">Updated generation fixtures while preserving snapshot/retry assertions.</w:t>
      </w:r>
    </w:p>
    <w:p>
      <w:pPr>
        <w:pStyle w:val="FilePath"/>
      </w:pPr>
      <w:r>
        <w:t xml:space="preserve">Modified — tests/EMF.Tests/VeteransReviewerPackageReuseServiceTests.cs</w:t>
      </w:r>
    </w:p>
    <w:p>
      <w:r>
        <w:t xml:space="preserve">Updated generation fixtures for the stronger deployment boundary.</w:t>
      </w:r>
    </w:p>
    <w:p>
      <w:pPr>
        <w:pStyle w:val="Heading1"/>
      </w:pPr>
      <w:r>
        <w:t xml:space="preserve">8. Findings disposition and remaining limitations</w:t>
      </w:r>
    </w:p>
    <w:tbl>
      <w:tblPr>
        <w:tblW w:w="9360" w:type="dxa"/>
        <w:tblBorders>
          <w:top w:val="single" w:sz="4" w:color="D8DEE8"/>
          <w:left w:val="single" w:sz="4" w:color="D8DEE8"/>
          <w:bottom w:val="single" w:sz="4" w:color="D8DEE8"/>
          <w:right w:val="single" w:sz="4" w:color="D8DEE8"/>
          <w:insideH w:val="single" w:sz="4" w:color="D8DEE8"/>
          <w:insideV w:val="single" w:sz="4" w:color="D8DEE8"/>
        </w:tblBorders>
      </w:tblPr>
      <w:tblGrid>
        <w:gridCol w:w="2600"/>
        <w:gridCol w:w="6760"/>
      </w:tblGrid>
      <w:tr>
        <w:trPr>
          <w:cantSplit/>
          <w:tblHeader/>
        </w:trPr>
        <w:tc>
          <w:tcPr>
            <w:tcW w:w="2600" w:type="dxa"/>
            <w:shd w:fill="E8EEF7"/>
          </w:tcPr>
          <w:p>
            <w:pPr>
              <w:pStyle w:val="TableHeader"/>
            </w:pPr>
            <w:r>
              <w:t xml:space="preserve">Original item</w:t>
            </w:r>
          </w:p>
        </w:tc>
        <w:tc>
          <w:tcPr>
            <w:tcW w:w="6760" w:type="dxa"/>
            <w:shd w:fill="E8EEF7"/>
          </w:tcPr>
          <w:p>
            <w:pPr>
              <w:pStyle w:val="TableHeader"/>
            </w:pPr>
            <w:r>
              <w:t xml:space="preserve">Post-implementation disposition</w:t>
            </w:r>
          </w:p>
        </w:tc>
      </w:tr>
      <w:tr>
        <w:trPr>
          <w:cantSplit/>
        </w:trPr>
        <w:tc>
          <w:tcPr>
            <w:tcW w:w="2600" w:type="dxa"/>
          </w:tcPr>
          <w:p>
            <w:pPr>
              <w:pStyle w:val="TableText"/>
            </w:pPr>
            <w:r>
              <w:t xml:space="preserve">H1 weak-token scope</w:t>
            </w:r>
          </w:p>
        </w:tc>
        <w:tc>
          <w:tcPr>
            <w:tcW w:w="6760" w:type="dxa"/>
          </w:tcPr>
          <w:p>
            <w:pPr>
              <w:pStyle w:val="TableText"/>
            </w:pPr>
            <w:r>
              <w:t xml:space="preserve">Implemented type separation and generation rejection; corresponding regressions pass.</w:t>
            </w:r>
          </w:p>
        </w:tc>
      </w:tr>
      <w:tr>
        <w:trPr>
          <w:cantSplit/>
        </w:trPr>
        <w:tc>
          <w:tcPr>
            <w:tcW w:w="2600" w:type="dxa"/>
          </w:tcPr>
          <w:p>
            <w:pPr>
              <w:pStyle w:val="TableText"/>
            </w:pPr>
            <w:r>
              <w:t xml:space="preserve">H2 loaded/file mismatch</w:t>
            </w:r>
          </w:p>
        </w:tc>
        <w:tc>
          <w:tcPr>
            <w:tcW w:w="6760" w:type="dxa"/>
          </w:tcPr>
          <w:p>
            <w:pPr>
              <w:pStyle w:val="TableText"/>
            </w:pPr>
            <w:r>
              <w:t xml:space="preserve">Reframed to the agreed trusted expected-deployment claim. Same-MVID replacement fails against a fixed expectation. Original loaded PE bytes are explicitly not attested.</w:t>
            </w:r>
          </w:p>
        </w:tc>
      </w:tr>
      <w:tr>
        <w:trPr>
          <w:cantSplit/>
        </w:trPr>
        <w:tc>
          <w:tcPr>
            <w:tcW w:w="2600" w:type="dxa"/>
          </w:tcPr>
          <w:p>
            <w:pPr>
              <w:pStyle w:val="TableText"/>
            </w:pPr>
            <w:r>
              <w:t xml:space="preserve">CLI null entries</w:t>
            </w:r>
          </w:p>
        </w:tc>
        <w:tc>
          <w:tcPr>
            <w:tcW w:w="6760" w:type="dxa"/>
          </w:tcPr>
          <w:p>
            <w:pPr>
              <w:pStyle w:val="TableText"/>
            </w:pPr>
            <w:r>
              <w:t xml:space="preserve">Validated before sorting; controlled command failure tests pass.</w:t>
            </w:r>
          </w:p>
        </w:tc>
      </w:tr>
      <w:tr>
        <w:trPr>
          <w:cantSplit/>
        </w:trPr>
        <w:tc>
          <w:tcPr>
            <w:tcW w:w="2600" w:type="dxa"/>
          </w:tcPr>
          <w:p>
            <w:pPr>
              <w:pStyle w:val="TableText"/>
            </w:pPr>
            <w:r>
              <w:t xml:space="preserve">M91 constructor</w:t>
            </w:r>
          </w:p>
        </w:tc>
        <w:tc>
          <w:tcPr>
            <w:tcW w:w="6760" w:type="dxa"/>
          </w:tcPr>
          <w:p>
            <w:pPr>
              <w:pStyle w:val="TableText"/>
            </w:pPr>
            <w:r>
              <w:t xml:space="preserve">Exact three-argument signature restored; binary caller test passes.</w:t>
            </w:r>
          </w:p>
        </w:tc>
      </w:tr>
      <w:tr>
        <w:trPr>
          <w:cantSplit/>
        </w:trPr>
        <w:tc>
          <w:tcPr>
            <w:tcW w:w="2600" w:type="dxa"/>
          </w:tcPr>
          <w:p>
            <w:pPr>
              <w:pStyle w:val="TableText"/>
            </w:pPr>
            <w:r>
              <w:t xml:space="preserve">Assembly ambiguity</w:t>
            </w:r>
          </w:p>
        </w:tc>
        <w:tc>
          <w:tcPr>
            <w:tcW w:w="6760" w:type="dxa"/>
          </w:tcPr>
          <w:p>
            <w:pPr>
              <w:pStyle w:val="TableText"/>
            </w:pPr>
            <w:r>
              <w:t xml:space="preserve">Context-aware dependency resolution and conflicting-instance rejection; root-order/shadow tests pass.</w:t>
            </w:r>
          </w:p>
        </w:tc>
      </w:tr>
      <w:tr>
        <w:trPr>
          <w:cantSplit/>
        </w:trPr>
        <w:tc>
          <w:tcPr>
            <w:tcW w:w="2600" w:type="dxa"/>
          </w:tcPr>
          <w:p>
            <w:pPr>
              <w:pStyle w:val="TableText"/>
            </w:pPr>
            <w:r>
              <w:t xml:space="preserve">Invalid UTF-16</w:t>
            </w:r>
          </w:p>
        </w:tc>
        <w:tc>
          <w:tcPr>
            <w:tcW w:w="6760" w:type="dxa"/>
          </w:tcPr>
          <w:p>
            <w:pPr>
              <w:pStyle w:val="TableText"/>
            </w:pPr>
            <w:r>
              <w:t xml:space="preserve">Lone surrogates rejected; valid Unicode and existing canonical semantics preserved.</w:t>
            </w:r>
          </w:p>
        </w:tc>
      </w:tr>
      <w:tr>
        <w:trPr>
          <w:cantSplit/>
        </w:trPr>
        <w:tc>
          <w:tcPr>
            <w:tcW w:w="2600" w:type="dxa"/>
          </w:tcPr>
          <w:p>
            <w:pPr>
              <w:pStyle w:val="TableText"/>
            </w:pPr>
            <w:r>
              <w:t xml:space="preserve">Four former SQLite blockers</w:t>
            </w:r>
          </w:p>
        </w:tc>
        <w:tc>
          <w:tcPr>
            <w:tcW w:w="6760" w:type="dxa"/>
          </w:tcPr>
          <w:p>
            <w:pPr>
              <w:pStyle w:val="TableText"/>
            </w:pPr>
            <w:r>
              <w:t xml:space="preserve">Already closed before this increment; schema and persistence protections unchanged.</w:t>
            </w:r>
          </w:p>
        </w:tc>
      </w:tr>
    </w:tbl>
    <w:p>
      <w:r>
        <w:t xml:space="preserve"/>
      </w:r>
    </w:p>
    <w:p>
      <w:r>
        <w:t xml:space="preserve">• Immutability and authenticity of the expectation/deployment are host/deployment responsibilities. The application does not prove read-only permissions or the historical state of loaded bytes.</w:t>
      </w:r>
    </w:p>
    <w:p>
      <w:r>
        <w:t xml:space="preserve">• First-party managed closure verification does not attest third-party assemblies, .NET, runtime/deps configuration, native dependencies, LibreOffice executable, fonts, or other rendering-affecting configuration.</w:t>
      </w:r>
    </w:p>
    <w:p>
      <w:r>
        <w:t xml:space="preserve">• Atomic persistence remains per output. It is not an all-or-nothing transaction for DOCX plus PDF plus filesystem publication.</w:t>
      </w:r>
    </w:p>
    <w:p>
      <w:r>
        <w:t xml:space="preserve">• New generation requires explicit deployment configuration. Development workflows must establish an expectation for the final artifacts before launching generation.</w:t>
      </w:r>
    </w:p>
    <w:p>
      <w:r>
        <w:t xml:space="preserve">• The skipped LibreOffice check and the unrun full regression remain validation limits. The next authorized step is the full regression gate, not a claim that it has already passed.</w:t>
      </w:r>
    </w:p>
    <w:p>
      <w:pPr>
        <w:pStyle w:val="Important"/>
      </w:pPr>
      <w:r>
        <w:t xml:space="preserve">Final assessment: ready for the full regression gate under the agreed immutable-deployment contract.</w:t>
      </w:r>
    </w:p>
    <w:sectPr>
      <w:footerReference w:type="default" r:id="rId2"/>
      <w:pgSz w:w="12240" w:h="15840"/>
      <w:pgMar w:top="1080" w:right="1440" w:bottom="1080" w:left="1440" w:header="480" w:footer="480" w:gutter="0"/>
    </w:sectPr>
  </w:body>
</w:document>
</file>

<file path=word/footer1.xml><?xml version="1.0" encoding="utf-8"?>
<w:ftr xmlns:w="http://schemas.openxmlformats.org/wordprocessingml/2006/main">
  <w:p>
    <w:pPr>
      <w:jc w:val="center"/>
    </w:pPr>
    <w:r>
      <w:t>M92 Hardening Report  |  Page </w:t>
    </w:r>
    <w:fldSimple w:instr="PAGE">
      <w:r>
        <w:t>1</w:t>
      </w:r>
    </w:fldSimple>
  </w:p>
</w:ftr>
</file>

<file path=word/styles.xml><?xml version="1.0" encoding="utf-8"?>
<w:styles xmlns:w="http://schemas.openxmlformats.org/wordprocessingml/2006/main">
  <w:style w:type="paragraph" w:styleId="Normal">
    <w:name w:val="Normal"/>
    <w:pPr>
      <w:spacing w:after="100" w:line="264" w:lineRule="auto"/>
    </w:pPr>
    <w:rPr>
      <w:rFonts w:ascii="Calibri" w:hAnsi="Calibri" w:eastAsia="Calibri"/>
      <w:sz w:val="22"/>
      <w:color w:val="243247"/>
    </w:rPr>
  </w:style>
  <w:style w:type="paragraph" w:styleId="Title">
    <w:name w:val="Title"/>
    <w:basedOn w:val="Normal"/>
    <w:pPr>
      <w:spacing w:after="100" w:line="264" w:lineRule="auto"/>
      <w:keepNext/>
    </w:pPr>
    <w:rPr>
      <w:rFonts w:ascii="Calibri" w:hAnsi="Calibri" w:eastAsia="Calibri"/>
      <w:sz w:val="40"/>
      <w:color w:val="243247"/>
      <w:b/>
    </w:rPr>
  </w:style>
  <w:style w:type="paragraph" w:styleId="Subtitle">
    <w:name w:val="Subtitle"/>
    <w:basedOn w:val="Normal"/>
    <w:pPr>
      <w:spacing w:after="100" w:line="264" w:lineRule="auto"/>
      <w:keepNext/>
    </w:pPr>
    <w:rPr>
      <w:rFonts w:ascii="Calibri" w:hAnsi="Calibri" w:eastAsia="Calibri"/>
      <w:sz w:val="26"/>
      <w:color w:val="243247"/>
    </w:rPr>
  </w:style>
  <w:style w:type="paragraph" w:styleId="Heading1">
    <w:name w:val="Heading1"/>
    <w:basedOn w:val="Normal"/>
    <w:pPr>
      <w:spacing w:after="100" w:line="264" w:lineRule="auto"/>
      <w:keepNext/>
      <w:outlineLvl w:val="0"/>
      <w:spacing w:before="240" w:after="120"/>
    </w:pPr>
    <w:rPr>
      <w:rFonts w:ascii="Calibri" w:hAnsi="Calibri" w:eastAsia="Calibri"/>
      <w:sz w:val="28"/>
      <w:color w:val="243247"/>
      <w:b/>
    </w:rPr>
  </w:style>
  <w:style w:type="paragraph" w:styleId="Heading2">
    <w:name w:val="Heading2"/>
    <w:basedOn w:val="Normal"/>
    <w:pPr>
      <w:spacing w:after="100" w:line="264" w:lineRule="auto"/>
      <w:keepNext/>
      <w:outlineLvl w:val="1"/>
      <w:spacing w:before="160" w:after="80"/>
    </w:pPr>
    <w:rPr>
      <w:rFonts w:ascii="Calibri" w:hAnsi="Calibri" w:eastAsia="Calibri"/>
      <w:sz w:val="24"/>
      <w:color w:val="243247"/>
      <w:b/>
    </w:rPr>
  </w:style>
  <w:style w:type="paragraph" w:styleId="Code">
    <w:name w:val="Code"/>
    <w:basedOn w:val="Normal"/>
    <w:pPr>
      <w:spacing w:after="100" w:line="264" w:lineRule="auto"/>
    </w:pPr>
    <w:rPr>
      <w:rFonts w:ascii="Calibri" w:hAnsi="Calibri" w:eastAsia="Calibri"/>
      <w:sz w:val="18"/>
      <w:color w:val="243247"/>
      <w:rFonts w:ascii="Consolas" w:hAnsi="Consolas"/>
    </w:rPr>
  </w:style>
  <w:style w:type="paragraph" w:styleId="Important">
    <w:name w:val="Important"/>
    <w:basedOn w:val="Normal"/>
    <w:pPr>
      <w:spacing w:after="100" w:line="264" w:lineRule="auto"/>
    </w:pPr>
    <w:rPr>
      <w:rFonts w:ascii="Calibri" w:hAnsi="Calibri" w:eastAsia="Calibri"/>
      <w:sz w:val="23"/>
      <w:color w:val="243247"/>
      <w:b/>
    </w:rPr>
  </w:style>
  <w:style w:type="paragraph" w:styleId="TableText">
    <w:name w:val="TableText"/>
    <w:basedOn w:val="Normal"/>
    <w:pPr>
      <w:spacing w:after="100" w:line="264" w:lineRule="auto"/>
    </w:pPr>
    <w:rPr>
      <w:rFonts w:ascii="Calibri" w:hAnsi="Calibri" w:eastAsia="Calibri"/>
      <w:sz w:val="19"/>
      <w:color w:val="243247"/>
    </w:rPr>
  </w:style>
  <w:style w:type="paragraph" w:styleId="TableHeader">
    <w:name w:val="TableHeader"/>
    <w:basedOn w:val="Normal"/>
    <w:pPr>
      <w:spacing w:after="100" w:line="264" w:lineRule="auto"/>
    </w:pPr>
    <w:rPr>
      <w:rFonts w:ascii="Calibri" w:hAnsi="Calibri" w:eastAsia="Calibri"/>
      <w:sz w:val="19"/>
      <w:color w:val="243247"/>
      <w:b/>
    </w:rPr>
  </w:style>
  <w:style w:type="paragraph" w:styleId="FilePath">
    <w:name w:val="FilePath"/>
    <w:basedOn w:val="Normal"/>
    <w:pPr>
      <w:spacing w:after="100" w:line="264" w:lineRule="auto"/>
    </w:pPr>
    <w:rPr>
      <w:rFonts w:ascii="Calibri" w:hAnsi="Calibri" w:eastAsia="Calibri"/>
      <w:sz w:val="20"/>
      <w:color w:val="243247"/>
      <w: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