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1F497D"/>
          <w:sz w:val="40"/>
        </w:rPr>
        <w:t>LEGAL ANALYSIS &amp; IMPROVEMENT RECOMMENDATIONS</w:t>
      </w:r>
    </w:p>
    <w:p>
      <w:pPr>
        <w:jc w:val="center"/>
      </w:pPr>
      <w:r>
        <w:rPr>
          <w:rFonts w:ascii="Calibri" w:hAnsi="Calibri"/>
          <w:b/>
          <w:i w:val="0"/>
          <w:color w:val="4472C4"/>
          <w:sz w:val="28"/>
        </w:rPr>
        <w:t>FSSAI Request for Proposal — Strategic Advisory &amp; Implementation Support</w:t>
      </w:r>
    </w:p>
    <w:p/>
    <w:p>
      <w:pPr>
        <w:jc w:val="center"/>
      </w:pPr>
      <w:r>
        <w:rPr>
          <w:rFonts w:ascii="Calibri" w:hAnsi="Calibri"/>
          <w:b w:val="0"/>
          <w:i/>
          <w:color w:val="595959"/>
          <w:sz w:val="22"/>
        </w:rPr>
        <w:t>Benchmarked Against: RLDA | NCPCR | HAL | AAI Reference RFPs</w:t>
      </w:r>
    </w:p>
    <w:p>
      <w:pPr>
        <w:jc w:val="center"/>
      </w:pPr>
      <w:r>
        <w:rPr>
          <w:rFonts w:ascii="Calibri" w:hAnsi="Calibri"/>
          <w:b w:val="0"/>
          <w:i/>
          <w:color w:val="595959"/>
          <w:sz w:val="22"/>
        </w:rPr>
        <w:t>Analyst Perspective: Legal / Procurement Law</w:t>
      </w:r>
    </w:p>
    <w:p>
      <w:pPr>
        <w:jc w:val="center"/>
      </w:pPr>
      <w:r>
        <w:rPr>
          <w:rFonts w:ascii="Calibri" w:hAnsi="Calibri"/>
          <w:b w:val="0"/>
          <w:i/>
          <w:color w:val="595959"/>
          <w:sz w:val="22"/>
        </w:rPr>
        <w:t>Pre-Bid Meeting: 6 April 2026 | FSSAI, FDA Bhawan, New Delhi</w:t>
      </w:r>
    </w:p>
    <w:p>
      <w:r>
        <w:br w:type="page"/>
      </w:r>
    </w:p>
    <w:p>
      <w:pPr>
        <w:pStyle w:val="Heading1"/>
        <w:jc w:val="left"/>
      </w:pPr>
      <w:r>
        <w:rPr>
          <w:rFonts w:ascii="Calibri" w:hAnsi="Calibri"/>
          <w:color w:val="1F497D"/>
        </w:rPr>
        <w:t>Executive Summary</w:t>
      </w:r>
    </w:p>
    <w:p>
      <w:pPr>
        <w:spacing w:after="80"/>
      </w:pPr>
      <w:r>
        <w:rPr>
          <w:rFonts w:ascii="Calibri" w:hAnsi="Calibri"/>
          <w:b w:val="0"/>
          <w:i w:val="0"/>
          <w:sz w:val="21"/>
        </w:rPr>
        <w:t>The FSSAI RFP for Strategic Advisory and Implementation Support has been reviewed from a legal and procurement standpoint and benchmarked against four mature Central Government RFPs (RLDA, NCPCR, HAL, AAI). While FSSAI has strong statutory authority under the Food Safety and Standards Act, 2006, the current RFP document contains significant structural, procedural, and legal gaps that must be addressed before issuance. This report identifies 18 distinct areas of concern — 4 Critical, 7 High, and 7 Medium severity — and provides specific, actionable improvement recommendations for each.</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val="clear" w:color="auto" w:fill="1F497D"/>
          </w:tcPr>
          <w:p>
            <w:r/>
            <w:r>
              <w:rPr>
                <w:rFonts w:ascii="Calibri" w:hAnsi="Calibri"/>
                <w:b/>
                <w:i w:val="0"/>
                <w:color w:val="FFFFFF"/>
                <w:sz w:val="20"/>
              </w:rPr>
              <w:t>Severity</w:t>
            </w:r>
          </w:p>
        </w:tc>
        <w:tc>
          <w:tcPr>
            <w:tcW w:type="dxa" w:w="850"/>
            <w:shd w:val="clear" w:color="auto" w:fill="1F497D"/>
          </w:tcPr>
          <w:p>
            <w:r/>
            <w:r>
              <w:rPr>
                <w:rFonts w:ascii="Calibri" w:hAnsi="Calibri"/>
                <w:b/>
                <w:i w:val="0"/>
                <w:color w:val="FFFFFF"/>
                <w:sz w:val="20"/>
              </w:rPr>
              <w:t>Count</w:t>
            </w:r>
          </w:p>
        </w:tc>
        <w:tc>
          <w:tcPr>
            <w:tcW w:type="dxa" w:w="6803"/>
            <w:shd w:val="clear" w:color="auto" w:fill="1F497D"/>
          </w:tcPr>
          <w:p>
            <w:r/>
            <w:r>
              <w:rPr>
                <w:rFonts w:ascii="Calibri" w:hAnsi="Calibri"/>
                <w:b/>
                <w:i w:val="0"/>
                <w:color w:val="FFFFFF"/>
                <w:sz w:val="20"/>
              </w:rPr>
              <w:t>Key Areas</w:t>
            </w:r>
          </w:p>
        </w:tc>
      </w:tr>
      <w:tr>
        <w:tc>
          <w:tcPr>
            <w:tcW w:type="dxa" w:w="1417"/>
            <w:shd w:val="clear" w:color="auto" w:fill="DCE6F1"/>
          </w:tcPr>
          <w:p>
            <w:r/>
            <w:r>
              <w:rPr>
                <w:rFonts w:ascii="Calibri" w:hAnsi="Calibri"/>
                <w:b w:val="0"/>
                <w:i w:val="0"/>
                <w:sz w:val="20"/>
              </w:rPr>
              <w:t>CRITICAL</w:t>
            </w:r>
          </w:p>
        </w:tc>
        <w:tc>
          <w:tcPr>
            <w:tcW w:type="dxa" w:w="850"/>
            <w:shd w:val="clear" w:color="auto" w:fill="DCE6F1"/>
          </w:tcPr>
          <w:p>
            <w:r/>
            <w:r>
              <w:rPr>
                <w:rFonts w:ascii="Calibri" w:hAnsi="Calibri"/>
                <w:b w:val="0"/>
                <w:i w:val="0"/>
                <w:sz w:val="20"/>
              </w:rPr>
              <w:t>4</w:t>
            </w:r>
          </w:p>
        </w:tc>
        <w:tc>
          <w:tcPr>
            <w:tcW w:type="dxa" w:w="6803"/>
            <w:shd w:val="clear" w:color="auto" w:fill="DCE6F1"/>
          </w:tcPr>
          <w:p>
            <w:r/>
            <w:r>
              <w:rPr>
                <w:rFonts w:ascii="Calibri" w:hAnsi="Calibri"/>
                <w:b w:val="0"/>
                <w:i w:val="0"/>
                <w:sz w:val="20"/>
              </w:rPr>
              <w:t>Incomplete placeholders (Gmail address, blank fees), No IPR clause, Arbitrator independence, No Force Majeure</w:t>
            </w:r>
          </w:p>
        </w:tc>
      </w:tr>
      <w:tr>
        <w:tc>
          <w:tcPr>
            <w:tcW w:type="dxa" w:w="1417"/>
          </w:tcPr>
          <w:p>
            <w:r/>
            <w:r>
              <w:rPr>
                <w:rFonts w:ascii="Calibri" w:hAnsi="Calibri"/>
                <w:b w:val="0"/>
                <w:i w:val="0"/>
                <w:sz w:val="20"/>
              </w:rPr>
              <w:t>HIGH</w:t>
            </w:r>
          </w:p>
        </w:tc>
        <w:tc>
          <w:tcPr>
            <w:tcW w:type="dxa" w:w="850"/>
          </w:tcPr>
          <w:p>
            <w:r/>
            <w:r>
              <w:rPr>
                <w:rFonts w:ascii="Calibri" w:hAnsi="Calibri"/>
                <w:b w:val="0"/>
                <w:i w:val="0"/>
                <w:sz w:val="20"/>
              </w:rPr>
              <w:t>7</w:t>
            </w:r>
          </w:p>
        </w:tc>
        <w:tc>
          <w:tcPr>
            <w:tcW w:type="dxa" w:w="6803"/>
          </w:tcPr>
          <w:p>
            <w:r/>
            <w:r>
              <w:rPr>
                <w:rFonts w:ascii="Calibri" w:hAnsi="Calibri"/>
                <w:b w:val="0"/>
                <w:i w:val="0"/>
                <w:sz w:val="20"/>
              </w:rPr>
              <w:t>Eligibility criteria (Make in India conflict), EMD method contradiction, Performance Security quantum, One-sided termination, Payment timeline absent, Phase 2 extension mechanism, COI clause incomplete</w:t>
            </w:r>
          </w:p>
        </w:tc>
      </w:tr>
      <w:tr>
        <w:tc>
          <w:tcPr>
            <w:tcW w:type="dxa" w:w="1417"/>
            <w:shd w:val="clear" w:color="auto" w:fill="DCE6F1"/>
          </w:tcPr>
          <w:p>
            <w:r/>
            <w:r>
              <w:rPr>
                <w:rFonts w:ascii="Calibri" w:hAnsi="Calibri"/>
                <w:b w:val="0"/>
                <w:i w:val="0"/>
                <w:sz w:val="20"/>
              </w:rPr>
              <w:t>MEDIUM</w:t>
            </w:r>
          </w:p>
        </w:tc>
        <w:tc>
          <w:tcPr>
            <w:tcW w:type="dxa" w:w="850"/>
            <w:shd w:val="clear" w:color="auto" w:fill="DCE6F1"/>
          </w:tcPr>
          <w:p>
            <w:r/>
            <w:r>
              <w:rPr>
                <w:rFonts w:ascii="Calibri" w:hAnsi="Calibri"/>
                <w:b w:val="0"/>
                <w:i w:val="0"/>
                <w:sz w:val="20"/>
              </w:rPr>
              <w:t>7</w:t>
            </w:r>
          </w:p>
        </w:tc>
        <w:tc>
          <w:tcPr>
            <w:tcW w:type="dxa" w:w="6803"/>
            <w:shd w:val="clear" w:color="auto" w:fill="DCE6F1"/>
          </w:tcPr>
          <w:p>
            <w:r/>
            <w:r>
              <w:rPr>
                <w:rFonts w:ascii="Calibri" w:hAnsi="Calibri"/>
                <w:b w:val="0"/>
                <w:i w:val="0"/>
                <w:sz w:val="20"/>
              </w:rPr>
              <w:t>Disclaimer scope, QCBS threshold (65% vs 70%), Sub-contracting restriction, Waiver clause, Technical presentation subjectivity, No price escalation, Data protection obligations</w:t>
            </w:r>
          </w:p>
        </w:tc>
      </w:tr>
    </w:tbl>
    <w:p/>
    <w:p>
      <w:r>
        <w:br w:type="page"/>
      </w:r>
    </w:p>
    <w:p>
      <w:pPr>
        <w:pStyle w:val="Heading1"/>
        <w:jc w:val="left"/>
      </w:pPr>
      <w:r>
        <w:rPr>
          <w:rFonts w:ascii="Calibri" w:hAnsi="Calibri"/>
          <w:color w:val="1F497D"/>
        </w:rPr>
        <w:t>1. Document Integrity &amp; Completeness — CRITICAL</w:t>
      </w:r>
    </w:p>
    <w:p>
      <w:pPr>
        <w:spacing w:after="80"/>
      </w:pPr>
      <w:r>
        <w:rPr>
          <w:rFonts w:ascii="Calibri" w:hAnsi="Calibri"/>
          <w:b w:val="0"/>
          <w:i w:val="0"/>
          <w:sz w:val="21"/>
        </w:rPr>
        <w:t>Multiple critical placeholders remain unfilled in the current FSSAI RFP, rendering it legally deficient as an official procurement document.</w:t>
      </w:r>
    </w:p>
    <w:p>
      <w:pPr>
        <w:pStyle w:val="Heading2"/>
        <w:jc w:val="left"/>
      </w:pPr>
      <w:r>
        <w:rPr>
          <w:rFonts w:ascii="Calibri" w:hAnsi="Calibri"/>
          <w:color w:val="C00000"/>
        </w:rPr>
        <w:t>1.1  Official Email Address</w:t>
      </w:r>
    </w:p>
    <w:p>
      <w:pPr>
        <w:spacing w:after="80"/>
        <w:ind w:left="170"/>
      </w:pPr>
      <w:r>
        <w:rPr>
          <w:rFonts w:ascii="Calibri" w:hAnsi="Calibri"/>
          <w:b/>
          <w:i w:val="0"/>
          <w:color w:val="C00000"/>
          <w:sz w:val="20"/>
        </w:rPr>
        <w:t xml:space="preserve">Current Issue: </w:t>
      </w:r>
      <w:r>
        <w:rPr>
          <w:rFonts w:ascii="Calibri" w:hAnsi="Calibri"/>
          <w:b w:val="0"/>
          <w:i w:val="0"/>
          <w:sz w:val="20"/>
        </w:rPr>
        <w:t>Clause 3 directs bidders to submit pre-bid queries to "abc@gmail.com" — a personal Gmail address. Use of a non-official email domain in a statutory body's RFP is a serious procedural error. It creates a chain of custody problem for official government communications, may not comply with Ministry of Electronics and Information Technology (MeitY) guidelines on government email, and exposes FSSAI to challenges on bid integrity.</w:t>
      </w:r>
    </w:p>
    <w:p>
      <w:pPr>
        <w:spacing w:after="80"/>
        <w:ind w:left="170"/>
      </w:pPr>
      <w:r>
        <w:rPr>
          <w:rFonts w:ascii="Calibri" w:hAnsi="Calibri"/>
          <w:b/>
          <w:i w:val="0"/>
          <w:color w:val="007000"/>
          <w:sz w:val="20"/>
        </w:rPr>
        <w:t xml:space="preserve">Recommended Improvement: </w:t>
      </w:r>
      <w:r>
        <w:rPr>
          <w:rFonts w:ascii="Calibri" w:hAnsi="Calibri"/>
          <w:b w:val="0"/>
          <w:i w:val="0"/>
          <w:sz w:val="20"/>
        </w:rPr>
        <w:t>Replace with an official FSSAI institutional email (e.g., ddga@fssai.gov.in or a designated tender/procurement email on the fssai.gov.in domain). All official RFP communications must use government-assigned email IDs in accordance with NIC email policy.</w:t>
      </w:r>
    </w:p>
    <w:p>
      <w:pPr>
        <w:spacing w:after="120"/>
        <w:ind w:left="170"/>
      </w:pPr>
      <w:r>
        <w:rPr>
          <w:rFonts w:ascii="Calibri" w:hAnsi="Calibri"/>
          <w:b/>
          <w:i w:val="0"/>
          <w:color w:val="4472C4"/>
          <w:sz w:val="20"/>
        </w:rPr>
        <w:t xml:space="preserve">Benchmark Reference: </w:t>
      </w:r>
      <w:r>
        <w:rPr>
          <w:rFonts w:ascii="Calibri" w:hAnsi="Calibri"/>
          <w:b w:val="0"/>
          <w:i/>
          <w:sz w:val="20"/>
        </w:rPr>
        <w:t>RLDA used official portal-based communication (tenderwizard.com/RLDA). AAI used etenders.gov.in portal queries. NCPCR used GeM portal queries exclusively.</w:t>
      </w:r>
    </w:p>
    <w:p>
      <w:pPr>
        <w:pStyle w:val="Heading2"/>
        <w:jc w:val="left"/>
      </w:pPr>
      <w:r>
        <w:rPr>
          <w:rFonts w:ascii="Calibri" w:hAnsi="Calibri"/>
          <w:color w:val="C00000"/>
        </w:rPr>
        <w:t>1.2  Blank Bid Processing Fee</w:t>
      </w:r>
    </w:p>
    <w:p>
      <w:pPr>
        <w:spacing w:after="80"/>
        <w:ind w:left="170"/>
      </w:pPr>
      <w:r>
        <w:rPr>
          <w:rFonts w:ascii="Calibri" w:hAnsi="Calibri"/>
          <w:b/>
          <w:i w:val="0"/>
          <w:color w:val="C00000"/>
          <w:sz w:val="20"/>
        </w:rPr>
        <w:t xml:space="preserve">Current Issue: </w:t>
      </w:r>
      <w:r>
        <w:rPr>
          <w:rFonts w:ascii="Calibri" w:hAnsi="Calibri"/>
          <w:b w:val="0"/>
          <w:i w:val="0"/>
          <w:sz w:val="20"/>
        </w:rPr>
        <w:t>Clause 7 states the bid document cost as "Rs. Xxxx/-" — the fee amount has not been determined. Similarly, the Financial Proposal date in Annexure E is "xxx". Publishing an RFP with unfilled financial fields creates ambiguity and provides grounds for legal challenge by any bidder who incurs costs in preparation.</w:t>
      </w:r>
    </w:p>
    <w:p>
      <w:pPr>
        <w:spacing w:after="80"/>
        <w:ind w:left="170"/>
      </w:pPr>
      <w:r>
        <w:rPr>
          <w:rFonts w:ascii="Calibri" w:hAnsi="Calibri"/>
          <w:b/>
          <w:i w:val="0"/>
          <w:color w:val="007000"/>
          <w:sz w:val="20"/>
        </w:rPr>
        <w:t xml:space="preserve">Recommended Improvement: </w:t>
      </w:r>
      <w:r>
        <w:rPr>
          <w:rFonts w:ascii="Calibri" w:hAnsi="Calibri"/>
          <w:b w:val="0"/>
          <w:i w:val="0"/>
          <w:sz w:val="20"/>
        </w:rPr>
        <w:t>Fix the bid document fee before publication. Based on engagement complexity and comparable RFPs, an appropriate range is Rs. 10,000–25,000 + GST. The financial proposal date must be the actual RFP publication date. All "xxx" placeholders must be resolved prior to issuance.</w:t>
      </w:r>
    </w:p>
    <w:p>
      <w:pPr>
        <w:spacing w:after="120"/>
        <w:ind w:left="170"/>
      </w:pPr>
      <w:r>
        <w:rPr>
          <w:rFonts w:ascii="Calibri" w:hAnsi="Calibri"/>
          <w:b/>
          <w:i w:val="0"/>
          <w:color w:val="4472C4"/>
          <w:sz w:val="20"/>
        </w:rPr>
        <w:t xml:space="preserve">Benchmark Reference: </w:t>
      </w:r>
      <w:r>
        <w:rPr>
          <w:rFonts w:ascii="Calibri" w:hAnsi="Calibri"/>
          <w:b w:val="0"/>
          <w:i/>
          <w:sz w:val="20"/>
        </w:rPr>
        <w:t>RLDA: Bid document fee Rs. 11,200 (incl. GST @12%). NCPCR: Referenced GeM portal for fee processing. All four benchmark RFPs had no blank/placeholder fields at issuance.</w:t>
      </w:r>
    </w:p>
    <w:p>
      <w:pPr>
        <w:pStyle w:val="Heading2"/>
        <w:jc w:val="left"/>
      </w:pPr>
      <w:r>
        <w:rPr>
          <w:rFonts w:ascii="Calibri" w:hAnsi="Calibri"/>
          <w:color w:val="C00000"/>
        </w:rPr>
        <w:t>1.3  Conflict of Interest Form References Undefined Clauses</w:t>
      </w:r>
    </w:p>
    <w:p>
      <w:pPr>
        <w:spacing w:after="80"/>
        <w:ind w:left="170"/>
      </w:pPr>
      <w:r>
        <w:rPr>
          <w:rFonts w:ascii="Calibri" w:hAnsi="Calibri"/>
          <w:b/>
          <w:i w:val="0"/>
          <w:color w:val="C00000"/>
          <w:sz w:val="20"/>
        </w:rPr>
        <w:t xml:space="preserve">Current Issue: </w:t>
      </w:r>
      <w:r>
        <w:rPr>
          <w:rFonts w:ascii="Calibri" w:hAnsi="Calibri"/>
          <w:b w:val="0"/>
          <w:i w:val="0"/>
          <w:sz w:val="20"/>
        </w:rPr>
        <w:t>Annexure D (Conflict of Interest Declaration) reads: "conflicting activities as mentioned in xxx" — the clause reference is blank. This renders the COI declaration legally void — a bidder cannot certify compliance with an undefined standard. This is a fundamental drafting deficiency that would not survive judicial scrutiny.</w:t>
      </w:r>
    </w:p>
    <w:p>
      <w:pPr>
        <w:spacing w:after="80"/>
        <w:ind w:left="170"/>
      </w:pPr>
      <w:r>
        <w:rPr>
          <w:rFonts w:ascii="Calibri" w:hAnsi="Calibri"/>
          <w:b/>
          <w:i w:val="0"/>
          <w:color w:val="007000"/>
          <w:sz w:val="20"/>
        </w:rPr>
        <w:t xml:space="preserve">Recommended Improvement: </w:t>
      </w:r>
      <w:r>
        <w:rPr>
          <w:rFonts w:ascii="Calibri" w:hAnsi="Calibri"/>
          <w:b w:val="0"/>
          <w:i w:val="0"/>
          <w:sz w:val="20"/>
        </w:rPr>
        <w:t>Define Conflict of Interest specifically with at least three categories: (a) Conflicting Activities — downstream work arising from this engagement, (b) Conflicting Assignments — simultaneous work for competitors/regulated entities, (c) Conflicting Relationships — family/business ties with FSSAI staff. Reference the specific clause number in Annexure D.</w:t>
      </w:r>
    </w:p>
    <w:p>
      <w:pPr>
        <w:spacing w:after="120"/>
        <w:ind w:left="170"/>
      </w:pPr>
      <w:r>
        <w:rPr>
          <w:rFonts w:ascii="Calibri" w:hAnsi="Calibri"/>
          <w:b/>
          <w:i w:val="0"/>
          <w:color w:val="4472C4"/>
          <w:sz w:val="20"/>
        </w:rPr>
        <w:t xml:space="preserve">Benchmark Reference: </w:t>
      </w:r>
      <w:r>
        <w:rPr>
          <w:rFonts w:ascii="Calibri" w:hAnsi="Calibri"/>
          <w:b w:val="0"/>
          <w:i/>
          <w:sz w:val="20"/>
        </w:rPr>
        <w:t>NCPCR has the most detailed three-tier COI framework (Clauses 4.1-4.4). AAI embeds COI in the formal Agreement (Schedule-2) making it contractually binding post-award.</w:t>
      </w:r>
    </w:p>
    <w:p>
      <w:pPr>
        <w:pStyle w:val="Heading2"/>
        <w:jc w:val="left"/>
      </w:pPr>
      <w:r>
        <w:rPr>
          <w:rFonts w:ascii="Calibri" w:hAnsi="Calibri"/>
          <w:color w:val="C00000"/>
        </w:rPr>
        <w:t>1.4  Dates Inconsistency</w:t>
      </w:r>
    </w:p>
    <w:p>
      <w:pPr>
        <w:spacing w:after="80"/>
        <w:ind w:left="170"/>
      </w:pPr>
      <w:r>
        <w:rPr>
          <w:rFonts w:ascii="Calibri" w:hAnsi="Calibri"/>
          <w:b/>
          <w:i w:val="0"/>
          <w:color w:val="C00000"/>
          <w:sz w:val="20"/>
        </w:rPr>
        <w:t xml:space="preserve">Current Issue: </w:t>
      </w:r>
      <w:r>
        <w:rPr>
          <w:rFonts w:ascii="Calibri" w:hAnsi="Calibri"/>
          <w:b w:val="0"/>
          <w:i w:val="0"/>
          <w:sz w:val="20"/>
        </w:rPr>
        <w:t>The RFP states: Bid document available until 2 April 2026 (Clause 7), but the pre-bid meeting is scheduled for 6 April 2026 (Clause 3). Bidders are thus required to obtain and review the RFP before the pre-bid meeting, but the pre-bid meeting occurs after the document availability deadline — a logical and procedural inconsistency. Additionally, the pre-bid format submission deadline is 5 April 2026, but document availability ends 2 April 2026, suggesting very tight timelines.</w:t>
      </w:r>
    </w:p>
    <w:p>
      <w:pPr>
        <w:spacing w:after="80"/>
        <w:ind w:left="170"/>
      </w:pPr>
      <w:r>
        <w:rPr>
          <w:rFonts w:ascii="Calibri" w:hAnsi="Calibri"/>
          <w:b/>
          <w:i w:val="0"/>
          <w:color w:val="007000"/>
          <w:sz w:val="20"/>
        </w:rPr>
        <w:t xml:space="preserve">Recommended Improvement: </w:t>
      </w:r>
      <w:r>
        <w:rPr>
          <w:rFonts w:ascii="Calibri" w:hAnsi="Calibri"/>
          <w:b w:val="0"/>
          <w:i w:val="0"/>
          <w:sz w:val="20"/>
        </w:rPr>
        <w:t>Revise the critical date sheet to ensure: (1) Document download period ends at least 2-3 days after the pre-bid meeting; (2) Pre-bid query submission deadline is before the pre-bid meeting; (3) Bid submission deadline is at least 15-21 days after the pre-bid meeting to incorporate clarifications. Publish a formal Critical Date Sheet (as AAI does) listing all key dates in one consolidated table.</w:t>
      </w:r>
    </w:p>
    <w:p>
      <w:pPr>
        <w:spacing w:after="120"/>
        <w:ind w:left="170"/>
      </w:pPr>
      <w:r>
        <w:rPr>
          <w:rFonts w:ascii="Calibri" w:hAnsi="Calibri"/>
          <w:b/>
          <w:i w:val="0"/>
          <w:color w:val="4472C4"/>
          <w:sz w:val="20"/>
        </w:rPr>
        <w:t xml:space="preserve">Benchmark Reference: </w:t>
      </w:r>
      <w:r>
        <w:rPr>
          <w:rFonts w:ascii="Calibri" w:hAnsi="Calibri"/>
          <w:b w:val="0"/>
          <w:i/>
          <w:sz w:val="20"/>
        </w:rPr>
        <w:t>AAI published a formal Critical Date Sheet with 8 events including publishing date, clarification period, pre-bid meeting, and PDD. RLDA included all key dates in the cover page table with specific times (IST).</w:t>
      </w:r>
    </w:p>
    <w:p>
      <w:r>
        <w:br w:type="page"/>
      </w:r>
    </w:p>
    <w:p>
      <w:pPr>
        <w:pStyle w:val="Heading1"/>
        <w:jc w:val="left"/>
      </w:pPr>
      <w:r>
        <w:rPr>
          <w:rFonts w:ascii="Calibri" w:hAnsi="Calibri"/>
          <w:color w:val="1F497D"/>
        </w:rPr>
        <w:t>2. Eligibility Criteria — HIGH</w:t>
      </w:r>
    </w:p>
    <w:p>
      <w:pPr>
        <w:pStyle w:val="Heading2"/>
        <w:jc w:val="left"/>
      </w:pPr>
      <w:r>
        <w:rPr>
          <w:rFonts w:ascii="Calibri" w:hAnsi="Calibri"/>
          <w:color w:val="C00000"/>
        </w:rPr>
        <w:t>2.1  "Present in 15+ Countries" Requirement</w:t>
      </w:r>
    </w:p>
    <w:p>
      <w:pPr>
        <w:spacing w:after="80"/>
        <w:ind w:left="170"/>
      </w:pPr>
      <w:r>
        <w:rPr>
          <w:rFonts w:ascii="Calibri" w:hAnsi="Calibri"/>
          <w:b/>
          <w:i w:val="0"/>
          <w:color w:val="C00000"/>
          <w:sz w:val="20"/>
        </w:rPr>
        <w:t xml:space="preserve">Current Issue: </w:t>
      </w:r>
      <w:r>
        <w:rPr>
          <w:rFonts w:ascii="Calibri" w:hAnsi="Calibri"/>
          <w:b w:val="0"/>
          <w:i w:val="0"/>
          <w:sz w:val="20"/>
        </w:rPr>
        <w:t>Eligibility requires the bidder to "be present in at least 15 countries" (Clause 4, S.No.1). This is highly restrictive and in direct tension with the Government's Make in India / Atmanirbhar Bharat policy and Public Procurement (Preference to Make in India) Order, 2017. It effectively limits participation to the top 5-6 global management consulting firms, eliminating Indian-origin consultancies entirely. There is no rational nexus between "presence in 15 countries" and the ability to advise a domestic food safety regulator on Indian regulatory frameworks.</w:t>
      </w:r>
    </w:p>
    <w:p>
      <w:pPr>
        <w:spacing w:after="80"/>
        <w:ind w:left="170"/>
      </w:pPr>
      <w:r>
        <w:rPr>
          <w:rFonts w:ascii="Calibri" w:hAnsi="Calibri"/>
          <w:b/>
          <w:i w:val="0"/>
          <w:color w:val="007000"/>
          <w:sz w:val="20"/>
        </w:rPr>
        <w:t xml:space="preserve">Recommended Improvement: </w:t>
      </w:r>
      <w:r>
        <w:rPr>
          <w:rFonts w:ascii="Calibri" w:hAnsi="Calibri"/>
          <w:b w:val="0"/>
          <w:i w:val="0"/>
          <w:sz w:val="20"/>
        </w:rPr>
        <w:t>Replace geographic presence requirement with a merit-based international experience criterion, such as: "Bidder must have completed at least 2 international regulatory advisory assignments for government bodies OR at least 5 assignments for Indian central/state government regulatory bodies." This tests actual competence rather than geographic footprint, complies with procurement policy, and widens the competitive pool.</w:t>
      </w:r>
    </w:p>
    <w:p>
      <w:pPr>
        <w:spacing w:after="120"/>
        <w:ind w:left="170"/>
      </w:pPr>
      <w:r>
        <w:rPr>
          <w:rFonts w:ascii="Calibri" w:hAnsi="Calibri"/>
          <w:b/>
          <w:i w:val="0"/>
          <w:color w:val="4472C4"/>
          <w:sz w:val="20"/>
        </w:rPr>
        <w:t xml:space="preserve">Benchmark Reference: </w:t>
      </w:r>
      <w:r>
        <w:rPr>
          <w:rFonts w:ascii="Calibri" w:hAnsi="Calibri"/>
          <w:b w:val="0"/>
          <w:i/>
          <w:sz w:val="20"/>
        </w:rPr>
        <w:t>RLDA explicitly bars foreign companies for contracts up to Rs. 200 Crore (MoF Letter dated 28.05.2020). HAL restricts to India-registered agencies only. Neither uses geographic presence as a proxy for quality.</w:t>
      </w:r>
    </w:p>
    <w:p>
      <w:pPr>
        <w:pStyle w:val="Heading2"/>
        <w:jc w:val="left"/>
      </w:pPr>
      <w:r>
        <w:rPr>
          <w:rFonts w:ascii="Calibri" w:hAnsi="Calibri"/>
          <w:color w:val="C00000"/>
        </w:rPr>
        <w:t>2.2  IIT/IIM/ISB Educational Qualification Restriction</w:t>
      </w:r>
    </w:p>
    <w:p>
      <w:pPr>
        <w:spacing w:after="80"/>
        <w:ind w:left="170"/>
      </w:pPr>
      <w:r>
        <w:rPr>
          <w:rFonts w:ascii="Calibri" w:hAnsi="Calibri"/>
          <w:b/>
          <w:i w:val="0"/>
          <w:color w:val="C00000"/>
          <w:sz w:val="20"/>
        </w:rPr>
        <w:t xml:space="preserve">Current Issue: </w:t>
      </w:r>
      <w:r>
        <w:rPr>
          <w:rFonts w:ascii="Calibri" w:hAnsi="Calibri"/>
          <w:b w:val="0"/>
          <w:i w:val="0"/>
          <w:sz w:val="20"/>
        </w:rPr>
        <w:t>"Minimum 80% of all on-roll consultants in India should be from premier IITs/IIMs/ISB" (Clause 4, S.No.4). This criterion is constitutionally vulnerable — it discriminates against graduates of other reputed institutions (XLRI, FMS, IIFT, NLUs, premier engineering colleges) without any demonstrated nexus to consultancy quality. It may be challenged as violative of Article 14 (equality) and Article 16 (non-discrimination). The Supreme Court has consistently held that eligibility criteria must be rational and non-arbitrary (Ramana Dayaram Shetty v. International Airport Authority, 1979).</w:t>
      </w:r>
    </w:p>
    <w:p>
      <w:pPr>
        <w:spacing w:after="80"/>
        <w:ind w:left="170"/>
      </w:pPr>
      <w:r>
        <w:rPr>
          <w:rFonts w:ascii="Calibri" w:hAnsi="Calibri"/>
          <w:b/>
          <w:i w:val="0"/>
          <w:color w:val="007000"/>
          <w:sz w:val="20"/>
        </w:rPr>
        <w:t xml:space="preserve">Recommended Improvement: </w:t>
      </w:r>
      <w:r>
        <w:rPr>
          <w:rFonts w:ascii="Calibri" w:hAnsi="Calibri"/>
          <w:b w:val="0"/>
          <w:i w:val="0"/>
          <w:sz w:val="20"/>
        </w:rPr>
        <w:t>Replace with outcome-based qualification criteria: "The proposed team must include a minimum of 4 domain experts with post-graduate qualifications in relevant fields (management, public policy, food science, law, or public health) with at least 8 years of relevant experience." Assess quality through the evaluation matrix, not institutional pedigree.</w:t>
      </w:r>
    </w:p>
    <w:p>
      <w:pPr>
        <w:spacing w:after="120"/>
        <w:ind w:left="170"/>
      </w:pPr>
      <w:r>
        <w:rPr>
          <w:rFonts w:ascii="Calibri" w:hAnsi="Calibri"/>
          <w:b/>
          <w:i w:val="0"/>
          <w:color w:val="4472C4"/>
          <w:sz w:val="20"/>
        </w:rPr>
        <w:t xml:space="preserve">Benchmark Reference: </w:t>
      </w:r>
      <w:r>
        <w:rPr>
          <w:rFonts w:ascii="Calibri" w:hAnsi="Calibri"/>
          <w:b w:val="0"/>
          <w:i/>
          <w:sz w:val="20"/>
        </w:rPr>
        <w:t>NCPCR, HAL, and AAI all evaluate personnel through CV-based scoring (experience years, projects handled) without specifying educational institutions. AAI uses 50% credentials + 50% presentation interaction for expert evaluation.</w:t>
      </w:r>
    </w:p>
    <w:p>
      <w:pPr>
        <w:pStyle w:val="Heading2"/>
        <w:jc w:val="left"/>
      </w:pPr>
      <w:r>
        <w:rPr>
          <w:rFonts w:ascii="Calibri" w:hAnsi="Calibri"/>
          <w:color w:val="C00000"/>
        </w:rPr>
        <w:t>2.3  Minimum 50 On-roll Consultants</w:t>
      </w:r>
    </w:p>
    <w:p>
      <w:pPr>
        <w:spacing w:after="80"/>
        <w:ind w:left="170"/>
      </w:pPr>
      <w:r>
        <w:rPr>
          <w:rFonts w:ascii="Calibri" w:hAnsi="Calibri"/>
          <w:b/>
          <w:i w:val="0"/>
          <w:color w:val="C00000"/>
          <w:sz w:val="20"/>
        </w:rPr>
        <w:t xml:space="preserve">Current Issue: </w:t>
      </w:r>
      <w:r>
        <w:rPr>
          <w:rFonts w:ascii="Calibri" w:hAnsi="Calibri"/>
          <w:b w:val="0"/>
          <w:i w:val="0"/>
          <w:sz w:val="20"/>
        </w:rPr>
        <w:t>Requiring a minimum of 50 on-roll consulting resources (Clause 4, S.No.4) as an eligibility condition may be disproportionate for a 6-month Phase 1 engagement. This criterion effectively excludes boutique specialist firms that may have deep food safety or regulatory expertise. Under Competition Act, 2002, eligibility conditions that create market barriers without functional justification are scrutinizable.</w:t>
      </w:r>
    </w:p>
    <w:p>
      <w:pPr>
        <w:spacing w:after="80"/>
        <w:ind w:left="170"/>
      </w:pPr>
      <w:r>
        <w:rPr>
          <w:rFonts w:ascii="Calibri" w:hAnsi="Calibri"/>
          <w:b/>
          <w:i w:val="0"/>
          <w:color w:val="007000"/>
          <w:sz w:val="20"/>
        </w:rPr>
        <w:t xml:space="preserve">Recommended Improvement: </w:t>
      </w:r>
      <w:r>
        <w:rPr>
          <w:rFonts w:ascii="Calibri" w:hAnsi="Calibri"/>
          <w:b w:val="0"/>
          <w:i w:val="0"/>
          <w:sz w:val="20"/>
        </w:rPr>
        <w:t>Remove the blanket 50-resource requirement. Instead, specify the minimum team size for this specific assignment (e.g., "Minimum team of 6 dedicated resources for Phase 1, including 1 Project Director, 1 Project Manager, and 4 domain experts"). This follows the HAL model (specifying required roles) and NCPCR model (specifying minimum team of 6 members for Phase 2).</w:t>
      </w:r>
    </w:p>
    <w:p>
      <w:pPr>
        <w:spacing w:after="120"/>
        <w:ind w:left="170"/>
      </w:pPr>
      <w:r>
        <w:rPr>
          <w:rFonts w:ascii="Calibri" w:hAnsi="Calibri"/>
          <w:b/>
          <w:i w:val="0"/>
          <w:color w:val="4472C4"/>
          <w:sz w:val="20"/>
        </w:rPr>
        <w:t xml:space="preserve">Benchmark Reference: </w:t>
      </w:r>
      <w:r>
        <w:rPr>
          <w:rFonts w:ascii="Calibri" w:hAnsi="Calibri"/>
          <w:b w:val="0"/>
          <w:i/>
          <w:sz w:val="20"/>
        </w:rPr>
        <w:t>HAL specified exact team composition: 1 Project Director, 1 Project Leader, 1 Defence Industry Expert, 4 Sub-team leads, plus support staff. NCPCR required minimum team of 6 for Phase 2 with 100% dedicated Project Manager.</w:t>
      </w:r>
    </w:p>
    <w:p>
      <w:pPr>
        <w:pStyle w:val="Heading2"/>
        <w:jc w:val="left"/>
      </w:pPr>
      <w:r>
        <w:rPr>
          <w:rFonts w:ascii="Calibri" w:hAnsi="Calibri"/>
          <w:color w:val="C00000"/>
        </w:rPr>
        <w:t>2.4  Revenue Threshold of Rs. 100 Crores</w:t>
      </w:r>
    </w:p>
    <w:p>
      <w:pPr>
        <w:spacing w:after="80"/>
        <w:ind w:left="170"/>
      </w:pPr>
      <w:r>
        <w:rPr>
          <w:rFonts w:ascii="Calibri" w:hAnsi="Calibri"/>
          <w:b/>
          <w:i w:val="0"/>
          <w:color w:val="C00000"/>
          <w:sz w:val="20"/>
        </w:rPr>
        <w:t xml:space="preserve">Current Issue: </w:t>
      </w:r>
      <w:r>
        <w:rPr>
          <w:rFonts w:ascii="Calibri" w:hAnsi="Calibri"/>
          <w:b w:val="0"/>
          <w:i w:val="0"/>
          <w:sz w:val="20"/>
        </w:rPr>
        <w:t>"Average revenues greater than INR 100 Crores for the preceding 3 financial years" (Clause 4, S.No.2) is a very high bar. For context, this eliminates most specialist regulatory advisory firms and public policy think-tanks that may have the most relevant expertise. The quantum bears no stated relationship to the estimated contract value (which is not even disclosed in the RFP).</w:t>
      </w:r>
    </w:p>
    <w:p>
      <w:pPr>
        <w:spacing w:after="80"/>
        <w:ind w:left="170"/>
      </w:pPr>
      <w:r>
        <w:rPr>
          <w:rFonts w:ascii="Calibri" w:hAnsi="Calibri"/>
          <w:b/>
          <w:i w:val="0"/>
          <w:color w:val="007000"/>
          <w:sz w:val="20"/>
        </w:rPr>
        <w:t xml:space="preserve">Recommended Improvement: </w:t>
      </w:r>
      <w:r>
        <w:rPr>
          <w:rFonts w:ascii="Calibri" w:hAnsi="Calibri"/>
          <w:b w:val="0"/>
          <w:i w:val="0"/>
          <w:sz w:val="20"/>
        </w:rPr>
        <w:t>Disclose the estimated contract value in the RFP (transparency obligation under GFR 2017). Set the revenue threshold as a multiple of contract value (standard practice: 2-3x annual contract value). Alternatively, allow firms to demonstrate financial capacity through a combination of turnover AND net worth. Also consider allowing consortium bids to aggregate financial capacity (as NCPCR permits consortium arrangements).</w:t>
      </w:r>
    </w:p>
    <w:p>
      <w:pPr>
        <w:spacing w:after="120"/>
        <w:ind w:left="170"/>
      </w:pPr>
      <w:r>
        <w:rPr>
          <w:rFonts w:ascii="Calibri" w:hAnsi="Calibri"/>
          <w:b/>
          <w:i w:val="0"/>
          <w:color w:val="4472C4"/>
          <w:sz w:val="20"/>
        </w:rPr>
        <w:t xml:space="preserve">Benchmark Reference: </w:t>
      </w:r>
      <w:r>
        <w:rPr>
          <w:rFonts w:ascii="Calibri" w:hAnsi="Calibri"/>
          <w:b w:val="0"/>
          <w:i/>
          <w:sz w:val="20"/>
        </w:rPr>
        <w:t>AAI required financial capacity demonstration through Form 5 (Financial Capacity of Applicant) without specifying a fixed crore threshold — allowing evaluation committee to assess adequacy. NCPCR did not disqualify small firms through revenue thresholds.</w:t>
      </w:r>
    </w:p>
    <w:p>
      <w:r>
        <w:br w:type="page"/>
      </w:r>
    </w:p>
    <w:p>
      <w:pPr>
        <w:pStyle w:val="Heading1"/>
        <w:jc w:val="left"/>
      </w:pPr>
      <w:r>
        <w:rPr>
          <w:rFonts w:ascii="Calibri" w:hAnsi="Calibri"/>
          <w:color w:val="1F497D"/>
        </w:rPr>
        <w:t>3. Bid Security / Earnest Money Deposit — HIGH</w:t>
      </w:r>
    </w:p>
    <w:p>
      <w:pPr>
        <w:spacing w:after="80"/>
        <w:ind w:left="170"/>
      </w:pPr>
      <w:r>
        <w:rPr>
          <w:rFonts w:ascii="Calibri" w:hAnsi="Calibri"/>
          <w:b/>
          <w:i w:val="0"/>
          <w:color w:val="C00000"/>
          <w:sz w:val="20"/>
        </w:rPr>
        <w:t xml:space="preserve">Current Issue: </w:t>
      </w:r>
      <w:r>
        <w:rPr>
          <w:rFonts w:ascii="Calibri" w:hAnsi="Calibri"/>
          <w:b w:val="0"/>
          <w:i w:val="0"/>
          <w:sz w:val="20"/>
        </w:rPr>
        <w:t>Clause 8 requires EMD of Rs. 10,00,000 in the form of Bank Draft/Bankers Cheque delivered physically to FSSAI office. However, Clause 9 mandates submission of the entire proposal through the GeM portal. This is a direct procedural contradiction — a bidder cannot submit a physical Bank Draft through an online portal. This ambiguity renders the bid submission process legally defective and may expose FSSAI to challenges if any bidder is rejected for non-compliance with a physically impossible requirement.</w:t>
      </w:r>
    </w:p>
    <w:p>
      <w:pPr>
        <w:spacing w:after="80"/>
        <w:ind w:left="170"/>
      </w:pPr>
      <w:r>
        <w:rPr>
          <w:rFonts w:ascii="Calibri" w:hAnsi="Calibri"/>
          <w:b/>
          <w:i w:val="0"/>
          <w:color w:val="007000"/>
          <w:sz w:val="20"/>
        </w:rPr>
        <w:t xml:space="preserve">Recommended Improvement: </w:t>
      </w:r>
      <w:r>
        <w:rPr>
          <w:rFonts w:ascii="Calibri" w:hAnsi="Calibri"/>
          <w:b w:val="0"/>
          <w:i w:val="0"/>
          <w:sz w:val="20"/>
        </w:rPr>
        <w:t>Adopt one of the following compliant approaches:</w:t>
        <w:br/>
        <w:t>(a) PREFERRED — Bid Security Declaration: Adopt the Bid Security Declaration (in lieu of cash EMD) as used by HAL and AAI, aligned with the Finance Ministry circular (February 2020) which encouraged this route. The declaration can be uploaded on GeM portal. This eliminates the physical submission contradiction entirely.</w:t>
        <w:br/>
        <w:t>(b) ALTERNATIVE — If cash EMD is retained: Integrate EMD payment into the GeM portal payment gateway and reference the GeM payment receipt number in the bid. The current Rs. 10L EMD is also disproportionately high for a consultancy RFP — NCPCR charged Rs. 1L for a comparable engagement. Recommend reducing to Rs. 2-3L or adopting the declaration route.</w:t>
      </w:r>
    </w:p>
    <w:p>
      <w:pPr>
        <w:spacing w:after="120"/>
        <w:ind w:left="170"/>
      </w:pPr>
      <w:r>
        <w:rPr>
          <w:rFonts w:ascii="Calibri" w:hAnsi="Calibri"/>
          <w:b/>
          <w:i w:val="0"/>
          <w:color w:val="4472C4"/>
          <w:sz w:val="20"/>
        </w:rPr>
        <w:t xml:space="preserve">Benchmark Reference: </w:t>
      </w:r>
      <w:r>
        <w:rPr>
          <w:rFonts w:ascii="Calibri" w:hAnsi="Calibri"/>
          <w:b w:val="0"/>
          <w:i/>
          <w:sz w:val="20"/>
        </w:rPr>
        <w:t>HAL (Form-7): Bid Security Declaration Certificate replacing cash EMD. AAI (Form-10): Bid Security Declaration in lieu of EMD — both uploaded digitally. NCPCR: Cash EMD Rs. 1L submitted physically (noted as a legacy practice weakness in our previous analysis).</w:t>
      </w:r>
    </w:p>
    <w:p>
      <w:r>
        <w:br w:type="page"/>
      </w:r>
    </w:p>
    <w:p>
      <w:pPr>
        <w:pStyle w:val="Heading1"/>
        <w:jc w:val="left"/>
      </w:pPr>
      <w:r>
        <w:rPr>
          <w:rFonts w:ascii="Calibri" w:hAnsi="Calibri"/>
          <w:color w:val="1F497D"/>
        </w:rPr>
        <w:t>4. Performance Security — HIGH</w:t>
      </w:r>
    </w:p>
    <w:p>
      <w:pPr>
        <w:spacing w:after="80"/>
        <w:ind w:left="170"/>
      </w:pPr>
      <w:r>
        <w:rPr>
          <w:rFonts w:ascii="Calibri" w:hAnsi="Calibri"/>
          <w:b/>
          <w:i w:val="0"/>
          <w:color w:val="C00000"/>
          <w:sz w:val="20"/>
        </w:rPr>
        <w:t xml:space="preserve">Current Issue: </w:t>
      </w:r>
      <w:r>
        <w:rPr>
          <w:rFonts w:ascii="Calibri" w:hAnsi="Calibri"/>
          <w:b w:val="0"/>
          <w:i w:val="0"/>
          <w:sz w:val="20"/>
        </w:rPr>
        <w:t>Clause 23 requires the consulting firm to furnish performance security of only Rs. 50,000/- (Fifty Thousand Rupees). This is disproportionately low for an engagement that involves access to sensitive regulatory data, strategic planning for a statutory body, and a multi-phase engagement potentially extending to 18 months. Additionally: (a) The performance security form is not included — "the prescribed form which shall be shared by FSSAI later on" creates uncertainty; (b) The clause refers to "empanelment" rather than contract award/LOA — creating ambiguity about the operative trigger event.</w:t>
      </w:r>
    </w:p>
    <w:p>
      <w:pPr>
        <w:spacing w:after="80"/>
        <w:ind w:left="170"/>
      </w:pPr>
      <w:r>
        <w:rPr>
          <w:rFonts w:ascii="Calibri" w:hAnsi="Calibri"/>
          <w:b/>
          <w:i w:val="0"/>
          <w:color w:val="007000"/>
          <w:sz w:val="20"/>
        </w:rPr>
        <w:t xml:space="preserve">Recommended Improvement: </w:t>
      </w:r>
      <w:r>
        <w:rPr>
          <w:rFonts w:ascii="Calibri" w:hAnsi="Calibri"/>
          <w:b w:val="0"/>
          <w:i w:val="0"/>
          <w:sz w:val="20"/>
        </w:rPr>
        <w:t>(a) Revise PG amount to 5% of the contract value (aligned with NCPCR standard) or minimum Rs. 5,00,000 — whichever is higher.</w:t>
        <w:br/>
        <w:t>(b) Include the Performance Security bank guarantee format as an annex to the RFP itself (as RLDA Annex-6 and AAI Annex-5 of Schedule-2 do).</w:t>
        <w:br/>
        <w:t>(c) Replace "empanelment" language with "award of contract" or "issuance of Letter of Award (LOA)" throughout the document for legal precision.</w:t>
        <w:br/>
        <w:t>(d) Specify that the BG must be from a scheduled commercial bank in India, unconditional and irrevocable, payable on first demand — aligning with RLDA/AAI language.</w:t>
        <w:br/>
        <w:t>(e) Include renewal obligation for extended engagements (Phase 2 and beyond).</w:t>
      </w:r>
    </w:p>
    <w:p>
      <w:pPr>
        <w:spacing w:after="120"/>
        <w:ind w:left="170"/>
      </w:pPr>
      <w:r>
        <w:rPr>
          <w:rFonts w:ascii="Calibri" w:hAnsi="Calibri"/>
          <w:b/>
          <w:i w:val="0"/>
          <w:color w:val="4472C4"/>
          <w:sz w:val="20"/>
        </w:rPr>
        <w:t xml:space="preserve">Benchmark Reference: </w:t>
      </w:r>
      <w:r>
        <w:rPr>
          <w:rFonts w:ascii="Calibri" w:hAnsi="Calibri"/>
          <w:b w:val="0"/>
          <w:i/>
          <w:sz w:val="20"/>
        </w:rPr>
        <w:t>NCPCR: 5% of agreement value, unconditional BG, 60-day claim period beyond completion. AAI: BG format provided as Annex-5 with "first demand without deductions, set-off or counter claim" language. Both renew BG for extended periods.</w:t>
      </w:r>
    </w:p>
    <w:p>
      <w:r>
        <w:br w:type="page"/>
      </w:r>
    </w:p>
    <w:p>
      <w:pPr>
        <w:pStyle w:val="Heading1"/>
        <w:jc w:val="left"/>
      </w:pPr>
      <w:r>
        <w:rPr>
          <w:rFonts w:ascii="Calibri" w:hAnsi="Calibri"/>
          <w:color w:val="1F497D"/>
        </w:rPr>
        <w:t>5. Intellectual Property Rights (IPR) — CRITICAL (Missing Clause)</w:t>
      </w:r>
    </w:p>
    <w:p>
      <w:pPr>
        <w:spacing w:after="80"/>
        <w:ind w:left="170"/>
      </w:pPr>
      <w:r>
        <w:rPr>
          <w:rFonts w:ascii="Calibri" w:hAnsi="Calibri"/>
          <w:b/>
          <w:i w:val="0"/>
          <w:color w:val="C00000"/>
          <w:sz w:val="20"/>
        </w:rPr>
        <w:t xml:space="preserve">Current Issue: </w:t>
      </w:r>
      <w:r>
        <w:rPr>
          <w:rFonts w:ascii="Calibri" w:hAnsi="Calibri"/>
          <w:b w:val="0"/>
          <w:i w:val="0"/>
          <w:sz w:val="20"/>
        </w:rPr>
        <w:t>The FSSAI RFP contains NO intellectual property rights clause. This is a critical omission. Given the scope of work — strategic transformation roadmap, diagnostic reports, benchmarking studies, stakeholder surveys, communication strategies, KPI frameworks, PMO toolkits — the consulting firm will produce substantial intellectual work product. Without an explicit IPR clause: (a) Ownership of deliverables is legally ambiguous; (b) The consultant could claim proprietary rights over methodologies, models, and frameworks; (c) FSSAI cannot freely share outputs with state governments, ministries, or international agencies; (d) Third-party IP infringement risk is not managed.</w:t>
      </w:r>
    </w:p>
    <w:p>
      <w:pPr>
        <w:spacing w:after="80"/>
        <w:ind w:left="170"/>
      </w:pPr>
      <w:r>
        <w:rPr>
          <w:rFonts w:ascii="Calibri" w:hAnsi="Calibri"/>
          <w:b/>
          <w:i w:val="0"/>
          <w:color w:val="007000"/>
          <w:sz w:val="20"/>
        </w:rPr>
        <w:t xml:space="preserve">Recommended Improvement: </w:t>
      </w:r>
      <w:r>
        <w:rPr>
          <w:rFonts w:ascii="Calibri" w:hAnsi="Calibri"/>
          <w:b w:val="0"/>
          <w:i w:val="0"/>
          <w:sz w:val="20"/>
        </w:rPr>
        <w:t>Add a dedicated Intellectual Property Rights clause with the following provisions:</w:t>
        <w:br/>
        <w:t>"(a) All reports, presentations, analyses, data, surveys, frameworks, toolkits, and other work products (collectively Deliverables) prepared by the Consultant in performance of the Services shall become and remain the exclusive property of FSSAI, and all intellectual property rights therein shall vest absolutely with FSSAI.</w:t>
        <w:br/>
        <w:t>(b) Any Deliverable in which intellectual property rights do not vest by operation of law shall automatically stand assigned to FSSAI upon creation, without further act.</w:t>
        <w:br/>
        <w:t>(c) The Consultant warrants that the Services and Deliverables shall not infringe any third-party intellectual property rights and shall indemnify FSSAI against any such claims.</w:t>
        <w:br/>
        <w:t>(d) The Consultant may retain one copy of Deliverables for internal records only, and shall not publish, present, or use any Deliverable externally without prior written approval of FSSAI.</w:t>
        <w:br/>
        <w:t>(e) Pre-existing proprietary tools/methodologies of the Consultant used during the engagement shall be disclosed upfront; FSSAI shall receive a perpetual license to use outputs derived therefrom."</w:t>
      </w:r>
    </w:p>
    <w:p>
      <w:pPr>
        <w:spacing w:after="120"/>
        <w:ind w:left="170"/>
      </w:pPr>
      <w:r>
        <w:rPr>
          <w:rFonts w:ascii="Calibri" w:hAnsi="Calibri"/>
          <w:b/>
          <w:i w:val="0"/>
          <w:color w:val="4472C4"/>
          <w:sz w:val="20"/>
        </w:rPr>
        <w:t xml:space="preserve">Benchmark Reference: </w:t>
      </w:r>
      <w:r>
        <w:rPr>
          <w:rFonts w:ascii="Calibri" w:hAnsi="Calibri"/>
          <w:b w:val="0"/>
          <w:i/>
          <w:sz w:val="20"/>
        </w:rPr>
        <w:t>RLDA Clause 11: Complete IP vesting + third-party indemnity. AAI Clause 3.8: Automatic assignment on creation + indemnification + no external use without prior approval (most comprehensive). HAL Clause 8.2: Sole property of HAL and DDP.</w:t>
      </w:r>
    </w:p>
    <w:p>
      <w:r>
        <w:br w:type="page"/>
      </w:r>
    </w:p>
    <w:p>
      <w:pPr>
        <w:pStyle w:val="Heading1"/>
        <w:jc w:val="left"/>
      </w:pPr>
      <w:r>
        <w:rPr>
          <w:rFonts w:ascii="Calibri" w:hAnsi="Calibri"/>
          <w:color w:val="1F497D"/>
        </w:rPr>
        <w:t>6. Confidentiality &amp; Data Protection — MEDIUM/HIGH</w:t>
      </w:r>
    </w:p>
    <w:p>
      <w:pPr>
        <w:spacing w:after="80"/>
        <w:ind w:left="170"/>
      </w:pPr>
      <w:r>
        <w:rPr>
          <w:rFonts w:ascii="Calibri" w:hAnsi="Calibri"/>
          <w:b/>
          <w:i w:val="0"/>
          <w:color w:val="C00000"/>
          <w:sz w:val="20"/>
        </w:rPr>
        <w:t xml:space="preserve">Current Issue: </w:t>
      </w:r>
      <w:r>
        <w:rPr>
          <w:rFonts w:ascii="Calibri" w:hAnsi="Calibri"/>
          <w:b w:val="0"/>
          <w:i w:val="0"/>
          <w:sz w:val="20"/>
        </w:rPr>
        <w:t>Confidentiality is addressed only obliquely: Clause 22(g) says the firm "shall maintain absolute secrecy and confidentiality about the work." Clause 22(d) says the firm "shall be required to sign Non-Disclosure Agreement" — but the NDA itself is not attached as an annex. There is no: (a) definition of Confidential Information; (b) specified duration of confidentiality obligation; (c) exceptions to confidentiality (e.g., legally required disclosures); (d) data security requirements despite FSSAI's access to sensitive regulatory data on food businesses, laboratory results, and enforcement records; (e) survival clause post-termination.</w:t>
      </w:r>
    </w:p>
    <w:p>
      <w:pPr>
        <w:spacing w:after="80"/>
        <w:ind w:left="170"/>
      </w:pPr>
      <w:r>
        <w:rPr>
          <w:rFonts w:ascii="Calibri" w:hAnsi="Calibri"/>
          <w:b/>
          <w:i w:val="0"/>
          <w:color w:val="007000"/>
          <w:sz w:val="20"/>
        </w:rPr>
        <w:t xml:space="preserve">Recommended Improvement: </w:t>
      </w:r>
      <w:r>
        <w:rPr>
          <w:rFonts w:ascii="Calibri" w:hAnsi="Calibri"/>
          <w:b w:val="0"/>
          <w:i w:val="0"/>
          <w:sz w:val="20"/>
        </w:rPr>
        <w:t>(a) Include the NDA as an annexure to the RFP (or reference a specific NDA format).</w:t>
        <w:br/>
        <w:t>(b) Define Confidential Information to include: FSSAI internal data, regulatory records, personnel information, unpublished policies, stakeholder interview outputs, survey data.</w:t>
        <w:br/>
        <w:t>(c) Specify a minimum confidentiality period: "Obligations of confidentiality shall survive the termination or expiry of this Agreement for a period of 5 years."</w:t>
        <w:br/>
        <w:t>(d) Add data security requirements: mandatory use of encrypted channels for data transfer, prohibition on storing FSSAI data on personal/non-secure devices, mandatory deletion of FSSAI data upon engagement completion.</w:t>
        <w:br/>
        <w:t>(e) Given FSSAI's role under FSS Act 2006, add a specific clause on compliance with the Digital Personal Data Protection Act, 2023 for any personal data processed during the engagement.</w:t>
      </w:r>
    </w:p>
    <w:p>
      <w:pPr>
        <w:spacing w:after="120"/>
        <w:ind w:left="170"/>
      </w:pPr>
      <w:r>
        <w:rPr>
          <w:rFonts w:ascii="Calibri" w:hAnsi="Calibri"/>
          <w:b/>
          <w:i w:val="0"/>
          <w:color w:val="4472C4"/>
          <w:sz w:val="20"/>
        </w:rPr>
        <w:t xml:space="preserve">Benchmark Reference: </w:t>
      </w:r>
      <w:r>
        <w:rPr>
          <w:rFonts w:ascii="Calibri" w:hAnsi="Calibri"/>
          <w:b w:val="0"/>
          <w:i/>
          <w:sz w:val="20"/>
        </w:rPr>
        <w:t>AAI Clause 3.3: Confidentiality survives termination. RLDA: Defines Confidential Information in Agreement. NCPCR Clause 16: Only covers evaluation stage — identified as a weakness in our earlier analysis.</w:t>
      </w:r>
    </w:p>
    <w:p>
      <w:r>
        <w:br w:type="page"/>
      </w:r>
    </w:p>
    <w:p>
      <w:pPr>
        <w:pStyle w:val="Heading1"/>
        <w:jc w:val="left"/>
      </w:pPr>
      <w:r>
        <w:rPr>
          <w:rFonts w:ascii="Calibri" w:hAnsi="Calibri"/>
          <w:color w:val="1F497D"/>
        </w:rPr>
        <w:t>7. Arbitration &amp; Dispute Resolution — CRITICAL</w:t>
      </w:r>
    </w:p>
    <w:p>
      <w:pPr>
        <w:spacing w:after="80"/>
        <w:ind w:left="170"/>
      </w:pPr>
      <w:r>
        <w:rPr>
          <w:rFonts w:ascii="Calibri" w:hAnsi="Calibri"/>
          <w:b/>
          <w:i w:val="0"/>
          <w:color w:val="C00000"/>
          <w:sz w:val="20"/>
        </w:rPr>
        <w:t xml:space="preserve">Current Issue: </w:t>
      </w:r>
      <w:r>
        <w:rPr>
          <w:rFonts w:ascii="Calibri" w:hAnsi="Calibri"/>
          <w:b w:val="0"/>
          <w:i w:val="0"/>
          <w:sz w:val="20"/>
        </w:rPr>
        <w:t>Clause 18 states: "such dispute... shall be referred to the arbitration of the person appointed by the competent authority of FSSAI." This provision is legally deficient on multiple grounds:</w:t>
        <w:br/>
        <w:t>(a) INDEPENDENCE: The arbitrator is unilaterally appointed by FSSAI — the very party to the dispute. This violates the foundational principle of arbitral independence under Section 12 of the Arbitration and Conciliation Act, 1996 (as amended 2015). The Supreme Court in TRF Ltd. v. Energo Engineering (2017) struck down clauses giving one party unilateral power to appoint the arbitrator.</w:t>
        <w:br/>
        <w:t>(b) NO AMICABLE SETTLEMENT STEP: No pre-arbitration negotiation or mediation step.</w:t>
        <w:br/>
        <w:t>(c) NO APPOINTMENT TIMELINE: No timeline for arbitrator appointment creates delay risk.</w:t>
        <w:br/>
        <w:t>(d) OVERLAP WITH CLAUSE 20: Clause 20 gives exclusive jurisdiction to Delhi courts, creating potential confusion between arbitration and court proceedings.</w:t>
      </w:r>
    </w:p>
    <w:p>
      <w:pPr>
        <w:spacing w:after="80"/>
        <w:ind w:left="170"/>
      </w:pPr>
      <w:r>
        <w:rPr>
          <w:rFonts w:ascii="Calibri" w:hAnsi="Calibri"/>
          <w:b/>
          <w:i w:val="0"/>
          <w:color w:val="007000"/>
          <w:sz w:val="20"/>
        </w:rPr>
        <w:t xml:space="preserve">Recommended Improvement: </w:t>
      </w:r>
      <w:r>
        <w:rPr>
          <w:rFonts w:ascii="Calibri" w:hAnsi="Calibri"/>
          <w:b w:val="0"/>
          <w:i w:val="0"/>
          <w:sz w:val="20"/>
        </w:rPr>
        <w:t>Replace Clause 18 with a two-step dispute resolution framework:</w:t>
        <w:br/>
        <w:t>"18.1 Amicable Settlement: The Parties shall first attempt to resolve any dispute amicably through mutual negotiations within 30 days of written notice by either Party.</w:t>
        <w:br/>
        <w:t>18.2 Arbitration: If the dispute is not resolved within 30 days, either Party may refer it to arbitration. The arbitration shall be conducted by a Sole Arbitrator mutually agreed upon by the Parties. In the event of failure to agree within 15 days, the arbitrator shall be appointed by the Chief Justice of the Delhi High Court in accordance with the Arbitration and Conciliation Act, 1996.</w:t>
        <w:br/>
        <w:t>18.3 The arbitration award shall be reasoned, final, and binding. Seat of arbitration: New Delhi. Language: English.</w:t>
        <w:br/>
        <w:t>18.4 Pending arbitration, this Agreement shall remain in full force and effect."</w:t>
        <w:br/>
        <w:t>Clause 20 (exclusive court jurisdiction) should be limited to enforcement of arbitral awards and non-arbitrable matters only.</w:t>
      </w:r>
    </w:p>
    <w:p>
      <w:pPr>
        <w:spacing w:after="120"/>
        <w:ind w:left="170"/>
      </w:pPr>
      <w:r>
        <w:rPr>
          <w:rFonts w:ascii="Calibri" w:hAnsi="Calibri"/>
          <w:b/>
          <w:i w:val="0"/>
          <w:color w:val="4472C4"/>
          <w:sz w:val="20"/>
        </w:rPr>
        <w:t xml:space="preserve">Benchmark Reference: </w:t>
      </w:r>
      <w:r>
        <w:rPr>
          <w:rFonts w:ascii="Calibri" w:hAnsi="Calibri"/>
          <w:b w:val="0"/>
          <w:i/>
          <w:sz w:val="20"/>
        </w:rPr>
        <w:t>AAI Clause 9: Full arbitration framework — amicable settlement (30 days), followed by bilateral arbitrator appointment with third arbitrator appointed by the two appointed arbitrators. Reasoned award is final and binding. Fully compliant with Arbitration Act 1996 as amended 2015/2019/2021.</w:t>
      </w:r>
    </w:p>
    <w:p>
      <w:r>
        <w:br w:type="page"/>
      </w:r>
    </w:p>
    <w:p>
      <w:pPr>
        <w:pStyle w:val="Heading1"/>
        <w:jc w:val="left"/>
      </w:pPr>
      <w:r>
        <w:rPr>
          <w:rFonts w:ascii="Calibri" w:hAnsi="Calibri"/>
          <w:color w:val="1F497D"/>
        </w:rPr>
        <w:t>8. Termination Rights — HIGH</w:t>
      </w:r>
    </w:p>
    <w:p>
      <w:pPr>
        <w:spacing w:after="80"/>
        <w:ind w:left="170"/>
      </w:pPr>
      <w:r>
        <w:rPr>
          <w:rFonts w:ascii="Calibri" w:hAnsi="Calibri"/>
          <w:b/>
          <w:i w:val="0"/>
          <w:color w:val="C00000"/>
          <w:sz w:val="20"/>
        </w:rPr>
        <w:t xml:space="preserve">Current Issue: </w:t>
      </w:r>
      <w:r>
        <w:rPr>
          <w:rFonts w:ascii="Calibri" w:hAnsi="Calibri"/>
          <w:b w:val="0"/>
          <w:i w:val="0"/>
          <w:sz w:val="20"/>
        </w:rPr>
        <w:t>Clause 26 (Disenablement/Termination) lists 7 grounds for FSSAI to terminate — all triggered by consultant default. There is no: (a) provision for the consultant to terminate the agreement; (b) notice period before termination; (c) payment for work completed prior to termination; (d) Force Majeure as a termination trigger; (e) mechanism to refer termination disputes to arbitration before acting on them. This is an entirely one-sided framework that may be challenged as unconscionable under Section 23 of the Indian Contract Act, 1872.</w:t>
      </w:r>
    </w:p>
    <w:p>
      <w:pPr>
        <w:spacing w:after="80"/>
        <w:ind w:left="170"/>
      </w:pPr>
      <w:r>
        <w:rPr>
          <w:rFonts w:ascii="Calibri" w:hAnsi="Calibri"/>
          <w:b/>
          <w:i w:val="0"/>
          <w:color w:val="007000"/>
          <w:sz w:val="20"/>
        </w:rPr>
        <w:t xml:space="preserve">Recommended Improvement: </w:t>
      </w:r>
      <w:r>
        <w:rPr>
          <w:rFonts w:ascii="Calibri" w:hAnsi="Calibri"/>
          <w:b w:val="0"/>
          <w:i w:val="0"/>
          <w:sz w:val="20"/>
        </w:rPr>
        <w:t>Add bilateral termination provisions:</w:t>
        <w:br/>
        <w:t>"26A. Termination by FSSAI: FSSAI may terminate this Agreement by giving 30 days' written notice to the Consultant in the events listed in Clause 26, or for any reason at its sole discretion. In cases of material default under sub-clauses (a)–(g), FSSAI shall first issue a Show Cause Notice and provide 15 days for remedy before terminating.</w:t>
        <w:br/>
        <w:t>26B. Termination by Consultant: The Consultant may terminate this Agreement by giving 30 days' written notice if: (i) FSSAI fails to pay amounts due within 45 days after written demand; (ii) FSSAI is in material breach unremedied within 45 days of notice; (iii) Force Majeure persists for more than 60 days.</w:t>
        <w:br/>
        <w:t>26C. Payments on Termination: Upon termination for any reason other than Consultant default, FSSAI shall pay the Consultant for all Services satisfactorily performed up to the date of termination plus reasonable demobilization costs.</w:t>
        <w:br/>
        <w:t>26D. Dispute about Termination: Either Party may refer the question of whether termination grounds exist to arbitration within 30 days of receiving notice."</w:t>
      </w:r>
    </w:p>
    <w:p>
      <w:pPr>
        <w:spacing w:after="120"/>
        <w:ind w:left="170"/>
      </w:pPr>
      <w:r>
        <w:rPr>
          <w:rFonts w:ascii="Calibri" w:hAnsi="Calibri"/>
          <w:b/>
          <w:i w:val="0"/>
          <w:color w:val="4472C4"/>
          <w:sz w:val="20"/>
        </w:rPr>
        <w:t xml:space="preserve">Benchmark Reference: </w:t>
      </w:r>
      <w:r>
        <w:rPr>
          <w:rFonts w:ascii="Calibri" w:hAnsi="Calibri"/>
          <w:b w:val="0"/>
          <w:i/>
          <w:sz w:val="20"/>
        </w:rPr>
        <w:t>AAI Clauses 2.9.1 and 2.9.2: Most equitable bilateral framework — consultant can terminate for non-payment after 45 days overdue, material breach, or Force Majeure. Termination disputes referred to arbitration. Payment for work completed up to termination date is mandatory.</w:t>
      </w:r>
    </w:p>
    <w:p>
      <w:r>
        <w:br w:type="page"/>
      </w:r>
    </w:p>
    <w:p>
      <w:pPr>
        <w:pStyle w:val="Heading1"/>
        <w:jc w:val="left"/>
      </w:pPr>
      <w:r>
        <w:rPr>
          <w:rFonts w:ascii="Calibri" w:hAnsi="Calibri"/>
          <w:color w:val="1F497D"/>
        </w:rPr>
        <w:t>9. Payment Terms &amp; Milestones — HIGH</w:t>
      </w:r>
    </w:p>
    <w:p>
      <w:pPr>
        <w:spacing w:after="80"/>
        <w:ind w:left="170"/>
      </w:pPr>
      <w:r>
        <w:rPr>
          <w:rFonts w:ascii="Calibri" w:hAnsi="Calibri"/>
          <w:b/>
          <w:i w:val="0"/>
          <w:color w:val="C00000"/>
          <w:sz w:val="20"/>
        </w:rPr>
        <w:t xml:space="preserve">Current Issue: </w:t>
      </w:r>
      <w:r>
        <w:rPr>
          <w:rFonts w:ascii="Calibri" w:hAnsi="Calibri"/>
          <w:b w:val="0"/>
          <w:i w:val="0"/>
          <w:sz w:val="20"/>
        </w:rPr>
        <w:t>Clause 24 states payments "shall be made based on the agreed deliverables and milestones specified in the contract" — deferring the payment schedule entirely to post-award negotiations. There is no: (a) payment timeline (how many days after invoice/delivery acceptance); (b) milestone-linked payment schedule visible to bidders pre-bid; (c) late payment provision; (d) clarity on OPE — Clause 22(f) says FSSAI will "as far as possible" book travel, but Annexure F includes OPE in the lump sum financial proposal, creating a contradiction about whether OPE is separately reimbursed or included in the fee.</w:t>
      </w:r>
    </w:p>
    <w:p>
      <w:pPr>
        <w:spacing w:after="80"/>
        <w:ind w:left="170"/>
      </w:pPr>
      <w:r>
        <w:rPr>
          <w:rFonts w:ascii="Calibri" w:hAnsi="Calibri"/>
          <w:b/>
          <w:i w:val="0"/>
          <w:color w:val="007000"/>
          <w:sz w:val="20"/>
        </w:rPr>
        <w:t xml:space="preserve">Recommended Improvement: </w:t>
      </w:r>
      <w:r>
        <w:rPr>
          <w:rFonts w:ascii="Calibri" w:hAnsi="Calibri"/>
          <w:b w:val="0"/>
          <w:i w:val="0"/>
          <w:sz w:val="20"/>
        </w:rPr>
        <w:t>(a) Define a milestone-based payment schedule aligned with Phase 1 deliverables. Based on comparable RFPs, a suggested structure:</w:t>
        <w:br/>
        <w:t>- Inception Report (T+4 weeks): 10%</w:t>
        <w:br/>
        <w:t>- Diagnostic Assessment Report (T+10 weeks): 20%</w:t>
        <w:br/>
        <w:t>- Benchmarking Report (T+16 weeks): 20%</w:t>
        <w:br/>
        <w:t>- Stakeholder Consultation Report (T+20 weeks): 15%</w:t>
        <w:br/>
        <w:t>- Draft Strategic Roadmap (T+24 weeks): 25%</w:t>
        <w:br/>
        <w:t>- Final Strategic Roadmap (T+26 weeks/Phase 1 completion): 10%</w:t>
        <w:br/>
        <w:t>(b) Specify payment processing timeline: "Payments shall be processed within 30 days of receipt of invoice accompanied by approved deliverable acceptance note."</w:t>
        <w:br/>
        <w:t>(c) Clarify OPE: Either (i) include OPE in lump-sum fee (as Annexure F implies) with no separate reimbursement; OR (ii) specify OPE as separately reimbursable against actuals per approved government travel norms. The current hybrid approach creates ambiguity.</w:t>
        <w:br/>
        <w:t>(d) Add a late payment provision: interest at SBI base rate + 2% on overdue amounts beyond 45 days.</w:t>
      </w:r>
    </w:p>
    <w:p>
      <w:pPr>
        <w:spacing w:after="120"/>
        <w:ind w:left="170"/>
      </w:pPr>
      <w:r>
        <w:rPr>
          <w:rFonts w:ascii="Calibri" w:hAnsi="Calibri"/>
          <w:b/>
          <w:i w:val="0"/>
          <w:color w:val="4472C4"/>
          <w:sz w:val="20"/>
        </w:rPr>
        <w:t xml:space="preserve">Benchmark Reference: </w:t>
      </w:r>
      <w:r>
        <w:rPr>
          <w:rFonts w:ascii="Calibri" w:hAnsi="Calibri"/>
          <w:b w:val="0"/>
          <w:i/>
          <w:sz w:val="20"/>
        </w:rPr>
        <w:t>HAL: 5-phase milestone payments (5%→5%→10%→30%→30%). 30-day payment lead time. Payment requires dual-signed completion report. AAI: 10-deliverable schedule over 58 weeks. 30-day payment window. Overpayment recovery within 1 year. NCPCR: Bidder bears all OPE (explicitly stated) — noted as a weakness; FSSAI should clarify its position explicitly.</w:t>
      </w:r>
    </w:p>
    <w:p>
      <w:r>
        <w:br w:type="page"/>
      </w:r>
    </w:p>
    <w:p>
      <w:pPr>
        <w:pStyle w:val="Heading1"/>
        <w:jc w:val="left"/>
      </w:pPr>
      <w:r>
        <w:rPr>
          <w:rFonts w:ascii="Calibri" w:hAnsi="Calibri"/>
          <w:color w:val="1F497D"/>
        </w:rPr>
        <w:t>10. Force Majeure — CRITICAL (Missing Clause)</w:t>
      </w:r>
    </w:p>
    <w:p>
      <w:pPr>
        <w:spacing w:after="80"/>
        <w:ind w:left="170"/>
      </w:pPr>
      <w:r>
        <w:rPr>
          <w:rFonts w:ascii="Calibri" w:hAnsi="Calibri"/>
          <w:b/>
          <w:i w:val="0"/>
          <w:color w:val="C00000"/>
          <w:sz w:val="20"/>
        </w:rPr>
        <w:t xml:space="preserve">Current Issue: </w:t>
      </w:r>
      <w:r>
        <w:rPr>
          <w:rFonts w:ascii="Calibri" w:hAnsi="Calibri"/>
          <w:b w:val="0"/>
          <w:i w:val="0"/>
          <w:sz w:val="20"/>
        </w:rPr>
        <w:t>The FSSAI RFP contains no Force Majeure clause. This is a significant omission for a 6–18 month multi-phase engagement. Without a Force Majeure provision: (a) Neither party has a defined remedy for unforeseeable events (natural disasters, pandemics, civil unrest, government orders) that prevent performance; (b) The consultant has no contractual basis to seek time extension or payment suspension during such events; (c) Clause 26 lists "failure to provide deliverables" as a termination ground without a Force Majeure carve-out — meaning FSSAI could technically terminate even if non-performance is due to an event entirely outside the consultant's control.</w:t>
      </w:r>
    </w:p>
    <w:p>
      <w:pPr>
        <w:spacing w:after="80"/>
        <w:ind w:left="170"/>
      </w:pPr>
      <w:r>
        <w:rPr>
          <w:rFonts w:ascii="Calibri" w:hAnsi="Calibri"/>
          <w:b/>
          <w:i w:val="0"/>
          <w:color w:val="007000"/>
          <w:sz w:val="20"/>
        </w:rPr>
        <w:t xml:space="preserve">Recommended Improvement: </w:t>
      </w:r>
      <w:r>
        <w:rPr>
          <w:rFonts w:ascii="Calibri" w:hAnsi="Calibri"/>
          <w:b w:val="0"/>
          <w:i w:val="0"/>
          <w:sz w:val="20"/>
        </w:rPr>
        <w:t>Add a Force Majeure clause:</w:t>
        <w:br/>
        <w:t>"Force Majeure means any event or circumstance or combination of events or circumstances that materially and adversely affects the ability of a Party to perform its obligations under this Agreement, which is beyond the reasonable control of the affected Party, and which could not have been prevented by the exercise of reasonable diligence, including: acts of God; natural disasters; pandemic/epidemic declared by competent authority; war; civil unrest; government orders; strikes (other than by Consultant's own employees); but excluding financial distress or inability to pay.</w:t>
        <w:br/>
        <w:t>Upon occurrence of Force Majeure: (a) The affected Party shall notify the other within 7 days; (b) Performance obligations shall be suspended for the duration; (c) If Force Majeure persists for more than 60 days, either Party may terminate with 30 days' notice; (d) The Consultant shall be paid for Services completed prior to the Force Majeure event."</w:t>
      </w:r>
    </w:p>
    <w:p>
      <w:pPr>
        <w:spacing w:after="120"/>
        <w:ind w:left="170"/>
      </w:pPr>
      <w:r>
        <w:rPr>
          <w:rFonts w:ascii="Calibri" w:hAnsi="Calibri"/>
          <w:b/>
          <w:i w:val="0"/>
          <w:color w:val="4472C4"/>
          <w:sz w:val="20"/>
        </w:rPr>
        <w:t xml:space="preserve">Benchmark Reference: </w:t>
      </w:r>
      <w:r>
        <w:rPr>
          <w:rFonts w:ascii="Calibri" w:hAnsi="Calibri"/>
          <w:b w:val="0"/>
          <w:i/>
          <w:sz w:val="20"/>
        </w:rPr>
        <w:t>RLDA: Force Majeure explicitly defined, financial distress excluded. AAI: 60-day Force Majeure threshold triggers termination right for both parties. All four benchmark RFPs include Force Majeure provisions — this is a standard requirement for all Central Government contracts.</w:t>
      </w:r>
    </w:p>
    <w:p>
      <w:r>
        <w:br w:type="page"/>
      </w:r>
    </w:p>
    <w:p>
      <w:pPr>
        <w:pStyle w:val="Heading1"/>
        <w:jc w:val="left"/>
      </w:pPr>
      <w:r>
        <w:rPr>
          <w:rFonts w:ascii="Calibri" w:hAnsi="Calibri"/>
          <w:color w:val="1F497D"/>
        </w:rPr>
        <w:t>11. Evaluation Criteria &amp; QCBS — MEDIUM</w:t>
      </w:r>
    </w:p>
    <w:p>
      <w:pPr>
        <w:pStyle w:val="Heading2"/>
        <w:jc w:val="left"/>
      </w:pPr>
      <w:r>
        <w:rPr>
          <w:rFonts w:ascii="Calibri" w:hAnsi="Calibri"/>
          <w:color w:val="C00000"/>
        </w:rPr>
        <w:t>11.1  Technical Threshold (65% vs 70%)</w:t>
      </w:r>
    </w:p>
    <w:p>
      <w:pPr>
        <w:spacing w:after="80"/>
        <w:ind w:left="170"/>
      </w:pPr>
      <w:r>
        <w:rPr>
          <w:rFonts w:ascii="Calibri" w:hAnsi="Calibri"/>
          <w:b/>
          <w:i w:val="0"/>
          <w:color w:val="C00000"/>
          <w:sz w:val="20"/>
        </w:rPr>
        <w:t xml:space="preserve">Current Issue: </w:t>
      </w:r>
      <w:r>
        <w:rPr>
          <w:rFonts w:ascii="Calibri" w:hAnsi="Calibri"/>
          <w:b w:val="0"/>
          <w:i w:val="0"/>
          <w:sz w:val="20"/>
        </w:rPr>
        <w:t>FSSAI sets the minimum technical qualification threshold at 65 out of 100 (Clause 10). The benchmark RFPs (AAI and HAL) use 70/100 as the minimum threshold. A lower threshold reduces the quality bar and may result in engagement of a less-capable consultant for a strategically critical assignment.</w:t>
      </w:r>
    </w:p>
    <w:p>
      <w:pPr>
        <w:spacing w:after="80"/>
        <w:ind w:left="170"/>
      </w:pPr>
      <w:r>
        <w:rPr>
          <w:rFonts w:ascii="Calibri" w:hAnsi="Calibri"/>
          <w:b/>
          <w:i w:val="0"/>
          <w:color w:val="007000"/>
          <w:sz w:val="20"/>
        </w:rPr>
        <w:t xml:space="preserve">Recommended Improvement: </w:t>
      </w:r>
      <w:r>
        <w:rPr>
          <w:rFonts w:ascii="Calibri" w:hAnsi="Calibri"/>
          <w:b w:val="0"/>
          <w:i w:val="0"/>
          <w:sz w:val="20"/>
        </w:rPr>
        <w:t>Raise the technical qualification threshold to 70/100, consistent with AAI and HAL standards. Additionally, introduce per-section minimum marks (e.g., minimum 60% in the approach &amp; methodology section) to prevent bidders from passing on aggregate while scoring very low on critical parameters.</w:t>
      </w:r>
    </w:p>
    <w:p>
      <w:pPr>
        <w:spacing w:after="120"/>
        <w:ind w:left="170"/>
      </w:pPr>
      <w:r>
        <w:rPr>
          <w:rFonts w:ascii="Calibri" w:hAnsi="Calibri"/>
          <w:b/>
          <w:i w:val="0"/>
          <w:color w:val="4472C4"/>
          <w:sz w:val="20"/>
        </w:rPr>
        <w:t xml:space="preserve">Benchmark Reference: </w:t>
      </w:r>
      <w:r>
        <w:rPr>
          <w:rFonts w:ascii="Calibri" w:hAnsi="Calibri"/>
          <w:b w:val="0"/>
          <w:i/>
          <w:sz w:val="20"/>
        </w:rPr>
        <w:t>HAL: Minimum 70/100 technical score to qualify for financial evaluation. AAI: Minimum 70/100 after normalization. NCPCR: Per-parameter minimum cut-offs.</w:t>
      </w:r>
    </w:p>
    <w:p>
      <w:pPr>
        <w:pStyle w:val="Heading2"/>
        <w:jc w:val="left"/>
      </w:pPr>
      <w:r>
        <w:rPr>
          <w:rFonts w:ascii="Calibri" w:hAnsi="Calibri"/>
          <w:color w:val="C00000"/>
        </w:rPr>
        <w:t>11.2  Subjective Evaluation Parameters</w:t>
      </w:r>
    </w:p>
    <w:p>
      <w:pPr>
        <w:spacing w:after="80"/>
        <w:ind w:left="170"/>
      </w:pPr>
      <w:r>
        <w:rPr>
          <w:rFonts w:ascii="Calibri" w:hAnsi="Calibri"/>
          <w:b/>
          <w:i w:val="0"/>
          <w:color w:val="C00000"/>
          <w:sz w:val="20"/>
        </w:rPr>
        <w:t xml:space="preserve">Current Issue: </w:t>
      </w:r>
      <w:r>
        <w:rPr>
          <w:rFonts w:ascii="Calibri" w:hAnsi="Calibri"/>
          <w:b w:val="0"/>
          <w:i w:val="0"/>
          <w:sz w:val="20"/>
        </w:rPr>
        <w:t>Annexure C evaluation parameters B, C, and D (Approach &amp; Methodology — 25 marks; Credentials in food &amp; agriculture — 20 marks; Project governance plan — 10 marks) are evaluated "as judged by the FSSAI's evaluation committee" with no sub-criteria. This creates risk of subjective, inconsistent, or legally challengeable scoring.</w:t>
      </w:r>
    </w:p>
    <w:p>
      <w:pPr>
        <w:spacing w:after="80"/>
        <w:ind w:left="170"/>
      </w:pPr>
      <w:r>
        <w:rPr>
          <w:rFonts w:ascii="Calibri" w:hAnsi="Calibri"/>
          <w:b/>
          <w:i w:val="0"/>
          <w:color w:val="007000"/>
          <w:sz w:val="20"/>
        </w:rPr>
        <w:t xml:space="preserve">Recommended Improvement: </w:t>
      </w:r>
      <w:r>
        <w:rPr>
          <w:rFonts w:ascii="Calibri" w:hAnsi="Calibri"/>
          <w:b w:val="0"/>
          <w:i w:val="0"/>
          <w:sz w:val="20"/>
        </w:rPr>
        <w:t>Define specific sub-criteria for each parameter with assigned marks:</w:t>
        <w:br/>
        <w:t>For Approach &amp; Methodology (25 marks): (i) Understanding of FSSAI's context — 7 marks; (ii) Proposed methodology rigour — 10 marks; (iii) Work plan feasibility and timeline — 8 marks.</w:t>
        <w:br/>
        <w:t>For Credentials (20 marks): (i) Food safety/regulatory sector projects — 10 marks; (ii) Government transformation experience — 10 marks.</w:t>
        <w:br/>
        <w:t>For Project Governance (10 marks): (i) Risk management plan — 5 marks; (ii) Escalation and governance protocols — 5 marks.</w:t>
        <w:br/>
        <w:t>Pre-disclose all sub-criteria with the RFP to ensure natural justice.</w:t>
      </w:r>
    </w:p>
    <w:p>
      <w:pPr>
        <w:spacing w:after="120"/>
        <w:ind w:left="170"/>
      </w:pPr>
      <w:r>
        <w:rPr>
          <w:rFonts w:ascii="Calibri" w:hAnsi="Calibri"/>
          <w:b/>
          <w:i w:val="0"/>
          <w:color w:val="4472C4"/>
          <w:sz w:val="20"/>
        </w:rPr>
        <w:t xml:space="preserve">Benchmark Reference: </w:t>
      </w:r>
      <w:r>
        <w:rPr>
          <w:rFonts w:ascii="Calibri" w:hAnsi="Calibri"/>
          <w:b w:val="0"/>
          <w:i/>
          <w:sz w:val="20"/>
        </w:rPr>
        <w:t>AAI Clause 3.1: Detailed evaluation matrix with sub-criteria for each parameter including marks per criterion (e.g., Understanding of context 7.5, Execution approach 7.5, Case studies 25) — all pre-disclosed in the RFP.</w:t>
      </w:r>
    </w:p>
    <w:p>
      <w:pPr>
        <w:pStyle w:val="Heading2"/>
        <w:jc w:val="left"/>
      </w:pPr>
      <w:r>
        <w:rPr>
          <w:rFonts w:ascii="Calibri" w:hAnsi="Calibri"/>
          <w:color w:val="C00000"/>
        </w:rPr>
        <w:t>11.3  Presentation Scoring Integration</w:t>
      </w:r>
    </w:p>
    <w:p>
      <w:pPr>
        <w:spacing w:after="80"/>
        <w:ind w:left="170"/>
      </w:pPr>
      <w:r>
        <w:rPr>
          <w:rFonts w:ascii="Calibri" w:hAnsi="Calibri"/>
          <w:b/>
          <w:i w:val="0"/>
          <w:color w:val="C00000"/>
          <w:sz w:val="20"/>
        </w:rPr>
        <w:t xml:space="preserve">Current Issue: </w:t>
      </w:r>
      <w:r>
        <w:rPr>
          <w:rFonts w:ascii="Calibri" w:hAnsi="Calibri"/>
          <w:b w:val="0"/>
          <w:i w:val="0"/>
          <w:sz w:val="20"/>
        </w:rPr>
        <w:t>Clause 10 and Clause 15 refer to a technical presentation before the Apex Committee, but it is unclear: (a) whether presentation marks replace or augment written bid scores; (b) what weightage the presentation carries relative to the written bid; (c) which bidders are invited to present (all, or only shortlisted). The statement "on the basis of collective marks obtained through the bidding documents and presentation, the bidders shall be ranked" is vague and creates post-facto ambiguity.</w:t>
      </w:r>
    </w:p>
    <w:p>
      <w:pPr>
        <w:spacing w:after="80"/>
        <w:ind w:left="170"/>
      </w:pPr>
      <w:r>
        <w:rPr>
          <w:rFonts w:ascii="Calibri" w:hAnsi="Calibri"/>
          <w:b/>
          <w:i w:val="0"/>
          <w:color w:val="007000"/>
          <w:sz w:val="20"/>
        </w:rPr>
        <w:t xml:space="preserve">Recommended Improvement: </w:t>
      </w:r>
      <w:r>
        <w:rPr>
          <w:rFonts w:ascii="Calibri" w:hAnsi="Calibri"/>
          <w:b w:val="0"/>
          <w:i w:val="0"/>
          <w:sz w:val="20"/>
        </w:rPr>
        <w:t>Clearly state: (a) All technically qualified bidders (scoring ≥70/100) shall be invited for presentation; (b) Final technical score = written bid score (100 marks) normalized, with presentation marks integrated within the existing evaluation matrix (not as a separate additive component); (c) Define presentation evaluation criteria and marks distribution pre-bid; (d) Specify the constitution of the Apex Committee.</w:t>
      </w:r>
    </w:p>
    <w:p>
      <w:r>
        <w:br w:type="page"/>
      </w:r>
    </w:p>
    <w:p>
      <w:pPr>
        <w:pStyle w:val="Heading1"/>
        <w:jc w:val="left"/>
      </w:pPr>
      <w:r>
        <w:rPr>
          <w:rFonts w:ascii="Calibri" w:hAnsi="Calibri"/>
          <w:color w:val="1F497D"/>
        </w:rPr>
        <w:t>12. Phase 2 Extension Mechanism — HIGH</w:t>
      </w:r>
    </w:p>
    <w:p>
      <w:pPr>
        <w:spacing w:after="80"/>
        <w:ind w:left="170"/>
      </w:pPr>
      <w:r>
        <w:rPr>
          <w:rFonts w:ascii="Calibri" w:hAnsi="Calibri"/>
          <w:b/>
          <w:i w:val="0"/>
          <w:color w:val="C00000"/>
          <w:sz w:val="20"/>
        </w:rPr>
        <w:t xml:space="preserve">Current Issue: </w:t>
      </w:r>
      <w:r>
        <w:rPr>
          <w:rFonts w:ascii="Calibri" w:hAnsi="Calibri"/>
          <w:b w:val="0"/>
          <w:i w:val="0"/>
          <w:sz w:val="20"/>
        </w:rPr>
        <w:t>The RFP states "There may be an extension for Phase 2 and there may be a further extension (13-18 months)" — but provides no legal mechanism for this extension. There is no: (a) price/scope framework for Phase 2; (b) process for issuing a Phase 2 extension; (c) price variation/escalation for extended periods; (d) clarity on whether Phase 2 will require fresh bidding or will be awarded to the same consultant. Without a defined mechanism, FSSAI risks either: (i) sole-source award to the Phase 1 consultant without competitive bidding (which may violate procurement norms), or (ii) disruption of implementation continuity.</w:t>
      </w:r>
    </w:p>
    <w:p>
      <w:pPr>
        <w:spacing w:after="80"/>
        <w:ind w:left="170"/>
      </w:pPr>
      <w:r>
        <w:rPr>
          <w:rFonts w:ascii="Calibri" w:hAnsi="Calibri"/>
          <w:b/>
          <w:i w:val="0"/>
          <w:color w:val="007000"/>
          <w:sz w:val="20"/>
        </w:rPr>
        <w:t xml:space="preserve">Recommended Improvement: </w:t>
      </w:r>
      <w:r>
        <w:rPr>
          <w:rFonts w:ascii="Calibri" w:hAnsi="Calibri"/>
          <w:b w:val="0"/>
          <w:i w:val="0"/>
          <w:sz w:val="20"/>
        </w:rPr>
        <w:t>(a) State explicitly: "Phase 2 will be awarded to the Phase 1 consultant subject to satisfactory performance in Phase 1, upon mutual agreement on scope and price, at rates derived from the Phase 1 financial proposal, with a maximum price escalation of X% per year tied to [CPI/WPI index]. This extension mechanism is pre-disclosed and does not constitute a new procurement."</w:t>
        <w:br/>
        <w:t>(b) Alternatively: "Phase 2 will be subject to a fresh competitive process, for which the Phase 1 consultant will be eligible to bid."</w:t>
        <w:br/>
        <w:t>(c) Include a price variation clause for multi-year engagements: "Professional fees shall be subject to annual escalation at the rate of [Government approved DA/CPI index] for any engagement period beyond 12 months."</w:t>
        <w:br/>
        <w:t>(d) Define KPIs for Phase 1 completion that trigger Phase 2 eligibility.</w:t>
      </w:r>
    </w:p>
    <w:p>
      <w:pPr>
        <w:spacing w:after="120"/>
        <w:ind w:left="170"/>
      </w:pPr>
      <w:r>
        <w:rPr>
          <w:rFonts w:ascii="Calibri" w:hAnsi="Calibri"/>
          <w:b/>
          <w:i w:val="0"/>
          <w:color w:val="4472C4"/>
          <w:sz w:val="20"/>
        </w:rPr>
        <w:t xml:space="preserve">Benchmark Reference: </w:t>
      </w:r>
      <w:r>
        <w:rPr>
          <w:rFonts w:ascii="Calibri" w:hAnsi="Calibri"/>
          <w:b w:val="0"/>
          <w:i/>
          <w:sz w:val="20"/>
        </w:rPr>
        <w:t>All four benchmark RFPs define the complete scope and period upfront. None had an undefined extension mechanism. AAI's Phase II implementation was defined with specific deliverables and timelines within the original RFP. HAL specified the full 60-week engagement with phase-wise deliverables at bid stage.</w:t>
      </w:r>
    </w:p>
    <w:p>
      <w:r>
        <w:br w:type="page"/>
      </w:r>
    </w:p>
    <w:p>
      <w:pPr>
        <w:pStyle w:val="Heading1"/>
        <w:jc w:val="left"/>
      </w:pPr>
      <w:r>
        <w:rPr>
          <w:rFonts w:ascii="Calibri" w:hAnsi="Calibri"/>
          <w:color w:val="1F497D"/>
        </w:rPr>
        <w:t>13. Sub-contracting &amp; Consortium Prohibition — MEDIUM</w:t>
      </w:r>
    </w:p>
    <w:p>
      <w:pPr>
        <w:spacing w:after="80"/>
        <w:ind w:left="170"/>
      </w:pPr>
      <w:r>
        <w:rPr>
          <w:rFonts w:ascii="Calibri" w:hAnsi="Calibri"/>
          <w:b/>
          <w:i w:val="0"/>
          <w:color w:val="C00000"/>
          <w:sz w:val="20"/>
        </w:rPr>
        <w:t xml:space="preserve">Current Issue: </w:t>
      </w:r>
      <w:r>
        <w:rPr>
          <w:rFonts w:ascii="Calibri" w:hAnsi="Calibri"/>
          <w:b w:val="0"/>
          <w:i w:val="0"/>
          <w:sz w:val="20"/>
        </w:rPr>
        <w:t>Clause 4 explicitly states "Sub-contracting is not allowed" with no consortium or Joint Venture option provided. Given the multi-disciplinary nature of the scope (food safety, public health, organizational design, technology, communications, legal and regulatory), this prohibition may result in: (a) A single large generalist firm winning over specialist combinations; (b) Reduced competition and quality; (c) The selected firm actually using sub-consultants informally in violation of the letter of the clause.</w:t>
      </w:r>
    </w:p>
    <w:p>
      <w:pPr>
        <w:spacing w:after="80"/>
        <w:ind w:left="170"/>
      </w:pPr>
      <w:r>
        <w:rPr>
          <w:rFonts w:ascii="Calibri" w:hAnsi="Calibri"/>
          <w:b/>
          <w:i w:val="0"/>
          <w:color w:val="007000"/>
          <w:sz w:val="20"/>
        </w:rPr>
        <w:t xml:space="preserve">Recommended Improvement: </w:t>
      </w:r>
      <w:r>
        <w:rPr>
          <w:rFonts w:ascii="Calibri" w:hAnsi="Calibri"/>
          <w:b w:val="0"/>
          <w:i w:val="0"/>
          <w:sz w:val="20"/>
        </w:rPr>
        <w:t>Allow consortium/JV bids with the following safeguards (modelled on NCPCR's approach):</w:t>
        <w:br/>
        <w:t>"Bidders may bid as a consortium of up to 2 firms. Consortium members must sign a consortium agreement designating a Lead Member who shall bear overall responsibility. The Lead Member must individually meet financial eligibility (minimum 60% of revenue threshold) and contribute at least 60% of the work. Each member must meet all legal and integrity requirements. Only the Lead Member needs to meet the geographic presence criterion (if retained)."</w:t>
      </w:r>
    </w:p>
    <w:p>
      <w:pPr>
        <w:spacing w:after="120"/>
        <w:ind w:left="170"/>
      </w:pPr>
      <w:r>
        <w:rPr>
          <w:rFonts w:ascii="Calibri" w:hAnsi="Calibri"/>
          <w:b/>
          <w:i w:val="0"/>
          <w:color w:val="4472C4"/>
          <w:sz w:val="20"/>
        </w:rPr>
        <w:t xml:space="preserve">Benchmark Reference: </w:t>
      </w:r>
      <w:r>
        <w:rPr>
          <w:rFonts w:ascii="Calibri" w:hAnsi="Calibri"/>
          <w:b w:val="0"/>
          <w:i/>
          <w:sz w:val="20"/>
        </w:rPr>
        <w:t>NCPCR explicitly permitted consortium bids with a lead member structure. All four benchmark RFPs allowed some form of associate/consortium arrangement. None had an outright prohibition on all collaboration.</w:t>
      </w:r>
    </w:p>
    <w:p>
      <w:r>
        <w:br w:type="page"/>
      </w:r>
    </w:p>
    <w:p>
      <w:pPr>
        <w:pStyle w:val="Heading1"/>
        <w:jc w:val="left"/>
      </w:pPr>
      <w:r>
        <w:rPr>
          <w:rFonts w:ascii="Calibri" w:hAnsi="Calibri"/>
          <w:color w:val="1F497D"/>
        </w:rPr>
        <w:t>14. Disclaimer Clause — MEDIUM</w:t>
      </w:r>
    </w:p>
    <w:p>
      <w:pPr>
        <w:spacing w:after="80"/>
        <w:ind w:left="170"/>
      </w:pPr>
      <w:r>
        <w:rPr>
          <w:rFonts w:ascii="Calibri" w:hAnsi="Calibri"/>
          <w:b/>
          <w:i w:val="0"/>
          <w:color w:val="C00000"/>
          <w:sz w:val="20"/>
        </w:rPr>
        <w:t xml:space="preserve">Current Issue: </w:t>
      </w:r>
      <w:r>
        <w:rPr>
          <w:rFonts w:ascii="Calibri" w:hAnsi="Calibri"/>
          <w:b w:val="0"/>
          <w:i w:val="0"/>
          <w:sz w:val="20"/>
        </w:rPr>
        <w:t>Clause 28 (Disclaimer) reads: "FSSAI shall not be responsible or liable for any errors, omissions, or inaccuracies contained herein." This is significantly narrower than comparable RFPs and does not: (a) address liability for costs incurred by bidders in preparation and submission; (b) clarify that the RFP is not a binding offer; (c) include a waiver of claims arising from the selection process.</w:t>
      </w:r>
    </w:p>
    <w:p>
      <w:pPr>
        <w:spacing w:after="80"/>
        <w:ind w:left="170"/>
      </w:pPr>
      <w:r>
        <w:rPr>
          <w:rFonts w:ascii="Calibri" w:hAnsi="Calibri"/>
          <w:b/>
          <w:i w:val="0"/>
          <w:color w:val="007000"/>
          <w:sz w:val="20"/>
        </w:rPr>
        <w:t xml:space="preserve">Recommended Improvement: </w:t>
      </w:r>
      <w:r>
        <w:rPr>
          <w:rFonts w:ascii="Calibri" w:hAnsi="Calibri"/>
          <w:b w:val="0"/>
          <w:i w:val="0"/>
          <w:sz w:val="20"/>
        </w:rPr>
        <w:t>Expand the disclaimer to include:</w:t>
        <w:br/>
        <w:t>"(a) This RFP is not a binding offer or agreement. FSSAI does not undertake to select any Applicant or to appoint the Selected Applicant for the consultancy.</w:t>
        <w:br/>
        <w:t>(b) Applicants shall bear all costs associated with preparation, submission, and participation in the selection process. FSSAI shall not be liable for any such costs regardless of the outcome of the process.</w:t>
        <w:br/>
        <w:t>(c) FSSAI makes no representation or warranty as to the accuracy or completeness of information contained in this RFP. Applicants should conduct independent investigation.</w:t>
        <w:br/>
        <w:t>(d) Information in this RFP on statutory requirements is not an exhaustive account of law and should not be construed as legal advice."</w:t>
      </w:r>
    </w:p>
    <w:p>
      <w:pPr>
        <w:spacing w:after="120"/>
        <w:ind w:left="170"/>
      </w:pPr>
      <w:r>
        <w:rPr>
          <w:rFonts w:ascii="Calibri" w:hAnsi="Calibri"/>
          <w:b/>
          <w:i w:val="0"/>
          <w:color w:val="4472C4"/>
          <w:sz w:val="20"/>
        </w:rPr>
        <w:t xml:space="preserve">Benchmark Reference: </w:t>
      </w:r>
      <w:r>
        <w:rPr>
          <w:rFonts w:ascii="Calibri" w:hAnsi="Calibri"/>
          <w:b w:val="0"/>
          <w:i/>
          <w:sz w:val="20"/>
        </w:rPr>
        <w:t>RLDA and AAI have the most comprehensive disclaimer language including explicit waiver of all claims by applicants and prohibition of holding FSSAI/AAI liable for any decision taken in the selection process.</w:t>
      </w:r>
    </w:p>
    <w:p>
      <w:r>
        <w:br w:type="page"/>
      </w:r>
    </w:p>
    <w:p>
      <w:pPr>
        <w:pStyle w:val="Heading1"/>
        <w:jc w:val="left"/>
      </w:pPr>
      <w:r>
        <w:rPr>
          <w:rFonts w:ascii="Calibri" w:hAnsi="Calibri"/>
          <w:color w:val="1F497D"/>
        </w:rPr>
        <w:t>15. Missing Standard Clauses — Summary</w:t>
      </w:r>
    </w:p>
    <w:p>
      <w:pPr>
        <w:spacing w:after="80"/>
      </w:pPr>
      <w:r>
        <w:rPr>
          <w:rFonts w:ascii="Calibri" w:hAnsi="Calibri"/>
          <w:b w:val="0"/>
          <w:i w:val="0"/>
          <w:sz w:val="21"/>
        </w:rPr>
        <w:t>The following standard clauses present in all four benchmark RFPs are absent from the FSSAI RFP: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1F497D"/>
          </w:tcPr>
          <w:p>
            <w:r/>
            <w:r>
              <w:rPr>
                <w:rFonts w:ascii="Calibri" w:hAnsi="Calibri"/>
                <w:b/>
                <w:i w:val="0"/>
                <w:color w:val="FFFFFF"/>
                <w:sz w:val="20"/>
              </w:rPr>
              <w:t>Missing Clause</w:t>
            </w:r>
          </w:p>
        </w:tc>
        <w:tc>
          <w:tcPr>
            <w:tcW w:type="dxa" w:w="1134"/>
            <w:shd w:val="clear" w:color="auto" w:fill="1F497D"/>
          </w:tcPr>
          <w:p>
            <w:r/>
            <w:r>
              <w:rPr>
                <w:rFonts w:ascii="Calibri" w:hAnsi="Calibri"/>
                <w:b/>
                <w:i w:val="0"/>
                <w:color w:val="FFFFFF"/>
                <w:sz w:val="20"/>
              </w:rPr>
              <w:t>Severity</w:t>
            </w:r>
          </w:p>
        </w:tc>
        <w:tc>
          <w:tcPr>
            <w:tcW w:type="dxa" w:w="2268"/>
            <w:shd w:val="clear" w:color="auto" w:fill="1F497D"/>
          </w:tcPr>
          <w:p>
            <w:r/>
            <w:r>
              <w:rPr>
                <w:rFonts w:ascii="Calibri" w:hAnsi="Calibri"/>
                <w:b/>
                <w:i w:val="0"/>
                <w:color w:val="FFFFFF"/>
                <w:sz w:val="20"/>
              </w:rPr>
              <w:t>Benchmark Source</w:t>
            </w:r>
          </w:p>
        </w:tc>
        <w:tc>
          <w:tcPr>
            <w:tcW w:type="dxa" w:w="2835"/>
            <w:shd w:val="clear" w:color="auto" w:fill="1F497D"/>
          </w:tcPr>
          <w:p>
            <w:r/>
            <w:r>
              <w:rPr>
                <w:rFonts w:ascii="Calibri" w:hAnsi="Calibri"/>
                <w:b/>
                <w:i w:val="0"/>
                <w:color w:val="FFFFFF"/>
                <w:sz w:val="20"/>
              </w:rPr>
              <w:t>Recommended Action</w:t>
            </w:r>
          </w:p>
        </w:tc>
      </w:tr>
      <w:tr>
        <w:tc>
          <w:tcPr>
            <w:tcW w:type="dxa" w:w="2551"/>
            <w:shd w:val="clear" w:color="auto" w:fill="DCE6F1"/>
          </w:tcPr>
          <w:p>
            <w:r/>
            <w:r>
              <w:rPr>
                <w:rFonts w:ascii="Calibri" w:hAnsi="Calibri"/>
                <w:b w:val="0"/>
                <w:i w:val="0"/>
                <w:sz w:val="20"/>
              </w:rPr>
              <w:t>Intellectual Property Rights</w:t>
            </w:r>
          </w:p>
        </w:tc>
        <w:tc>
          <w:tcPr>
            <w:tcW w:type="dxa" w:w="1134"/>
            <w:shd w:val="clear" w:color="auto" w:fill="DCE6F1"/>
          </w:tcPr>
          <w:p>
            <w:r/>
            <w:r>
              <w:rPr>
                <w:rFonts w:ascii="Calibri" w:hAnsi="Calibri"/>
                <w:b w:val="0"/>
                <w:i w:val="0"/>
                <w:sz w:val="20"/>
              </w:rPr>
              <w:t>CRITICAL</w:t>
            </w:r>
          </w:p>
        </w:tc>
        <w:tc>
          <w:tcPr>
            <w:tcW w:type="dxa" w:w="2268"/>
            <w:shd w:val="clear" w:color="auto" w:fill="DCE6F1"/>
          </w:tcPr>
          <w:p>
            <w:r/>
            <w:r>
              <w:rPr>
                <w:rFonts w:ascii="Calibri" w:hAnsi="Calibri"/>
                <w:b w:val="0"/>
                <w:i w:val="0"/>
                <w:sz w:val="20"/>
              </w:rPr>
              <w:t>RLDA Clause 11; AAI Clause 3.8; HAL Clause 8.2</w:t>
            </w:r>
          </w:p>
        </w:tc>
        <w:tc>
          <w:tcPr>
            <w:tcW w:type="dxa" w:w="2835"/>
            <w:shd w:val="clear" w:color="auto" w:fill="DCE6F1"/>
          </w:tcPr>
          <w:p>
            <w:r/>
            <w:r>
              <w:rPr>
                <w:rFonts w:ascii="Calibri" w:hAnsi="Calibri"/>
                <w:b w:val="0"/>
                <w:i w:val="0"/>
                <w:sz w:val="20"/>
              </w:rPr>
              <w:t>Add full IPR vesting + automatic assignment + indemnity clause</w:t>
            </w:r>
          </w:p>
        </w:tc>
      </w:tr>
      <w:tr>
        <w:tc>
          <w:tcPr>
            <w:tcW w:type="dxa" w:w="2551"/>
          </w:tcPr>
          <w:p>
            <w:r/>
            <w:r>
              <w:rPr>
                <w:rFonts w:ascii="Calibri" w:hAnsi="Calibri"/>
                <w:b w:val="0"/>
                <w:i w:val="0"/>
                <w:sz w:val="20"/>
              </w:rPr>
              <w:t>Force Majeure</w:t>
            </w:r>
          </w:p>
        </w:tc>
        <w:tc>
          <w:tcPr>
            <w:tcW w:type="dxa" w:w="1134"/>
          </w:tcPr>
          <w:p>
            <w:r/>
            <w:r>
              <w:rPr>
                <w:rFonts w:ascii="Calibri" w:hAnsi="Calibri"/>
                <w:b w:val="0"/>
                <w:i w:val="0"/>
                <w:sz w:val="20"/>
              </w:rPr>
              <w:t>CRITICAL</w:t>
            </w:r>
          </w:p>
        </w:tc>
        <w:tc>
          <w:tcPr>
            <w:tcW w:type="dxa" w:w="2268"/>
          </w:tcPr>
          <w:p>
            <w:r/>
            <w:r>
              <w:rPr>
                <w:rFonts w:ascii="Calibri" w:hAnsi="Calibri"/>
                <w:b w:val="0"/>
                <w:i w:val="0"/>
                <w:sz w:val="20"/>
              </w:rPr>
              <w:t>RLDA (definition); AAI (60-day threshold); All 4 RFPs</w:t>
            </w:r>
          </w:p>
        </w:tc>
        <w:tc>
          <w:tcPr>
            <w:tcW w:type="dxa" w:w="2835"/>
          </w:tcPr>
          <w:p>
            <w:r/>
            <w:r>
              <w:rPr>
                <w:rFonts w:ascii="Calibri" w:hAnsi="Calibri"/>
                <w:b w:val="0"/>
                <w:i w:val="0"/>
                <w:sz w:val="20"/>
              </w:rPr>
              <w:t>Add FM clause with definition, notice, suspension, and termination rights</w:t>
            </w:r>
          </w:p>
        </w:tc>
      </w:tr>
      <w:tr>
        <w:tc>
          <w:tcPr>
            <w:tcW w:type="dxa" w:w="2551"/>
            <w:shd w:val="clear" w:color="auto" w:fill="DCE6F1"/>
          </w:tcPr>
          <w:p>
            <w:r/>
            <w:r>
              <w:rPr>
                <w:rFonts w:ascii="Calibri" w:hAnsi="Calibri"/>
                <w:b w:val="0"/>
                <w:i w:val="0"/>
                <w:sz w:val="20"/>
              </w:rPr>
              <w:t>Bilateral Termination Rights</w:t>
            </w:r>
          </w:p>
        </w:tc>
        <w:tc>
          <w:tcPr>
            <w:tcW w:type="dxa" w:w="1134"/>
            <w:shd w:val="clear" w:color="auto" w:fill="DCE6F1"/>
          </w:tcPr>
          <w:p>
            <w:r/>
            <w:r>
              <w:rPr>
                <w:rFonts w:ascii="Calibri" w:hAnsi="Calibri"/>
                <w:b w:val="0"/>
                <w:i w:val="0"/>
                <w:sz w:val="20"/>
              </w:rPr>
              <w:t>HIGH</w:t>
            </w:r>
          </w:p>
        </w:tc>
        <w:tc>
          <w:tcPr>
            <w:tcW w:type="dxa" w:w="2268"/>
            <w:shd w:val="clear" w:color="auto" w:fill="DCE6F1"/>
          </w:tcPr>
          <w:p>
            <w:r/>
            <w:r>
              <w:rPr>
                <w:rFonts w:ascii="Calibri" w:hAnsi="Calibri"/>
                <w:b w:val="0"/>
                <w:i w:val="0"/>
                <w:sz w:val="20"/>
              </w:rPr>
              <w:t>AAI Clauses 2.9.1 &amp; 2.9.2</w:t>
            </w:r>
          </w:p>
        </w:tc>
        <w:tc>
          <w:tcPr>
            <w:tcW w:type="dxa" w:w="2835"/>
            <w:shd w:val="clear" w:color="auto" w:fill="DCE6F1"/>
          </w:tcPr>
          <w:p>
            <w:r/>
            <w:r>
              <w:rPr>
                <w:rFonts w:ascii="Calibri" w:hAnsi="Calibri"/>
                <w:b w:val="0"/>
                <w:i w:val="0"/>
                <w:sz w:val="20"/>
              </w:rPr>
              <w:t>Add consultant's right to terminate for non-payment/material breach</w:t>
            </w:r>
          </w:p>
        </w:tc>
      </w:tr>
      <w:tr>
        <w:tc>
          <w:tcPr>
            <w:tcW w:type="dxa" w:w="2551"/>
          </w:tcPr>
          <w:p>
            <w:r/>
            <w:r>
              <w:rPr>
                <w:rFonts w:ascii="Calibri" w:hAnsi="Calibri"/>
                <w:b w:val="0"/>
                <w:i w:val="0"/>
                <w:sz w:val="20"/>
              </w:rPr>
              <w:t>Payment Timeline (30-day norm)</w:t>
            </w:r>
          </w:p>
        </w:tc>
        <w:tc>
          <w:tcPr>
            <w:tcW w:type="dxa" w:w="1134"/>
          </w:tcPr>
          <w:p>
            <w:r/>
            <w:r>
              <w:rPr>
                <w:rFonts w:ascii="Calibri" w:hAnsi="Calibri"/>
                <w:b w:val="0"/>
                <w:i w:val="0"/>
                <w:sz w:val="20"/>
              </w:rPr>
              <w:t>HIGH</w:t>
            </w:r>
          </w:p>
        </w:tc>
        <w:tc>
          <w:tcPr>
            <w:tcW w:type="dxa" w:w="2268"/>
          </w:tcPr>
          <w:p>
            <w:r/>
            <w:r>
              <w:rPr>
                <w:rFonts w:ascii="Calibri" w:hAnsi="Calibri"/>
                <w:b w:val="0"/>
                <w:i w:val="0"/>
                <w:sz w:val="20"/>
              </w:rPr>
              <w:t>HAL (30-day lead time); AAI (30-day window)</w:t>
            </w:r>
          </w:p>
        </w:tc>
        <w:tc>
          <w:tcPr>
            <w:tcW w:type="dxa" w:w="2835"/>
          </w:tcPr>
          <w:p>
            <w:r/>
            <w:r>
              <w:rPr>
                <w:rFonts w:ascii="Calibri" w:hAnsi="Calibri"/>
                <w:b w:val="0"/>
                <w:i w:val="0"/>
                <w:sz w:val="20"/>
              </w:rPr>
              <w:t>Specify 30-day payment processing from invoice + accepted deliverable</w:t>
            </w:r>
          </w:p>
        </w:tc>
      </w:tr>
      <w:tr>
        <w:tc>
          <w:tcPr>
            <w:tcW w:type="dxa" w:w="2551"/>
            <w:shd w:val="clear" w:color="auto" w:fill="DCE6F1"/>
          </w:tcPr>
          <w:p>
            <w:r/>
            <w:r>
              <w:rPr>
                <w:rFonts w:ascii="Calibri" w:hAnsi="Calibri"/>
                <w:b w:val="0"/>
                <w:i w:val="0"/>
                <w:sz w:val="20"/>
              </w:rPr>
              <w:t>Corrupt &amp; Prohibited Practices Definitions</w:t>
            </w:r>
          </w:p>
        </w:tc>
        <w:tc>
          <w:tcPr>
            <w:tcW w:type="dxa" w:w="1134"/>
            <w:shd w:val="clear" w:color="auto" w:fill="DCE6F1"/>
          </w:tcPr>
          <w:p>
            <w:r/>
            <w:r>
              <w:rPr>
                <w:rFonts w:ascii="Calibri" w:hAnsi="Calibri"/>
                <w:b w:val="0"/>
                <w:i w:val="0"/>
                <w:sz w:val="20"/>
              </w:rPr>
              <w:t>HIGH</w:t>
            </w:r>
          </w:p>
        </w:tc>
        <w:tc>
          <w:tcPr>
            <w:tcW w:type="dxa" w:w="2268"/>
            <w:shd w:val="clear" w:color="auto" w:fill="DCE6F1"/>
          </w:tcPr>
          <w:p>
            <w:r/>
            <w:r>
              <w:rPr>
                <w:rFonts w:ascii="Calibri" w:hAnsi="Calibri"/>
                <w:b w:val="0"/>
                <w:i w:val="0"/>
                <w:sz w:val="20"/>
              </w:rPr>
              <w:t>RLDA Clause 10; AAI Clause 4 — all 5 types defined</w:t>
            </w:r>
          </w:p>
        </w:tc>
        <w:tc>
          <w:tcPr>
            <w:tcW w:type="dxa" w:w="2835"/>
            <w:shd w:val="clear" w:color="auto" w:fill="DCE6F1"/>
          </w:tcPr>
          <w:p>
            <w:r/>
            <w:r>
              <w:rPr>
                <w:rFonts w:ascii="Calibri" w:hAnsi="Calibri"/>
                <w:b w:val="0"/>
                <w:i w:val="0"/>
                <w:sz w:val="20"/>
              </w:rPr>
              <w:t>Add definitions of corrupt, fraudulent, coercive, undesirable, restrictive practices</w:t>
            </w:r>
          </w:p>
        </w:tc>
      </w:tr>
      <w:tr>
        <w:tc>
          <w:tcPr>
            <w:tcW w:type="dxa" w:w="2551"/>
          </w:tcPr>
          <w:p>
            <w:r/>
            <w:r>
              <w:rPr>
                <w:rFonts w:ascii="Calibri" w:hAnsi="Calibri"/>
                <w:b w:val="0"/>
                <w:i w:val="0"/>
                <w:sz w:val="20"/>
              </w:rPr>
              <w:t>Price Variation / Escalation for Extension</w:t>
            </w:r>
          </w:p>
        </w:tc>
        <w:tc>
          <w:tcPr>
            <w:tcW w:type="dxa" w:w="1134"/>
          </w:tcPr>
          <w:p>
            <w:r/>
            <w:r>
              <w:rPr>
                <w:rFonts w:ascii="Calibri" w:hAnsi="Calibri"/>
                <w:b w:val="0"/>
                <w:i w:val="0"/>
                <w:sz w:val="20"/>
              </w:rPr>
              <w:t>MEDIUM</w:t>
            </w:r>
          </w:p>
        </w:tc>
        <w:tc>
          <w:tcPr>
            <w:tcW w:type="dxa" w:w="2268"/>
          </w:tcPr>
          <w:p>
            <w:r/>
            <w:r>
              <w:rPr>
                <w:rFonts w:ascii="Calibri" w:hAnsi="Calibri"/>
                <w:b w:val="0"/>
                <w:i w:val="0"/>
                <w:sz w:val="20"/>
              </w:rPr>
              <w:t>Standard GFR practice; absent in all 4 benchmarks too</w:t>
            </w:r>
          </w:p>
        </w:tc>
        <w:tc>
          <w:tcPr>
            <w:tcW w:type="dxa" w:w="2835"/>
          </w:tcPr>
          <w:p>
            <w:r/>
            <w:r>
              <w:rPr>
                <w:rFonts w:ascii="Calibri" w:hAnsi="Calibri"/>
                <w:b w:val="0"/>
                <w:i w:val="0"/>
                <w:sz w:val="20"/>
              </w:rPr>
              <w:t>Add annual escalation tied to government DA/CPI for multi-year extensions</w:t>
            </w:r>
          </w:p>
        </w:tc>
      </w:tr>
      <w:tr>
        <w:tc>
          <w:tcPr>
            <w:tcW w:type="dxa" w:w="2551"/>
            <w:shd w:val="clear" w:color="auto" w:fill="DCE6F1"/>
          </w:tcPr>
          <w:p>
            <w:r/>
            <w:r>
              <w:rPr>
                <w:rFonts w:ascii="Calibri" w:hAnsi="Calibri"/>
                <w:b w:val="0"/>
                <w:i w:val="0"/>
                <w:sz w:val="20"/>
              </w:rPr>
              <w:t>Power of Attorney Format</w:t>
            </w:r>
          </w:p>
        </w:tc>
        <w:tc>
          <w:tcPr>
            <w:tcW w:type="dxa" w:w="1134"/>
            <w:shd w:val="clear" w:color="auto" w:fill="DCE6F1"/>
          </w:tcPr>
          <w:p>
            <w:r/>
            <w:r>
              <w:rPr>
                <w:rFonts w:ascii="Calibri" w:hAnsi="Calibri"/>
                <w:b w:val="0"/>
                <w:i w:val="0"/>
                <w:sz w:val="20"/>
              </w:rPr>
              <w:t>MEDIUM</w:t>
            </w:r>
          </w:p>
        </w:tc>
        <w:tc>
          <w:tcPr>
            <w:tcW w:type="dxa" w:w="2268"/>
            <w:shd w:val="clear" w:color="auto" w:fill="DCE6F1"/>
          </w:tcPr>
          <w:p>
            <w:r/>
            <w:r>
              <w:rPr>
                <w:rFonts w:ascii="Calibri" w:hAnsi="Calibri"/>
                <w:b w:val="0"/>
                <w:i w:val="0"/>
                <w:sz w:val="20"/>
              </w:rPr>
              <w:t>RLDA Form-9; AAI Form 4</w:t>
            </w:r>
          </w:p>
        </w:tc>
        <w:tc>
          <w:tcPr>
            <w:tcW w:type="dxa" w:w="2835"/>
            <w:shd w:val="clear" w:color="auto" w:fill="DCE6F1"/>
          </w:tcPr>
          <w:p>
            <w:r/>
            <w:r>
              <w:rPr>
                <w:rFonts w:ascii="Calibri" w:hAnsi="Calibri"/>
                <w:b w:val="0"/>
                <w:i w:val="0"/>
                <w:sz w:val="20"/>
              </w:rPr>
              <w:t>Add PoA format as an annexure for authorized signatories</w:t>
            </w:r>
          </w:p>
        </w:tc>
      </w:tr>
      <w:tr>
        <w:tc>
          <w:tcPr>
            <w:tcW w:type="dxa" w:w="2551"/>
          </w:tcPr>
          <w:p>
            <w:r/>
            <w:r>
              <w:rPr>
                <w:rFonts w:ascii="Calibri" w:hAnsi="Calibri"/>
                <w:b w:val="0"/>
                <w:i w:val="0"/>
                <w:sz w:val="20"/>
              </w:rPr>
              <w:t>Critical Date Sheet</w:t>
            </w:r>
          </w:p>
        </w:tc>
        <w:tc>
          <w:tcPr>
            <w:tcW w:type="dxa" w:w="1134"/>
          </w:tcPr>
          <w:p>
            <w:r/>
            <w:r>
              <w:rPr>
                <w:rFonts w:ascii="Calibri" w:hAnsi="Calibri"/>
                <w:b w:val="0"/>
                <w:i w:val="0"/>
                <w:sz w:val="20"/>
              </w:rPr>
              <w:t>MEDIUM</w:t>
            </w:r>
          </w:p>
        </w:tc>
        <w:tc>
          <w:tcPr>
            <w:tcW w:type="dxa" w:w="2268"/>
          </w:tcPr>
          <w:p>
            <w:r/>
            <w:r>
              <w:rPr>
                <w:rFonts w:ascii="Calibri" w:hAnsi="Calibri"/>
                <w:b w:val="0"/>
                <w:i w:val="0"/>
                <w:sz w:val="20"/>
              </w:rPr>
              <w:t>AAI (8-event Critical Date Sheet); RLDA (cover page table)</w:t>
            </w:r>
          </w:p>
        </w:tc>
        <w:tc>
          <w:tcPr>
            <w:tcW w:type="dxa" w:w="2835"/>
          </w:tcPr>
          <w:p>
            <w:r/>
            <w:r>
              <w:rPr>
                <w:rFonts w:ascii="Calibri" w:hAnsi="Calibri"/>
                <w:b w:val="0"/>
                <w:i w:val="0"/>
                <w:sz w:val="20"/>
              </w:rPr>
              <w:t>Publish consolidated critical dates table with all key dates and times (IST)</w:t>
            </w:r>
          </w:p>
        </w:tc>
      </w:tr>
      <w:tr>
        <w:tc>
          <w:tcPr>
            <w:tcW w:type="dxa" w:w="2551"/>
            <w:shd w:val="clear" w:color="auto" w:fill="DCE6F1"/>
          </w:tcPr>
          <w:p>
            <w:r/>
            <w:r>
              <w:rPr>
                <w:rFonts w:ascii="Calibri" w:hAnsi="Calibri"/>
                <w:b w:val="0"/>
                <w:i w:val="0"/>
                <w:sz w:val="20"/>
              </w:rPr>
              <w:t>No-Debarment / Blacklisting Declaration</w:t>
            </w:r>
          </w:p>
        </w:tc>
        <w:tc>
          <w:tcPr>
            <w:tcW w:type="dxa" w:w="1134"/>
            <w:shd w:val="clear" w:color="auto" w:fill="DCE6F1"/>
          </w:tcPr>
          <w:p>
            <w:r/>
            <w:r>
              <w:rPr>
                <w:rFonts w:ascii="Calibri" w:hAnsi="Calibri"/>
                <w:b w:val="0"/>
                <w:i w:val="0"/>
                <w:sz w:val="20"/>
              </w:rPr>
              <w:t>MEDIUM</w:t>
            </w:r>
          </w:p>
        </w:tc>
        <w:tc>
          <w:tcPr>
            <w:tcW w:type="dxa" w:w="2268"/>
            <w:shd w:val="clear" w:color="auto" w:fill="DCE6F1"/>
          </w:tcPr>
          <w:p>
            <w:r/>
            <w:r>
              <w:rPr>
                <w:rFonts w:ascii="Calibri" w:hAnsi="Calibri"/>
                <w:b w:val="0"/>
                <w:i w:val="0"/>
                <w:sz w:val="20"/>
              </w:rPr>
              <w:t>HAL Form-8 (declaration of no debarment/criminal case)</w:t>
            </w:r>
          </w:p>
        </w:tc>
        <w:tc>
          <w:tcPr>
            <w:tcW w:type="dxa" w:w="2835"/>
            <w:shd w:val="clear" w:color="auto" w:fill="DCE6F1"/>
          </w:tcPr>
          <w:p>
            <w:r/>
            <w:r>
              <w:rPr>
                <w:rFonts w:ascii="Calibri" w:hAnsi="Calibri"/>
                <w:b w:val="0"/>
                <w:i w:val="0"/>
                <w:sz w:val="20"/>
              </w:rPr>
              <w:t>Add self-declaration of no debarment from government contracts</w:t>
            </w:r>
          </w:p>
        </w:tc>
      </w:tr>
      <w:tr>
        <w:tc>
          <w:tcPr>
            <w:tcW w:type="dxa" w:w="2551"/>
          </w:tcPr>
          <w:p>
            <w:r/>
            <w:r>
              <w:rPr>
                <w:rFonts w:ascii="Calibri" w:hAnsi="Calibri"/>
                <w:b w:val="0"/>
                <w:i w:val="0"/>
                <w:sz w:val="20"/>
              </w:rPr>
              <w:t>Data Protection (DPDP Act 2023)</w:t>
            </w:r>
          </w:p>
        </w:tc>
        <w:tc>
          <w:tcPr>
            <w:tcW w:type="dxa" w:w="1134"/>
          </w:tcPr>
          <w:p>
            <w:r/>
            <w:r>
              <w:rPr>
                <w:rFonts w:ascii="Calibri" w:hAnsi="Calibri"/>
                <w:b w:val="0"/>
                <w:i w:val="0"/>
                <w:sz w:val="20"/>
              </w:rPr>
              <w:t>MEDIUM</w:t>
            </w:r>
          </w:p>
        </w:tc>
        <w:tc>
          <w:tcPr>
            <w:tcW w:type="dxa" w:w="2268"/>
          </w:tcPr>
          <w:p>
            <w:r/>
            <w:r>
              <w:rPr>
                <w:rFonts w:ascii="Calibri" w:hAnsi="Calibri"/>
                <w:b w:val="0"/>
                <w:i w:val="0"/>
                <w:sz w:val="20"/>
              </w:rPr>
              <w:t>Not in benchmark RFPs — emerging requirement</w:t>
            </w:r>
          </w:p>
        </w:tc>
        <w:tc>
          <w:tcPr>
            <w:tcW w:type="dxa" w:w="2835"/>
          </w:tcPr>
          <w:p>
            <w:r/>
            <w:r>
              <w:rPr>
                <w:rFonts w:ascii="Calibri" w:hAnsi="Calibri"/>
                <w:b w:val="0"/>
                <w:i w:val="0"/>
                <w:sz w:val="20"/>
              </w:rPr>
              <w:t>Add clause on compliance with Digital Personal Data Protection Act, 2023</w:t>
            </w:r>
          </w:p>
        </w:tc>
      </w:tr>
    </w:tbl>
    <w:p/>
    <w:p>
      <w:r>
        <w:br w:type="page"/>
      </w:r>
    </w:p>
    <w:p>
      <w:pPr>
        <w:pStyle w:val="Heading1"/>
        <w:jc w:val="left"/>
      </w:pPr>
      <w:r>
        <w:rPr>
          <w:rFonts w:ascii="Calibri" w:hAnsi="Calibri"/>
          <w:color w:val="1F497D"/>
        </w:rPr>
        <w:t>16. Legal Readiness Scorecard — Current vs Recommended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1F497D"/>
          </w:tcPr>
          <w:p>
            <w:r/>
            <w:r>
              <w:rPr>
                <w:rFonts w:ascii="Calibri" w:hAnsi="Calibri"/>
                <w:b/>
                <w:i w:val="0"/>
                <w:color w:val="FFFFFF"/>
                <w:sz w:val="20"/>
              </w:rPr>
              <w:t>Legal Dimension</w:t>
            </w:r>
          </w:p>
        </w:tc>
        <w:tc>
          <w:tcPr>
            <w:tcW w:type="dxa" w:w="2268"/>
            <w:shd w:val="clear" w:color="auto" w:fill="1F497D"/>
          </w:tcPr>
          <w:p>
            <w:r/>
            <w:r>
              <w:rPr>
                <w:rFonts w:ascii="Calibri" w:hAnsi="Calibri"/>
                <w:b/>
                <w:i w:val="0"/>
                <w:color w:val="FFFFFF"/>
                <w:sz w:val="20"/>
              </w:rPr>
              <w:t>Current FSSAI RFP</w:t>
            </w:r>
          </w:p>
        </w:tc>
        <w:tc>
          <w:tcPr>
            <w:tcW w:type="dxa" w:w="2835"/>
            <w:shd w:val="clear" w:color="auto" w:fill="1F497D"/>
          </w:tcPr>
          <w:p>
            <w:r/>
            <w:r>
              <w:rPr>
                <w:rFonts w:ascii="Calibri" w:hAnsi="Calibri"/>
                <w:b/>
                <w:i w:val="0"/>
                <w:color w:val="FFFFFF"/>
                <w:sz w:val="20"/>
              </w:rPr>
              <w:t>Recommended Standard</w:t>
            </w:r>
          </w:p>
        </w:tc>
        <w:tc>
          <w:tcPr>
            <w:tcW w:type="dxa" w:w="1134"/>
            <w:shd w:val="clear" w:color="auto" w:fill="1F497D"/>
          </w:tcPr>
          <w:p>
            <w:r/>
            <w:r>
              <w:rPr>
                <w:rFonts w:ascii="Calibri" w:hAnsi="Calibri"/>
                <w:b/>
                <w:i w:val="0"/>
                <w:color w:val="FFFFFF"/>
                <w:sz w:val="20"/>
              </w:rPr>
              <w:t>Priority</w:t>
            </w:r>
          </w:p>
        </w:tc>
      </w:tr>
      <w:tr>
        <w:tc>
          <w:tcPr>
            <w:tcW w:type="dxa" w:w="2551"/>
            <w:shd w:val="clear" w:color="auto" w:fill="DCE6F1"/>
          </w:tcPr>
          <w:p>
            <w:r/>
            <w:r>
              <w:rPr>
                <w:rFonts w:ascii="Calibri" w:hAnsi="Calibri"/>
                <w:b w:val="0"/>
                <w:i w:val="0"/>
                <w:sz w:val="20"/>
              </w:rPr>
              <w:t>Document Completeness</w:t>
            </w:r>
          </w:p>
        </w:tc>
        <w:tc>
          <w:tcPr>
            <w:tcW w:type="dxa" w:w="2268"/>
            <w:shd w:val="clear" w:color="auto" w:fill="DCE6F1"/>
          </w:tcPr>
          <w:p>
            <w:r/>
            <w:r>
              <w:rPr>
                <w:rFonts w:ascii="Calibri" w:hAnsi="Calibri"/>
                <w:b w:val="0"/>
                <w:i w:val="0"/>
                <w:sz w:val="20"/>
              </w:rPr>
              <w:t>Incomplete (blanks, wrong email)</w:t>
            </w:r>
          </w:p>
        </w:tc>
        <w:tc>
          <w:tcPr>
            <w:tcW w:type="dxa" w:w="2835"/>
            <w:shd w:val="clear" w:color="auto" w:fill="DCE6F1"/>
          </w:tcPr>
          <w:p>
            <w:r/>
            <w:r>
              <w:rPr>
                <w:rFonts w:ascii="Calibri" w:hAnsi="Calibri"/>
                <w:b w:val="0"/>
                <w:i w:val="0"/>
                <w:sz w:val="20"/>
              </w:rPr>
              <w:t>All fields filled, official email</w:t>
            </w:r>
          </w:p>
        </w:tc>
        <w:tc>
          <w:tcPr>
            <w:tcW w:type="dxa" w:w="1134"/>
            <w:shd w:val="clear" w:color="auto" w:fill="DCE6F1"/>
          </w:tcPr>
          <w:p>
            <w:r/>
            <w:r>
              <w:rPr>
                <w:rFonts w:ascii="Calibri" w:hAnsi="Calibri"/>
                <w:b w:val="0"/>
                <w:i w:val="0"/>
                <w:sz w:val="20"/>
              </w:rPr>
              <w:t>CRITICAL</w:t>
            </w:r>
          </w:p>
        </w:tc>
      </w:tr>
      <w:tr>
        <w:tc>
          <w:tcPr>
            <w:tcW w:type="dxa" w:w="2551"/>
          </w:tcPr>
          <w:p>
            <w:r/>
            <w:r>
              <w:rPr>
                <w:rFonts w:ascii="Calibri" w:hAnsi="Calibri"/>
                <w:b w:val="0"/>
                <w:i w:val="0"/>
                <w:sz w:val="20"/>
              </w:rPr>
              <w:t>Statutory Authority</w:t>
            </w:r>
          </w:p>
        </w:tc>
        <w:tc>
          <w:tcPr>
            <w:tcW w:type="dxa" w:w="2268"/>
          </w:tcPr>
          <w:p>
            <w:r/>
            <w:r>
              <w:rPr>
                <w:rFonts w:ascii="Calibri" w:hAnsi="Calibri"/>
                <w:b w:val="0"/>
                <w:i w:val="0"/>
                <w:sz w:val="20"/>
              </w:rPr>
              <w:t>Strong (FSS Act 2006)</w:t>
            </w:r>
          </w:p>
        </w:tc>
        <w:tc>
          <w:tcPr>
            <w:tcW w:type="dxa" w:w="2835"/>
          </w:tcPr>
          <w:p>
            <w:r/>
            <w:r>
              <w:rPr>
                <w:rFonts w:ascii="Calibri" w:hAnsi="Calibri"/>
                <w:b w:val="0"/>
                <w:i w:val="0"/>
                <w:sz w:val="20"/>
              </w:rPr>
              <w:t>Already adequate</w:t>
            </w:r>
          </w:p>
        </w:tc>
        <w:tc>
          <w:tcPr>
            <w:tcW w:type="dxa" w:w="1134"/>
          </w:tcPr>
          <w:p>
            <w:r/>
            <w:r>
              <w:rPr>
                <w:rFonts w:ascii="Calibri" w:hAnsi="Calibri"/>
                <w:b w:val="0"/>
                <w:i w:val="0"/>
                <w:sz w:val="20"/>
              </w:rPr>
              <w:t>None</w:t>
            </w:r>
          </w:p>
        </w:tc>
      </w:tr>
      <w:tr>
        <w:tc>
          <w:tcPr>
            <w:tcW w:type="dxa" w:w="2551"/>
            <w:shd w:val="clear" w:color="auto" w:fill="DCE6F1"/>
          </w:tcPr>
          <w:p>
            <w:r/>
            <w:r>
              <w:rPr>
                <w:rFonts w:ascii="Calibri" w:hAnsi="Calibri"/>
                <w:b w:val="0"/>
                <w:i w:val="0"/>
                <w:sz w:val="20"/>
              </w:rPr>
              <w:t>Disclaimer / Liability</w:t>
            </w:r>
          </w:p>
        </w:tc>
        <w:tc>
          <w:tcPr>
            <w:tcW w:type="dxa" w:w="2268"/>
            <w:shd w:val="clear" w:color="auto" w:fill="DCE6F1"/>
          </w:tcPr>
          <w:p>
            <w:r/>
            <w:r>
              <w:rPr>
                <w:rFonts w:ascii="Calibri" w:hAnsi="Calibri"/>
                <w:b w:val="0"/>
                <w:i w:val="0"/>
                <w:sz w:val="20"/>
              </w:rPr>
              <w:t>Narrow (Clause 28)</w:t>
            </w:r>
          </w:p>
        </w:tc>
        <w:tc>
          <w:tcPr>
            <w:tcW w:type="dxa" w:w="2835"/>
            <w:shd w:val="clear" w:color="auto" w:fill="DCE6F1"/>
          </w:tcPr>
          <w:p>
            <w:r/>
            <w:r>
              <w:rPr>
                <w:rFonts w:ascii="Calibri" w:hAnsi="Calibri"/>
                <w:b w:val="0"/>
                <w:i w:val="0"/>
                <w:sz w:val="20"/>
              </w:rPr>
              <w:t>Comprehensive with bidder waiver</w:t>
            </w:r>
          </w:p>
        </w:tc>
        <w:tc>
          <w:tcPr>
            <w:tcW w:type="dxa" w:w="1134"/>
            <w:shd w:val="clear" w:color="auto" w:fill="DCE6F1"/>
          </w:tcPr>
          <w:p>
            <w:r/>
            <w:r>
              <w:rPr>
                <w:rFonts w:ascii="Calibri" w:hAnsi="Calibri"/>
                <w:b w:val="0"/>
                <w:i w:val="0"/>
                <w:sz w:val="20"/>
              </w:rPr>
              <w:t>MEDIUM</w:t>
            </w:r>
          </w:p>
        </w:tc>
      </w:tr>
      <w:tr>
        <w:tc>
          <w:tcPr>
            <w:tcW w:type="dxa" w:w="2551"/>
          </w:tcPr>
          <w:p>
            <w:r/>
            <w:r>
              <w:rPr>
                <w:rFonts w:ascii="Calibri" w:hAnsi="Calibri"/>
                <w:b w:val="0"/>
                <w:i w:val="0"/>
                <w:sz w:val="20"/>
              </w:rPr>
              <w:t>Eligibility Criteria</w:t>
            </w:r>
          </w:p>
        </w:tc>
        <w:tc>
          <w:tcPr>
            <w:tcW w:type="dxa" w:w="2268"/>
          </w:tcPr>
          <w:p>
            <w:r/>
            <w:r>
              <w:rPr>
                <w:rFonts w:ascii="Calibri" w:hAnsi="Calibri"/>
                <w:b w:val="0"/>
                <w:i w:val="0"/>
                <w:sz w:val="20"/>
              </w:rPr>
              <w:t>Overly restrictive / policy risk</w:t>
            </w:r>
          </w:p>
        </w:tc>
        <w:tc>
          <w:tcPr>
            <w:tcW w:type="dxa" w:w="2835"/>
          </w:tcPr>
          <w:p>
            <w:r/>
            <w:r>
              <w:rPr>
                <w:rFonts w:ascii="Calibri" w:hAnsi="Calibri"/>
                <w:b w:val="0"/>
                <w:i w:val="0"/>
                <w:sz w:val="20"/>
              </w:rPr>
              <w:t>Merit-based, compliant with Make in India</w:t>
            </w:r>
          </w:p>
        </w:tc>
        <w:tc>
          <w:tcPr>
            <w:tcW w:type="dxa" w:w="1134"/>
          </w:tcPr>
          <w:p>
            <w:r/>
            <w:r>
              <w:rPr>
                <w:rFonts w:ascii="Calibri" w:hAnsi="Calibri"/>
                <w:b w:val="0"/>
                <w:i w:val="0"/>
                <w:sz w:val="20"/>
              </w:rPr>
              <w:t>HIGH</w:t>
            </w:r>
          </w:p>
        </w:tc>
      </w:tr>
      <w:tr>
        <w:tc>
          <w:tcPr>
            <w:tcW w:type="dxa" w:w="2551"/>
            <w:shd w:val="clear" w:color="auto" w:fill="DCE6F1"/>
          </w:tcPr>
          <w:p>
            <w:r/>
            <w:r>
              <w:rPr>
                <w:rFonts w:ascii="Calibri" w:hAnsi="Calibri"/>
                <w:b w:val="0"/>
                <w:i w:val="0"/>
                <w:sz w:val="20"/>
              </w:rPr>
              <w:t>Bid Security / EMD</w:t>
            </w:r>
          </w:p>
        </w:tc>
        <w:tc>
          <w:tcPr>
            <w:tcW w:type="dxa" w:w="2268"/>
            <w:shd w:val="clear" w:color="auto" w:fill="DCE6F1"/>
          </w:tcPr>
          <w:p>
            <w:r/>
            <w:r>
              <w:rPr>
                <w:rFonts w:ascii="Calibri" w:hAnsi="Calibri"/>
                <w:b w:val="0"/>
                <w:i w:val="0"/>
                <w:sz w:val="20"/>
              </w:rPr>
              <w:t>Physical BDD vs GeM — contradiction</w:t>
            </w:r>
          </w:p>
        </w:tc>
        <w:tc>
          <w:tcPr>
            <w:tcW w:type="dxa" w:w="2835"/>
            <w:shd w:val="clear" w:color="auto" w:fill="DCE6F1"/>
          </w:tcPr>
          <w:p>
            <w:r/>
            <w:r>
              <w:rPr>
                <w:rFonts w:ascii="Calibri" w:hAnsi="Calibri"/>
                <w:b w:val="0"/>
                <w:i w:val="0"/>
                <w:sz w:val="20"/>
              </w:rPr>
              <w:t>Bid Security Declaration on GeM</w:t>
            </w:r>
          </w:p>
        </w:tc>
        <w:tc>
          <w:tcPr>
            <w:tcW w:type="dxa" w:w="1134"/>
            <w:shd w:val="clear" w:color="auto" w:fill="DCE6F1"/>
          </w:tcPr>
          <w:p>
            <w:r/>
            <w:r>
              <w:rPr>
                <w:rFonts w:ascii="Calibri" w:hAnsi="Calibri"/>
                <w:b w:val="0"/>
                <w:i w:val="0"/>
                <w:sz w:val="20"/>
              </w:rPr>
              <w:t>HIGH</w:t>
            </w:r>
          </w:p>
        </w:tc>
      </w:tr>
      <w:tr>
        <w:tc>
          <w:tcPr>
            <w:tcW w:type="dxa" w:w="2551"/>
          </w:tcPr>
          <w:p>
            <w:r/>
            <w:r>
              <w:rPr>
                <w:rFonts w:ascii="Calibri" w:hAnsi="Calibri"/>
                <w:b w:val="0"/>
                <w:i w:val="0"/>
                <w:sz w:val="20"/>
              </w:rPr>
              <w:t>Conflict of Interest</w:t>
            </w:r>
          </w:p>
        </w:tc>
        <w:tc>
          <w:tcPr>
            <w:tcW w:type="dxa" w:w="2268"/>
          </w:tcPr>
          <w:p>
            <w:r/>
            <w:r>
              <w:rPr>
                <w:rFonts w:ascii="Calibri" w:hAnsi="Calibri"/>
                <w:b w:val="0"/>
                <w:i w:val="0"/>
                <w:sz w:val="20"/>
              </w:rPr>
              <w:t>Undefined reference ("xxx")</w:t>
            </w:r>
          </w:p>
        </w:tc>
        <w:tc>
          <w:tcPr>
            <w:tcW w:type="dxa" w:w="2835"/>
          </w:tcPr>
          <w:p>
            <w:r/>
            <w:r>
              <w:rPr>
                <w:rFonts w:ascii="Calibri" w:hAnsi="Calibri"/>
                <w:b w:val="0"/>
                <w:i w:val="0"/>
                <w:sz w:val="20"/>
              </w:rPr>
              <w:t>Three-tier COI with defined terms</w:t>
            </w:r>
          </w:p>
        </w:tc>
        <w:tc>
          <w:tcPr>
            <w:tcW w:type="dxa" w:w="1134"/>
          </w:tcPr>
          <w:p>
            <w:r/>
            <w:r>
              <w:rPr>
                <w:rFonts w:ascii="Calibri" w:hAnsi="Calibri"/>
                <w:b w:val="0"/>
                <w:i w:val="0"/>
                <w:sz w:val="20"/>
              </w:rPr>
              <w:t>CRITICAL</w:t>
            </w:r>
          </w:p>
        </w:tc>
      </w:tr>
      <w:tr>
        <w:tc>
          <w:tcPr>
            <w:tcW w:type="dxa" w:w="2551"/>
            <w:shd w:val="clear" w:color="auto" w:fill="DCE6F1"/>
          </w:tcPr>
          <w:p>
            <w:r/>
            <w:r>
              <w:rPr>
                <w:rFonts w:ascii="Calibri" w:hAnsi="Calibri"/>
                <w:b w:val="0"/>
                <w:i w:val="0"/>
                <w:sz w:val="20"/>
              </w:rPr>
              <w:t>IPR Framework</w:t>
            </w:r>
          </w:p>
        </w:tc>
        <w:tc>
          <w:tcPr>
            <w:tcW w:type="dxa" w:w="2268"/>
            <w:shd w:val="clear" w:color="auto" w:fill="DCE6F1"/>
          </w:tcPr>
          <w:p>
            <w:r/>
            <w:r>
              <w:rPr>
                <w:rFonts w:ascii="Calibri" w:hAnsi="Calibri"/>
                <w:b w:val="0"/>
                <w:i w:val="0"/>
                <w:sz w:val="20"/>
              </w:rPr>
              <w:t>ABSENT</w:t>
            </w:r>
          </w:p>
        </w:tc>
        <w:tc>
          <w:tcPr>
            <w:tcW w:type="dxa" w:w="2835"/>
            <w:shd w:val="clear" w:color="auto" w:fill="DCE6F1"/>
          </w:tcPr>
          <w:p>
            <w:r/>
            <w:r>
              <w:rPr>
                <w:rFonts w:ascii="Calibri" w:hAnsi="Calibri"/>
                <w:b w:val="0"/>
                <w:i w:val="0"/>
                <w:sz w:val="20"/>
              </w:rPr>
              <w:t>Full vesting + automatic assignment</w:t>
            </w:r>
          </w:p>
        </w:tc>
        <w:tc>
          <w:tcPr>
            <w:tcW w:type="dxa" w:w="1134"/>
            <w:shd w:val="clear" w:color="auto" w:fill="DCE6F1"/>
          </w:tcPr>
          <w:p>
            <w:r/>
            <w:r>
              <w:rPr>
                <w:rFonts w:ascii="Calibri" w:hAnsi="Calibri"/>
                <w:b w:val="0"/>
                <w:i w:val="0"/>
                <w:sz w:val="20"/>
              </w:rPr>
              <w:t>CRITICAL</w:t>
            </w:r>
          </w:p>
        </w:tc>
      </w:tr>
      <w:tr>
        <w:tc>
          <w:tcPr>
            <w:tcW w:type="dxa" w:w="2551"/>
          </w:tcPr>
          <w:p>
            <w:r/>
            <w:r>
              <w:rPr>
                <w:rFonts w:ascii="Calibri" w:hAnsi="Calibri"/>
                <w:b w:val="0"/>
                <w:i w:val="0"/>
                <w:sz w:val="20"/>
              </w:rPr>
              <w:t>Confidentiality</w:t>
            </w:r>
          </w:p>
        </w:tc>
        <w:tc>
          <w:tcPr>
            <w:tcW w:type="dxa" w:w="2268"/>
          </w:tcPr>
          <w:p>
            <w:r/>
            <w:r>
              <w:rPr>
                <w:rFonts w:ascii="Calibri" w:hAnsi="Calibri"/>
                <w:b w:val="0"/>
                <w:i w:val="0"/>
                <w:sz w:val="20"/>
              </w:rPr>
              <w:t>Basic (no NDA, no definition)</w:t>
            </w:r>
          </w:p>
        </w:tc>
        <w:tc>
          <w:tcPr>
            <w:tcW w:type="dxa" w:w="2835"/>
          </w:tcPr>
          <w:p>
            <w:r/>
            <w:r>
              <w:rPr>
                <w:rFonts w:ascii="Calibri" w:hAnsi="Calibri"/>
                <w:b w:val="0"/>
                <w:i w:val="0"/>
                <w:sz w:val="20"/>
              </w:rPr>
              <w:t>Defined CI, NDA annex, 5-yr survival</w:t>
            </w:r>
          </w:p>
        </w:tc>
        <w:tc>
          <w:tcPr>
            <w:tcW w:type="dxa" w:w="1134"/>
          </w:tcPr>
          <w:p>
            <w:r/>
            <w:r>
              <w:rPr>
                <w:rFonts w:ascii="Calibri" w:hAnsi="Calibri"/>
                <w:b w:val="0"/>
                <w:i w:val="0"/>
                <w:sz w:val="20"/>
              </w:rPr>
              <w:t>HIGH</w:t>
            </w:r>
          </w:p>
        </w:tc>
      </w:tr>
      <w:tr>
        <w:tc>
          <w:tcPr>
            <w:tcW w:type="dxa" w:w="2551"/>
            <w:shd w:val="clear" w:color="auto" w:fill="DCE6F1"/>
          </w:tcPr>
          <w:p>
            <w:r/>
            <w:r>
              <w:rPr>
                <w:rFonts w:ascii="Calibri" w:hAnsi="Calibri"/>
                <w:b w:val="0"/>
                <w:i w:val="0"/>
                <w:sz w:val="20"/>
              </w:rPr>
              <w:t>Performance Guarantee</w:t>
            </w:r>
          </w:p>
        </w:tc>
        <w:tc>
          <w:tcPr>
            <w:tcW w:type="dxa" w:w="2268"/>
            <w:shd w:val="clear" w:color="auto" w:fill="DCE6F1"/>
          </w:tcPr>
          <w:p>
            <w:r/>
            <w:r>
              <w:rPr>
                <w:rFonts w:ascii="Calibri" w:hAnsi="Calibri"/>
                <w:b w:val="0"/>
                <w:i w:val="0"/>
                <w:sz w:val="20"/>
              </w:rPr>
              <w:t>Rs. 50,000 — disproportionately low</w:t>
            </w:r>
          </w:p>
        </w:tc>
        <w:tc>
          <w:tcPr>
            <w:tcW w:type="dxa" w:w="2835"/>
            <w:shd w:val="clear" w:color="auto" w:fill="DCE6F1"/>
          </w:tcPr>
          <w:p>
            <w:r/>
            <w:r>
              <w:rPr>
                <w:rFonts w:ascii="Calibri" w:hAnsi="Calibri"/>
                <w:b w:val="0"/>
                <w:i w:val="0"/>
                <w:sz w:val="20"/>
              </w:rPr>
              <w:t>5% of contract value; standard BG format</w:t>
            </w:r>
          </w:p>
        </w:tc>
        <w:tc>
          <w:tcPr>
            <w:tcW w:type="dxa" w:w="1134"/>
            <w:shd w:val="clear" w:color="auto" w:fill="DCE6F1"/>
          </w:tcPr>
          <w:p>
            <w:r/>
            <w:r>
              <w:rPr>
                <w:rFonts w:ascii="Calibri" w:hAnsi="Calibri"/>
                <w:b w:val="0"/>
                <w:i w:val="0"/>
                <w:sz w:val="20"/>
              </w:rPr>
              <w:t>HIGH</w:t>
            </w:r>
          </w:p>
        </w:tc>
      </w:tr>
      <w:tr>
        <w:tc>
          <w:tcPr>
            <w:tcW w:type="dxa" w:w="2551"/>
          </w:tcPr>
          <w:p>
            <w:r/>
            <w:r>
              <w:rPr>
                <w:rFonts w:ascii="Calibri" w:hAnsi="Calibri"/>
                <w:b w:val="0"/>
                <w:i w:val="0"/>
                <w:sz w:val="20"/>
              </w:rPr>
              <w:t>Payment Terms</w:t>
            </w:r>
          </w:p>
        </w:tc>
        <w:tc>
          <w:tcPr>
            <w:tcW w:type="dxa" w:w="2268"/>
          </w:tcPr>
          <w:p>
            <w:r/>
            <w:r>
              <w:rPr>
                <w:rFonts w:ascii="Calibri" w:hAnsi="Calibri"/>
                <w:b w:val="0"/>
                <w:i w:val="0"/>
                <w:sz w:val="20"/>
              </w:rPr>
              <w:t>Deferred to contract; no timeline</w:t>
            </w:r>
          </w:p>
        </w:tc>
        <w:tc>
          <w:tcPr>
            <w:tcW w:type="dxa" w:w="2835"/>
          </w:tcPr>
          <w:p>
            <w:r/>
            <w:r>
              <w:rPr>
                <w:rFonts w:ascii="Calibri" w:hAnsi="Calibri"/>
                <w:b w:val="0"/>
                <w:i w:val="0"/>
                <w:sz w:val="20"/>
              </w:rPr>
              <w:t>Milestone schedule + 30-day payment norm</w:t>
            </w:r>
          </w:p>
        </w:tc>
        <w:tc>
          <w:tcPr>
            <w:tcW w:type="dxa" w:w="1134"/>
          </w:tcPr>
          <w:p>
            <w:r/>
            <w:r>
              <w:rPr>
                <w:rFonts w:ascii="Calibri" w:hAnsi="Calibri"/>
                <w:b w:val="0"/>
                <w:i w:val="0"/>
                <w:sz w:val="20"/>
              </w:rPr>
              <w:t>HIGH</w:t>
            </w:r>
          </w:p>
        </w:tc>
      </w:tr>
      <w:tr>
        <w:tc>
          <w:tcPr>
            <w:tcW w:type="dxa" w:w="2551"/>
            <w:shd w:val="clear" w:color="auto" w:fill="DCE6F1"/>
          </w:tcPr>
          <w:p>
            <w:r/>
            <w:r>
              <w:rPr>
                <w:rFonts w:ascii="Calibri" w:hAnsi="Calibri"/>
                <w:b w:val="0"/>
                <w:i w:val="0"/>
                <w:sz w:val="20"/>
              </w:rPr>
              <w:t>Force Majeure</w:t>
            </w:r>
          </w:p>
        </w:tc>
        <w:tc>
          <w:tcPr>
            <w:tcW w:type="dxa" w:w="2268"/>
            <w:shd w:val="clear" w:color="auto" w:fill="DCE6F1"/>
          </w:tcPr>
          <w:p>
            <w:r/>
            <w:r>
              <w:rPr>
                <w:rFonts w:ascii="Calibri" w:hAnsi="Calibri"/>
                <w:b w:val="0"/>
                <w:i w:val="0"/>
                <w:sz w:val="20"/>
              </w:rPr>
              <w:t>ABSENT</w:t>
            </w:r>
          </w:p>
        </w:tc>
        <w:tc>
          <w:tcPr>
            <w:tcW w:type="dxa" w:w="2835"/>
            <w:shd w:val="clear" w:color="auto" w:fill="DCE6F1"/>
          </w:tcPr>
          <w:p>
            <w:r/>
            <w:r>
              <w:rPr>
                <w:rFonts w:ascii="Calibri" w:hAnsi="Calibri"/>
                <w:b w:val="0"/>
                <w:i w:val="0"/>
                <w:sz w:val="20"/>
              </w:rPr>
              <w:t>Full FM clause (definition + notice + remedy)</w:t>
            </w:r>
          </w:p>
        </w:tc>
        <w:tc>
          <w:tcPr>
            <w:tcW w:type="dxa" w:w="1134"/>
            <w:shd w:val="clear" w:color="auto" w:fill="DCE6F1"/>
          </w:tcPr>
          <w:p>
            <w:r/>
            <w:r>
              <w:rPr>
                <w:rFonts w:ascii="Calibri" w:hAnsi="Calibri"/>
                <w:b w:val="0"/>
                <w:i w:val="0"/>
                <w:sz w:val="20"/>
              </w:rPr>
              <w:t>CRITICAL</w:t>
            </w:r>
          </w:p>
        </w:tc>
      </w:tr>
      <w:tr>
        <w:tc>
          <w:tcPr>
            <w:tcW w:type="dxa" w:w="2551"/>
          </w:tcPr>
          <w:p>
            <w:r/>
            <w:r>
              <w:rPr>
                <w:rFonts w:ascii="Calibri" w:hAnsi="Calibri"/>
                <w:b w:val="0"/>
                <w:i w:val="0"/>
                <w:sz w:val="20"/>
              </w:rPr>
              <w:t>Termination Rights</w:t>
            </w:r>
          </w:p>
        </w:tc>
        <w:tc>
          <w:tcPr>
            <w:tcW w:type="dxa" w:w="2268"/>
          </w:tcPr>
          <w:p>
            <w:r/>
            <w:r>
              <w:rPr>
                <w:rFonts w:ascii="Calibri" w:hAnsi="Calibri"/>
                <w:b w:val="0"/>
                <w:i w:val="0"/>
                <w:sz w:val="20"/>
              </w:rPr>
              <w:t>One-sided — consultant has none</w:t>
            </w:r>
          </w:p>
        </w:tc>
        <w:tc>
          <w:tcPr>
            <w:tcW w:type="dxa" w:w="2835"/>
          </w:tcPr>
          <w:p>
            <w:r/>
            <w:r>
              <w:rPr>
                <w:rFonts w:ascii="Calibri" w:hAnsi="Calibri"/>
                <w:b w:val="0"/>
                <w:i w:val="0"/>
                <w:sz w:val="20"/>
              </w:rPr>
              <w:t>Bilateral termination rights</w:t>
            </w:r>
          </w:p>
        </w:tc>
        <w:tc>
          <w:tcPr>
            <w:tcW w:type="dxa" w:w="1134"/>
          </w:tcPr>
          <w:p>
            <w:r/>
            <w:r>
              <w:rPr>
                <w:rFonts w:ascii="Calibri" w:hAnsi="Calibri"/>
                <w:b w:val="0"/>
                <w:i w:val="0"/>
                <w:sz w:val="20"/>
              </w:rPr>
              <w:t>HIGH</w:t>
            </w:r>
          </w:p>
        </w:tc>
      </w:tr>
      <w:tr>
        <w:tc>
          <w:tcPr>
            <w:tcW w:type="dxa" w:w="2551"/>
            <w:shd w:val="clear" w:color="auto" w:fill="DCE6F1"/>
          </w:tcPr>
          <w:p>
            <w:r/>
            <w:r>
              <w:rPr>
                <w:rFonts w:ascii="Calibri" w:hAnsi="Calibri"/>
                <w:b w:val="0"/>
                <w:i w:val="0"/>
                <w:sz w:val="20"/>
              </w:rPr>
              <w:t>Dispute Resolution</w:t>
            </w:r>
          </w:p>
        </w:tc>
        <w:tc>
          <w:tcPr>
            <w:tcW w:type="dxa" w:w="2268"/>
            <w:shd w:val="clear" w:color="auto" w:fill="DCE6F1"/>
          </w:tcPr>
          <w:p>
            <w:r/>
            <w:r>
              <w:rPr>
                <w:rFonts w:ascii="Calibri" w:hAnsi="Calibri"/>
                <w:b w:val="0"/>
                <w:i w:val="0"/>
                <w:sz w:val="20"/>
              </w:rPr>
              <w:t>FSSAI-appointed sole arbitrator</w:t>
            </w:r>
          </w:p>
        </w:tc>
        <w:tc>
          <w:tcPr>
            <w:tcW w:type="dxa" w:w="2835"/>
            <w:shd w:val="clear" w:color="auto" w:fill="DCE6F1"/>
          </w:tcPr>
          <w:p>
            <w:r/>
            <w:r>
              <w:rPr>
                <w:rFonts w:ascii="Calibri" w:hAnsi="Calibri"/>
                <w:b w:val="0"/>
                <w:i w:val="0"/>
                <w:sz w:val="20"/>
              </w:rPr>
              <w:t>Bilaterally appointed; HC as fallback</w:t>
            </w:r>
          </w:p>
        </w:tc>
        <w:tc>
          <w:tcPr>
            <w:tcW w:type="dxa" w:w="1134"/>
            <w:shd w:val="clear" w:color="auto" w:fill="DCE6F1"/>
          </w:tcPr>
          <w:p>
            <w:r/>
            <w:r>
              <w:rPr>
                <w:rFonts w:ascii="Calibri" w:hAnsi="Calibri"/>
                <w:b w:val="0"/>
                <w:i w:val="0"/>
                <w:sz w:val="20"/>
              </w:rPr>
              <w:t>CRITICAL</w:t>
            </w:r>
          </w:p>
        </w:tc>
      </w:tr>
      <w:tr>
        <w:tc>
          <w:tcPr>
            <w:tcW w:type="dxa" w:w="2551"/>
          </w:tcPr>
          <w:p>
            <w:r/>
            <w:r>
              <w:rPr>
                <w:rFonts w:ascii="Calibri" w:hAnsi="Calibri"/>
                <w:b w:val="0"/>
                <w:i w:val="0"/>
                <w:sz w:val="20"/>
              </w:rPr>
              <w:t>QCBS Methodology</w:t>
            </w:r>
          </w:p>
        </w:tc>
        <w:tc>
          <w:tcPr>
            <w:tcW w:type="dxa" w:w="2268"/>
          </w:tcPr>
          <w:p>
            <w:r/>
            <w:r>
              <w:rPr>
                <w:rFonts w:ascii="Calibri" w:hAnsi="Calibri"/>
                <w:b w:val="0"/>
                <w:i w:val="0"/>
                <w:sz w:val="20"/>
              </w:rPr>
              <w:t>65% threshold; subjective scoring</w:t>
            </w:r>
          </w:p>
        </w:tc>
        <w:tc>
          <w:tcPr>
            <w:tcW w:type="dxa" w:w="2835"/>
          </w:tcPr>
          <w:p>
            <w:r/>
            <w:r>
              <w:rPr>
                <w:rFonts w:ascii="Calibri" w:hAnsi="Calibri"/>
                <w:b w:val="0"/>
                <w:i w:val="0"/>
                <w:sz w:val="20"/>
              </w:rPr>
              <w:t>70% threshold; pre-disclosed sub-criteria</w:t>
            </w:r>
          </w:p>
        </w:tc>
        <w:tc>
          <w:tcPr>
            <w:tcW w:type="dxa" w:w="1134"/>
          </w:tcPr>
          <w:p>
            <w:r/>
            <w:r>
              <w:rPr>
                <w:rFonts w:ascii="Calibri" w:hAnsi="Calibri"/>
                <w:b w:val="0"/>
                <w:i w:val="0"/>
                <w:sz w:val="20"/>
              </w:rPr>
              <w:t>MEDIUM</w:t>
            </w:r>
          </w:p>
        </w:tc>
      </w:tr>
      <w:tr>
        <w:tc>
          <w:tcPr>
            <w:tcW w:type="dxa" w:w="2551"/>
            <w:shd w:val="clear" w:color="auto" w:fill="DCE6F1"/>
          </w:tcPr>
          <w:p>
            <w:r/>
            <w:r>
              <w:rPr>
                <w:rFonts w:ascii="Calibri" w:hAnsi="Calibri"/>
                <w:b w:val="0"/>
                <w:i w:val="0"/>
                <w:sz w:val="20"/>
              </w:rPr>
              <w:t>Phase 2 Extension</w:t>
            </w:r>
          </w:p>
        </w:tc>
        <w:tc>
          <w:tcPr>
            <w:tcW w:type="dxa" w:w="2268"/>
            <w:shd w:val="clear" w:color="auto" w:fill="DCE6F1"/>
          </w:tcPr>
          <w:p>
            <w:r/>
            <w:r>
              <w:rPr>
                <w:rFonts w:ascii="Calibri" w:hAnsi="Calibri"/>
                <w:b w:val="0"/>
                <w:i w:val="0"/>
                <w:sz w:val="20"/>
              </w:rPr>
              <w:t>Undefined mechanism</w:t>
            </w:r>
          </w:p>
        </w:tc>
        <w:tc>
          <w:tcPr>
            <w:tcW w:type="dxa" w:w="2835"/>
            <w:shd w:val="clear" w:color="auto" w:fill="DCE6F1"/>
          </w:tcPr>
          <w:p>
            <w:r/>
            <w:r>
              <w:rPr>
                <w:rFonts w:ascii="Calibri" w:hAnsi="Calibri"/>
                <w:b w:val="0"/>
                <w:i w:val="0"/>
                <w:sz w:val="20"/>
              </w:rPr>
              <w:t>Pre-disclosed extension process with price framework</w:t>
            </w:r>
          </w:p>
        </w:tc>
        <w:tc>
          <w:tcPr>
            <w:tcW w:type="dxa" w:w="1134"/>
            <w:shd w:val="clear" w:color="auto" w:fill="DCE6F1"/>
          </w:tcPr>
          <w:p>
            <w:r/>
            <w:r>
              <w:rPr>
                <w:rFonts w:ascii="Calibri" w:hAnsi="Calibri"/>
                <w:b w:val="0"/>
                <w:i w:val="0"/>
                <w:sz w:val="20"/>
              </w:rPr>
              <w:t>HIGH</w:t>
            </w:r>
          </w:p>
        </w:tc>
      </w:tr>
      <w:tr>
        <w:tc>
          <w:tcPr>
            <w:tcW w:type="dxa" w:w="2551"/>
          </w:tcPr>
          <w:p>
            <w:r/>
            <w:r>
              <w:rPr>
                <w:rFonts w:ascii="Calibri" w:hAnsi="Calibri"/>
                <w:b w:val="0"/>
                <w:i w:val="0"/>
                <w:sz w:val="20"/>
              </w:rPr>
              <w:t>Consortium/JV</w:t>
            </w:r>
          </w:p>
        </w:tc>
        <w:tc>
          <w:tcPr>
            <w:tcW w:type="dxa" w:w="2268"/>
          </w:tcPr>
          <w:p>
            <w:r/>
            <w:r>
              <w:rPr>
                <w:rFonts w:ascii="Calibri" w:hAnsi="Calibri"/>
                <w:b w:val="0"/>
                <w:i w:val="0"/>
                <w:sz w:val="20"/>
              </w:rPr>
              <w:t>Prohibited entirely</w:t>
            </w:r>
          </w:p>
        </w:tc>
        <w:tc>
          <w:tcPr>
            <w:tcW w:type="dxa" w:w="2835"/>
          </w:tcPr>
          <w:p>
            <w:r/>
            <w:r>
              <w:rPr>
                <w:rFonts w:ascii="Calibri" w:hAnsi="Calibri"/>
                <w:b w:val="0"/>
                <w:i w:val="0"/>
                <w:sz w:val="20"/>
              </w:rPr>
              <w:t>Allow with lead-member safeguards</w:t>
            </w:r>
          </w:p>
        </w:tc>
        <w:tc>
          <w:tcPr>
            <w:tcW w:type="dxa" w:w="1134"/>
          </w:tcPr>
          <w:p>
            <w:r/>
            <w:r>
              <w:rPr>
                <w:rFonts w:ascii="Calibri" w:hAnsi="Calibri"/>
                <w:b w:val="0"/>
                <w:i w:val="0"/>
                <w:sz w:val="20"/>
              </w:rPr>
              <w:t>MEDIUM</w:t>
            </w:r>
          </w:p>
        </w:tc>
      </w:tr>
      <w:tr>
        <w:tc>
          <w:tcPr>
            <w:tcW w:type="dxa" w:w="2551"/>
            <w:shd w:val="clear" w:color="auto" w:fill="DCE6F1"/>
          </w:tcPr>
          <w:p>
            <w:r/>
            <w:r>
              <w:rPr>
                <w:rFonts w:ascii="Calibri" w:hAnsi="Calibri"/>
                <w:b w:val="0"/>
                <w:i w:val="0"/>
                <w:sz w:val="20"/>
              </w:rPr>
              <w:t>Dates Consistency</w:t>
            </w:r>
          </w:p>
        </w:tc>
        <w:tc>
          <w:tcPr>
            <w:tcW w:type="dxa" w:w="2268"/>
            <w:shd w:val="clear" w:color="auto" w:fill="DCE6F1"/>
          </w:tcPr>
          <w:p>
            <w:r/>
            <w:r>
              <w:rPr>
                <w:rFonts w:ascii="Calibri" w:hAnsi="Calibri"/>
                <w:b w:val="0"/>
                <w:i w:val="0"/>
                <w:sz w:val="20"/>
              </w:rPr>
              <w:t>Contradictory (doc available ends before pre-bid)</w:t>
            </w:r>
          </w:p>
        </w:tc>
        <w:tc>
          <w:tcPr>
            <w:tcW w:type="dxa" w:w="2835"/>
            <w:shd w:val="clear" w:color="auto" w:fill="DCE6F1"/>
          </w:tcPr>
          <w:p>
            <w:r/>
            <w:r>
              <w:rPr>
                <w:rFonts w:ascii="Calibri" w:hAnsi="Calibri"/>
                <w:b w:val="0"/>
                <w:i w:val="0"/>
                <w:sz w:val="20"/>
              </w:rPr>
              <w:t>Publish formal Critical Date Sheet</w:t>
            </w:r>
          </w:p>
        </w:tc>
        <w:tc>
          <w:tcPr>
            <w:tcW w:type="dxa" w:w="1134"/>
            <w:shd w:val="clear" w:color="auto" w:fill="DCE6F1"/>
          </w:tcPr>
          <w:p>
            <w:r/>
            <w:r>
              <w:rPr>
                <w:rFonts w:ascii="Calibri" w:hAnsi="Calibri"/>
                <w:b w:val="0"/>
                <w:i w:val="0"/>
                <w:sz w:val="20"/>
              </w:rPr>
              <w:t>CRITICAL</w:t>
            </w:r>
          </w:p>
        </w:tc>
      </w:tr>
      <w:tr>
        <w:tc>
          <w:tcPr>
            <w:tcW w:type="dxa" w:w="2551"/>
          </w:tcPr>
          <w:p>
            <w:r/>
            <w:r>
              <w:rPr>
                <w:rFonts w:ascii="Calibri" w:hAnsi="Calibri"/>
                <w:b w:val="0"/>
                <w:i w:val="0"/>
                <w:sz w:val="20"/>
              </w:rPr>
              <w:t>Data Protection</w:t>
            </w:r>
          </w:p>
        </w:tc>
        <w:tc>
          <w:tcPr>
            <w:tcW w:type="dxa" w:w="2268"/>
          </w:tcPr>
          <w:p>
            <w:r/>
            <w:r>
              <w:rPr>
                <w:rFonts w:ascii="Calibri" w:hAnsi="Calibri"/>
                <w:b w:val="0"/>
                <w:i w:val="0"/>
                <w:sz w:val="20"/>
              </w:rPr>
              <w:t>Absent</w:t>
            </w:r>
          </w:p>
        </w:tc>
        <w:tc>
          <w:tcPr>
            <w:tcW w:type="dxa" w:w="2835"/>
          </w:tcPr>
          <w:p>
            <w:r/>
            <w:r>
              <w:rPr>
                <w:rFonts w:ascii="Calibri" w:hAnsi="Calibri"/>
                <w:b w:val="0"/>
                <w:i w:val="0"/>
                <w:sz w:val="20"/>
              </w:rPr>
              <w:t>DPDP Act 2023 compliance clause</w:t>
            </w:r>
          </w:p>
        </w:tc>
        <w:tc>
          <w:tcPr>
            <w:tcW w:type="dxa" w:w="1134"/>
          </w:tcPr>
          <w:p>
            <w:r/>
            <w:r>
              <w:rPr>
                <w:rFonts w:ascii="Calibri" w:hAnsi="Calibri"/>
                <w:b w:val="0"/>
                <w:i w:val="0"/>
                <w:sz w:val="20"/>
              </w:rPr>
              <w:t>MEDIUM</w:t>
            </w:r>
          </w:p>
        </w:tc>
      </w:tr>
    </w:tbl>
    <w:p/>
    <w:p/>
    <w:p>
      <w:pPr>
        <w:pStyle w:val="Heading2"/>
        <w:jc w:val="left"/>
      </w:pPr>
      <w:r>
        <w:rPr>
          <w:rFonts w:ascii="Calibri" w:hAnsi="Calibri"/>
          <w:color w:val="1F497D"/>
        </w:rPr>
        <w:t>Overall Assessment</w:t>
      </w:r>
    </w:p>
    <w:p>
      <w:pPr>
        <w:spacing w:after="80"/>
      </w:pPr>
      <w:r>
        <w:rPr>
          <w:rFonts w:ascii="Calibri" w:hAnsi="Calibri"/>
          <w:b w:val="0"/>
          <w:i w:val="0"/>
          <w:sz w:val="21"/>
        </w:rPr>
        <w:t>The FSSAI RFP demonstrates a strong statutory foundation and a thoughtful scope of work but requires substantial legal strengthening before issuance. Of the 18 improvement areas identified, 6 are Critical (document must not be issued without correction), 7 are High (significant legal risk if not addressed), and 5 are Medium (good practice improvements). The most urgent gaps — missing IPR clause, missing Force Majeure clause, defective arbitration clause, and incomplete COI definition — are fundamental to the legal integrity of the contract and must be remedied before the pre-bid meeting on 6 April 2026.</w:t>
      </w:r>
    </w:p>
    <w:p/>
    <w:p>
      <w:pPr>
        <w:spacing w:before="200"/>
      </w:pPr>
      <w:r>
        <w:rPr>
          <w:rFonts w:ascii="Calibri" w:hAnsi="Calibri"/>
          <w:b w:val="0"/>
          <w:i/>
          <w:color w:val="808080"/>
          <w:sz w:val="18"/>
        </w:rPr>
        <w:t>Disclaimer: This analysis is based on the FSSAI RFP document provided and is benchmarked against publicly available Central Government RFPs (RLDA, NCPCR, HAL, AAI). This is an academic legal analysis and does not constitute legal advice. References to case law and statutes are for illustrative purposes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