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1F497D"/>
          <w:sz w:val="48"/>
        </w:rPr>
        <w:t>LEGAL ANALYSIS</w:t>
      </w:r>
    </w:p>
    <w:p>
      <w:pPr>
        <w:jc w:val="center"/>
      </w:pPr>
      <w:r>
        <w:rPr>
          <w:rFonts w:ascii="Calibri" w:hAnsi="Calibri"/>
          <w:b/>
          <w:i w:val="0"/>
          <w:color w:val="4472C4"/>
          <w:sz w:val="28"/>
        </w:rPr>
        <w:t>FSSAI Combined Letter — RFPs of Four Central Government Organisations</w:t>
      </w:r>
    </w:p>
    <w:p/>
    <w:p>
      <w:pPr>
        <w:jc w:val="center"/>
      </w:pPr>
      <w:r>
        <w:rPr>
          <w:rFonts w:ascii="Calibri" w:hAnsi="Calibri"/>
          <w:b w:val="0"/>
          <w:i/>
          <w:color w:val="595959"/>
          <w:sz w:val="22"/>
        </w:rPr>
        <w:t>Organisations Covered:  RLDA  |  NCPCR  |  HAL  |  AAI</w:t>
      </w:r>
    </w:p>
    <w:p>
      <w:pPr>
        <w:jc w:val="center"/>
      </w:pPr>
      <w:r>
        <w:rPr>
          <w:rFonts w:ascii="Calibri" w:hAnsi="Calibri"/>
          <w:b w:val="0"/>
          <w:i/>
          <w:color w:val="595959"/>
          <w:sz w:val="22"/>
        </w:rPr>
        <w:t>Analyst Perspective: Legal / Procurement Law</w:t>
      </w:r>
    </w:p>
    <w:p>
      <w:r>
        <w:br w:type="page"/>
      </w:r>
    </w:p>
    <w:p>
      <w:pPr>
        <w:pStyle w:val="Heading1"/>
        <w:jc w:val="left"/>
      </w:pPr>
      <w:r>
        <w:rPr>
          <w:rFonts w:ascii="Calibri" w:hAnsi="Calibri"/>
          <w:color w:val="1F497D"/>
        </w:rPr>
        <w:t>Overview of the Document</w:t>
      </w:r>
    </w:p>
    <w:p>
      <w:pPr>
        <w:spacing w:after="80"/>
      </w:pPr>
      <w:r>
        <w:rPr>
          <w:rFonts w:ascii="Calibri" w:hAnsi="Calibri"/>
          <w:b w:val="0"/>
          <w:i w:val="0"/>
          <w:sz w:val="21"/>
        </w:rPr>
        <w:t>The FSSAI Combined Letter (255 pages) is a comparative study of four Central Government RFPs, benchmarking key procurement elements across RLDA, NCPCR, HAL, and AAI. The document was prepared to explain RFP design with key considerations, drawing on a review of multiple RFPs across ministries and public sector undertakings (PSUs).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1F497D"/>
          </w:tcPr>
          <w:p>
            <w:r/>
            <w:r>
              <w:rPr>
                <w:rFonts w:ascii="Calibri" w:hAnsi="Calibri"/>
                <w:b/>
                <w:i w:val="0"/>
                <w:color w:val="FFFFFF"/>
                <w:sz w:val="20"/>
              </w:rPr>
              <w:t>#</w:t>
            </w:r>
          </w:p>
        </w:tc>
        <w:tc>
          <w:tcPr>
            <w:tcW w:type="dxa" w:w="2835"/>
            <w:shd w:val="clear" w:color="auto" w:fill="1F497D"/>
          </w:tcPr>
          <w:p>
            <w:r/>
            <w:r>
              <w:rPr>
                <w:rFonts w:ascii="Calibri" w:hAnsi="Calibri"/>
                <w:b/>
                <w:i w:val="0"/>
                <w:color w:val="FFFFFF"/>
                <w:sz w:val="20"/>
              </w:rPr>
              <w:t>Organisation</w:t>
            </w:r>
          </w:p>
        </w:tc>
        <w:tc>
          <w:tcPr>
            <w:tcW w:type="dxa" w:w="3969"/>
            <w:shd w:val="clear" w:color="auto" w:fill="1F497D"/>
          </w:tcPr>
          <w:p>
            <w:r/>
            <w:r>
              <w:rPr>
                <w:rFonts w:ascii="Calibri" w:hAnsi="Calibri"/>
                <w:b/>
                <w:i w:val="0"/>
                <w:color w:val="FFFFFF"/>
                <w:sz w:val="20"/>
              </w:rPr>
              <w:t>RFP Subject</w:t>
            </w:r>
          </w:p>
        </w:tc>
        <w:tc>
          <w:tcPr>
            <w:tcW w:type="dxa" w:w="1134"/>
            <w:shd w:val="clear" w:color="auto" w:fill="1F497D"/>
          </w:tcPr>
          <w:p>
            <w:r/>
            <w:r>
              <w:rPr>
                <w:rFonts w:ascii="Calibri" w:hAnsi="Calibri"/>
                <w:b/>
                <w:i w:val="0"/>
                <w:color w:val="FFFFFF"/>
                <w:sz w:val="20"/>
              </w:rPr>
              <w:t>Year</w:t>
            </w:r>
          </w:p>
        </w:tc>
      </w:tr>
      <w:tr>
        <w:tc>
          <w:tcPr>
            <w:tcW w:type="dxa" w:w="567"/>
            <w:shd w:val="clear" w:color="auto" w:fill="DCE6F1"/>
          </w:tcPr>
          <w:p>
            <w:r/>
            <w:r>
              <w:rPr>
                <w:rFonts w:ascii="Calibri" w:hAnsi="Calibri"/>
                <w:b w:val="0"/>
                <w:i w:val="0"/>
                <w:sz w:val="20"/>
              </w:rPr>
              <w:t>1</w:t>
            </w:r>
          </w:p>
        </w:tc>
        <w:tc>
          <w:tcPr>
            <w:tcW w:type="dxa" w:w="2835"/>
            <w:shd w:val="clear" w:color="auto" w:fill="DCE6F1"/>
          </w:tcPr>
          <w:p>
            <w:r/>
            <w:r>
              <w:rPr>
                <w:rFonts w:ascii="Calibri" w:hAnsi="Calibri"/>
                <w:b w:val="0"/>
                <w:i w:val="0"/>
                <w:sz w:val="20"/>
              </w:rPr>
              <w:t>RLDA — Rail Land Development Authority (Min. of Railways)</w:t>
            </w:r>
          </w:p>
        </w:tc>
        <w:tc>
          <w:tcPr>
            <w:tcW w:type="dxa" w:w="3969"/>
            <w:shd w:val="clear" w:color="auto" w:fill="DCE6F1"/>
          </w:tcPr>
          <w:p>
            <w:r/>
            <w:r>
              <w:rPr>
                <w:rFonts w:ascii="Calibri" w:hAnsi="Calibri"/>
                <w:b w:val="0"/>
                <w:i w:val="0"/>
                <w:sz w:val="20"/>
              </w:rPr>
              <w:t>Strategic Advisor for Transaction Management — Redevelopment of New Delhi Railway Station</w:t>
            </w:r>
          </w:p>
        </w:tc>
        <w:tc>
          <w:tcPr>
            <w:tcW w:type="dxa" w:w="1134"/>
            <w:shd w:val="clear" w:color="auto" w:fill="DCE6F1"/>
          </w:tcPr>
          <w:p>
            <w:r/>
            <w:r>
              <w:rPr>
                <w:rFonts w:ascii="Calibri" w:hAnsi="Calibri"/>
                <w:b w:val="0"/>
                <w:i w:val="0"/>
                <w:sz w:val="20"/>
              </w:rPr>
              <w:t>Sep 2020</w:t>
            </w:r>
          </w:p>
        </w:tc>
      </w:tr>
      <w:tr>
        <w:tc>
          <w:tcPr>
            <w:tcW w:type="dxa" w:w="567"/>
            <w:shd w:val="clear" w:color="auto" w:fill="FFFFFF"/>
          </w:tcPr>
          <w:p>
            <w:r/>
            <w:r>
              <w:rPr>
                <w:rFonts w:ascii="Calibri" w:hAnsi="Calibri"/>
                <w:b w:val="0"/>
                <w:i w:val="0"/>
                <w:sz w:val="20"/>
              </w:rPr>
              <w:t>2</w:t>
            </w:r>
          </w:p>
        </w:tc>
        <w:tc>
          <w:tcPr>
            <w:tcW w:type="dxa" w:w="2835"/>
            <w:shd w:val="clear" w:color="auto" w:fill="FFFFFF"/>
          </w:tcPr>
          <w:p>
            <w:r/>
            <w:r>
              <w:rPr>
                <w:rFonts w:ascii="Calibri" w:hAnsi="Calibri"/>
                <w:b w:val="0"/>
                <w:i w:val="0"/>
                <w:sz w:val="20"/>
              </w:rPr>
              <w:t>NCPCR — National Commission for Protection of Child Rights (GoI Statutory Body)</w:t>
            </w:r>
          </w:p>
        </w:tc>
        <w:tc>
          <w:tcPr>
            <w:tcW w:type="dxa" w:w="3969"/>
            <w:shd w:val="clear" w:color="auto" w:fill="FFFFFF"/>
          </w:tcPr>
          <w:p>
            <w:r/>
            <w:r>
              <w:rPr>
                <w:rFonts w:ascii="Calibri" w:hAnsi="Calibri"/>
                <w:b w:val="0"/>
                <w:i w:val="0"/>
                <w:sz w:val="20"/>
              </w:rPr>
              <w:t>360-degree Strategy Design &amp; Implementation Support</w:t>
            </w:r>
          </w:p>
        </w:tc>
        <w:tc>
          <w:tcPr>
            <w:tcW w:type="dxa" w:w="1134"/>
            <w:shd w:val="clear" w:color="auto" w:fill="FFFFFF"/>
          </w:tcPr>
          <w:p>
            <w:r/>
            <w:r>
              <w:rPr>
                <w:rFonts w:ascii="Calibri" w:hAnsi="Calibri"/>
                <w:b w:val="0"/>
                <w:i w:val="0"/>
                <w:sz w:val="20"/>
              </w:rPr>
              <w:t>~2021</w:t>
            </w:r>
          </w:p>
        </w:tc>
      </w:tr>
      <w:tr>
        <w:tc>
          <w:tcPr>
            <w:tcW w:type="dxa" w:w="567"/>
            <w:shd w:val="clear" w:color="auto" w:fill="DCE6F1"/>
          </w:tcPr>
          <w:p>
            <w:r/>
            <w:r>
              <w:rPr>
                <w:rFonts w:ascii="Calibri" w:hAnsi="Calibri"/>
                <w:b w:val="0"/>
                <w:i w:val="0"/>
                <w:sz w:val="20"/>
              </w:rPr>
              <w:t>3</w:t>
            </w:r>
          </w:p>
        </w:tc>
        <w:tc>
          <w:tcPr>
            <w:tcW w:type="dxa" w:w="2835"/>
            <w:shd w:val="clear" w:color="auto" w:fill="DCE6F1"/>
          </w:tcPr>
          <w:p>
            <w:r/>
            <w:r>
              <w:rPr>
                <w:rFonts w:ascii="Calibri" w:hAnsi="Calibri"/>
                <w:b w:val="0"/>
                <w:i w:val="0"/>
                <w:sz w:val="20"/>
              </w:rPr>
              <w:t>HAL — Hindustan Aeronautics Limited (DPSU, Min. of Defence)</w:t>
            </w:r>
          </w:p>
        </w:tc>
        <w:tc>
          <w:tcPr>
            <w:tcW w:type="dxa" w:w="3969"/>
            <w:shd w:val="clear" w:color="auto" w:fill="DCE6F1"/>
          </w:tcPr>
          <w:p>
            <w:r/>
            <w:r>
              <w:rPr>
                <w:rFonts w:ascii="Calibri" w:hAnsi="Calibri"/>
                <w:b w:val="0"/>
                <w:i w:val="0"/>
                <w:sz w:val="20"/>
              </w:rPr>
              <w:t>Strategic Advisory Services — Business cum Growth Plan</w:t>
            </w:r>
          </w:p>
        </w:tc>
        <w:tc>
          <w:tcPr>
            <w:tcW w:type="dxa" w:w="1134"/>
            <w:shd w:val="clear" w:color="auto" w:fill="DCE6F1"/>
          </w:tcPr>
          <w:p>
            <w:r/>
            <w:r>
              <w:rPr>
                <w:rFonts w:ascii="Calibri" w:hAnsi="Calibri"/>
                <w:b w:val="0"/>
                <w:i w:val="0"/>
                <w:sz w:val="20"/>
              </w:rPr>
              <w:t>Mar 2021</w:t>
            </w:r>
          </w:p>
        </w:tc>
      </w:tr>
      <w:tr>
        <w:tc>
          <w:tcPr>
            <w:tcW w:type="dxa" w:w="567"/>
            <w:shd w:val="clear" w:color="auto" w:fill="FFFFFF"/>
          </w:tcPr>
          <w:p>
            <w:r/>
            <w:r>
              <w:rPr>
                <w:rFonts w:ascii="Calibri" w:hAnsi="Calibri"/>
                <w:b w:val="0"/>
                <w:i w:val="0"/>
                <w:sz w:val="20"/>
              </w:rPr>
              <w:t>4</w:t>
            </w:r>
          </w:p>
        </w:tc>
        <w:tc>
          <w:tcPr>
            <w:tcW w:type="dxa" w:w="2835"/>
            <w:shd w:val="clear" w:color="auto" w:fill="FFFFFF"/>
          </w:tcPr>
          <w:p>
            <w:r/>
            <w:r>
              <w:rPr>
                <w:rFonts w:ascii="Calibri" w:hAnsi="Calibri"/>
                <w:b w:val="0"/>
                <w:i w:val="0"/>
                <w:sz w:val="20"/>
              </w:rPr>
              <w:t>AAI — Airports Authority of India (Mini-Ratna PSU)</w:t>
            </w:r>
          </w:p>
        </w:tc>
        <w:tc>
          <w:tcPr>
            <w:tcW w:type="dxa" w:w="3969"/>
            <w:shd w:val="clear" w:color="auto" w:fill="FFFFFF"/>
          </w:tcPr>
          <w:p>
            <w:r/>
            <w:r>
              <w:rPr>
                <w:rFonts w:ascii="Calibri" w:hAnsi="Calibri"/>
                <w:b w:val="0"/>
                <w:i w:val="0"/>
                <w:sz w:val="20"/>
              </w:rPr>
              <w:t>Cargo Business Plan, Growth Strategy &amp; Implementation</w:t>
            </w:r>
          </w:p>
        </w:tc>
        <w:tc>
          <w:tcPr>
            <w:tcW w:type="dxa" w:w="1134"/>
            <w:shd w:val="clear" w:color="auto" w:fill="FFFFFF"/>
          </w:tcPr>
          <w:p>
            <w:r/>
            <w:r>
              <w:rPr>
                <w:rFonts w:ascii="Calibri" w:hAnsi="Calibri"/>
                <w:b w:val="0"/>
                <w:i w:val="0"/>
                <w:sz w:val="20"/>
              </w:rPr>
              <w:t>Jan 2022</w:t>
            </w:r>
          </w:p>
        </w:tc>
      </w:tr>
    </w:tbl>
    <w:p/>
    <w:p>
      <w:pPr>
        <w:pStyle w:val="Heading1"/>
        <w:jc w:val="left"/>
      </w:pPr>
      <w:r>
        <w:rPr>
          <w:rFonts w:ascii="Calibri" w:hAnsi="Calibri"/>
          <w:color w:val="1F497D"/>
        </w:rPr>
        <w:t>I. Legal Standing &amp; Statutory Authority of Procuring Entities</w:t>
      </w:r>
    </w:p>
    <w:p>
      <w:pPr>
        <w:spacing w:after="80"/>
      </w:pPr>
      <w:r>
        <w:rPr>
          <w:rFonts w:ascii="Calibri" w:hAnsi="Calibri"/>
          <w:b/>
          <w:i w:val="0"/>
          <w:color w:val="1F497D"/>
          <w:sz w:val="21"/>
        </w:rPr>
        <w:t xml:space="preserve">RLDA: </w:t>
      </w:r>
      <w:r>
        <w:rPr>
          <w:rFonts w:ascii="Calibri" w:hAnsi="Calibri"/>
          <w:b w:val="0"/>
          <w:i w:val="0"/>
          <w:sz w:val="21"/>
        </w:rPr>
        <w:t>Statutory authority under Railway Act, 1989 (amended 2006), Ministry of Railways. Has independent legal capacity to contract; agreement explicitly named "Consultancy Agreement". Legal strength: HIGH — backed by a specific statutory instrument.</w:t>
      </w:r>
    </w:p>
    <w:p>
      <w:pPr>
        <w:spacing w:after="80"/>
      </w:pPr>
      <w:r>
        <w:rPr>
          <w:rFonts w:ascii="Calibri" w:hAnsi="Calibri"/>
          <w:b/>
          <w:i w:val="0"/>
          <w:color w:val="1F497D"/>
          <w:sz w:val="21"/>
        </w:rPr>
        <w:t xml:space="preserve">NCPCR: </w:t>
      </w:r>
      <w:r>
        <w:rPr>
          <w:rFonts w:ascii="Calibri" w:hAnsi="Calibri"/>
          <w:b w:val="0"/>
          <w:i w:val="0"/>
          <w:sz w:val="21"/>
        </w:rPr>
        <w:t>Statutory body under Commissions for Protection of Child Rights Act, 2005 (Parliament-constituted). Procurement routed through GeM (Government e-Marketplace) portal — mandatory framework under GFR 2017 Rule 149. Legal strength: HIGH — statutory body with clear mandate; GeM portal adds regulatory compliance layer.</w:t>
      </w:r>
    </w:p>
    <w:p>
      <w:pPr>
        <w:spacing w:after="80"/>
      </w:pPr>
      <w:r>
        <w:rPr>
          <w:rFonts w:ascii="Calibri" w:hAnsi="Calibri"/>
          <w:b/>
          <w:i w:val="0"/>
          <w:color w:val="1F497D"/>
          <w:sz w:val="21"/>
        </w:rPr>
        <w:t xml:space="preserve">HAL: </w:t>
      </w:r>
      <w:r>
        <w:rPr>
          <w:rFonts w:ascii="Calibri" w:hAnsi="Calibri"/>
          <w:b w:val="0"/>
          <w:i w:val="0"/>
          <w:sz w:val="21"/>
        </w:rPr>
        <w:t>Defence PSU under Companies Act / administrative control of Department of Defence Production, Ministry of Defence. Procurement through own e-portal and CPPP. Legal strength: HIGH — incorporated entity with board authority; defence sector procurement governed by DPP/DPM frameworks.</w:t>
      </w:r>
    </w:p>
    <w:p>
      <w:pPr>
        <w:spacing w:after="80"/>
      </w:pPr>
      <w:r>
        <w:rPr>
          <w:rFonts w:ascii="Calibri" w:hAnsi="Calibri"/>
          <w:b/>
          <w:i w:val="0"/>
          <w:color w:val="1F497D"/>
          <w:sz w:val="21"/>
        </w:rPr>
        <w:t xml:space="preserve">AAI: </w:t>
      </w:r>
      <w:r>
        <w:rPr>
          <w:rFonts w:ascii="Calibri" w:hAnsi="Calibri"/>
          <w:b w:val="0"/>
          <w:i w:val="0"/>
          <w:sz w:val="21"/>
        </w:rPr>
        <w:t>Statutory authority under Airports Authority of India Act, 1994; Category-I Mini-Ratna PSU. Procurement through CPPP, aligned with CVC guidelines. Legal strength: HIGH — dual regulatory oversight (sectoral statute + GFR/CVC).</w:t>
      </w:r>
    </w:p>
    <w:p>
      <w:pPr>
        <w:spacing w:after="160"/>
        <w:ind w:left="227"/>
      </w:pPr>
      <w:r>
        <w:rPr>
          <w:rFonts w:ascii="Calibri" w:hAnsi="Calibri"/>
          <w:b/>
          <w:i w:val="0"/>
          <w:color w:val="C00000"/>
          <w:sz w:val="20"/>
        </w:rPr>
        <w:t xml:space="preserve">Legal Observation: </w:t>
      </w:r>
      <w:r>
        <w:rPr>
          <w:rFonts w:ascii="Calibri" w:hAnsi="Calibri"/>
          <w:b w:val="0"/>
          <w:i/>
          <w:sz w:val="20"/>
        </w:rPr>
        <w:t>All four entities have clear statutory/corporate authority to procure. However, NCPCR's GeM-based procurement and RLDA's e-tendering through a private portal (tenderwizard.com/RLDA) differ in scrutiny level. GeM procurement is GFR-compliant and auditable; RLDA's reliance on ITI Limited as portal operator introduces a third-party dependency which could be a point of challenge in bid protests.</w:t>
      </w:r>
    </w:p>
    <w:p>
      <w:pPr>
        <w:pStyle w:val="Heading1"/>
        <w:jc w:val="left"/>
      </w:pPr>
      <w:r>
        <w:rPr>
          <w:rFonts w:ascii="Calibri" w:hAnsi="Calibri"/>
          <w:color w:val="1F497D"/>
        </w:rPr>
        <w:t>II. Disclaimer &amp; Liability Exclusion Clauses</w:t>
      </w:r>
    </w:p>
    <w:p>
      <w:pPr>
        <w:spacing w:after="80"/>
      </w:pPr>
      <w:r>
        <w:rPr>
          <w:rFonts w:ascii="Calibri" w:hAnsi="Calibri"/>
          <w:b w:val="0"/>
          <w:i w:val="0"/>
          <w:sz w:val="21"/>
        </w:rPr>
        <w:t>All four RFPs contain broad disclaimer clauses. Legally, their scope and enforceability vary:</w:t>
      </w:r>
    </w:p>
    <w:p>
      <w:pPr>
        <w:pStyle w:val="Heading2"/>
        <w:jc w:val="left"/>
      </w:pPr>
      <w:r>
        <w:rPr>
          <w:rFonts w:ascii="Calibri" w:hAnsi="Calibri"/>
          <w:color w:val="4472C4"/>
        </w:rPr>
        <w:t>RLDA &amp; AAI (near-identical language)</w:t>
      </w:r>
    </w:p>
    <w:p>
      <w:pPr>
        <w:spacing w:after="80"/>
      </w:pPr>
      <w:r>
        <w:rPr>
          <w:rFonts w:ascii="Calibri" w:hAnsi="Calibri"/>
          <w:b w:val="0"/>
          <w:i w:val="0"/>
          <w:sz w:val="21"/>
        </w:rPr>
        <w:t>Total liability exclusion — applies to accuracy, completeness, or legal interpretation of RFP contents. Submission of proposal = deemed waiver of all claims: "the Applicant... irrevocably, unconditionally, fully and finally from any and all liability for claims, losses, damages, costs, expenses or liabilities..."</w:t>
      </w:r>
    </w:p>
    <w:p>
      <w:pPr>
        <w:pStyle w:val="Heading2"/>
        <w:jc w:val="left"/>
      </w:pPr>
      <w:r>
        <w:rPr>
          <w:rFonts w:ascii="Calibri" w:hAnsi="Calibri"/>
          <w:color w:val="4472C4"/>
        </w:rPr>
        <w:t>NCPCR</w:t>
      </w:r>
    </w:p>
    <w:p>
      <w:pPr>
        <w:spacing w:after="80"/>
      </w:pPr>
      <w:r>
        <w:rPr>
          <w:rFonts w:ascii="Calibri" w:hAnsi="Calibri"/>
          <w:b w:val="0"/>
          <w:i w:val="0"/>
          <w:sz w:val="21"/>
        </w:rPr>
        <w:t>"NCPCR is not bound to accept any proposal and reserves the right to annul the selection process at any time prior to awarding of the agreement without thereby incurring any liability to the bidder." — Narrower disclaimer but unconditional right to cancel without liability.</w:t>
      </w:r>
    </w:p>
    <w:p>
      <w:pPr>
        <w:pStyle w:val="Heading2"/>
        <w:jc w:val="left"/>
      </w:pPr>
      <w:r>
        <w:rPr>
          <w:rFonts w:ascii="Calibri" w:hAnsi="Calibri"/>
          <w:color w:val="4472C4"/>
        </w:rPr>
        <w:t>HAL</w:t>
      </w:r>
    </w:p>
    <w:p>
      <w:pPr>
        <w:spacing w:after="80"/>
      </w:pPr>
      <w:r>
        <w:rPr>
          <w:rFonts w:ascii="Calibri" w:hAnsi="Calibri"/>
          <w:b w:val="0"/>
          <w:i w:val="0"/>
          <w:sz w:val="21"/>
        </w:rPr>
        <w:t>HAL reserves the right to reject any/all bids without assigning reasons. Less elaborate on waiver mechanics than RLDA/AAI.</w:t>
      </w:r>
    </w:p>
    <w:p>
      <w:pPr>
        <w:spacing w:after="160"/>
        <w:ind w:left="227"/>
      </w:pPr>
      <w:r>
        <w:rPr>
          <w:rFonts w:ascii="Calibri" w:hAnsi="Calibri"/>
          <w:b/>
          <w:i w:val="0"/>
          <w:color w:val="C00000"/>
          <w:sz w:val="20"/>
        </w:rPr>
        <w:t xml:space="preserve">Legal Observation: </w:t>
      </w:r>
      <w:r>
        <w:rPr>
          <w:rFonts w:ascii="Calibri" w:hAnsi="Calibri"/>
          <w:b w:val="0"/>
          <w:i/>
          <w:sz w:val="20"/>
        </w:rPr>
        <w:t>These waiver clauses, while standard in government procurement, may be unconscionable in certain contexts. Under Indian contract law (Section 23, ICA 1872), clauses against public policy may be void. The Supreme Court in Tata Cellular v. Union of India (1994) held that while government has wide discretion in tender processes, it must act fairly. Broad waivers do not completely insulate the procuring entity from judicial review under Articles 14/226 of the Constitution.</w:t>
      </w:r>
    </w:p>
    <w:p>
      <w:pPr>
        <w:pStyle w:val="Heading1"/>
        <w:jc w:val="left"/>
      </w:pPr>
      <w:r>
        <w:rPr>
          <w:rFonts w:ascii="Calibri" w:hAnsi="Calibri"/>
          <w:color w:val="1F497D"/>
        </w:rPr>
        <w:t>III. Eligibility &amp; Qualification Criteria</w:t>
      </w:r>
    </w:p>
    <w:p>
      <w:pPr>
        <w:pStyle w:val="Heading2"/>
        <w:jc w:val="left"/>
      </w:pPr>
      <w:r>
        <w:rPr>
          <w:rFonts w:ascii="Calibri" w:hAnsi="Calibri"/>
          <w:color w:val="4472C4"/>
        </w:rPr>
        <w:t>RLDA</w:t>
      </w:r>
    </w:p>
    <w:p>
      <w:pPr>
        <w:pStyle w:val="ListBullet"/>
        <w:spacing w:after="40"/>
      </w:pPr>
      <w:r>
        <w:rPr>
          <w:rFonts w:ascii="Calibri" w:hAnsi="Calibri"/>
          <w:b w:val="0"/>
          <w:i w:val="0"/>
          <w:sz w:val="21"/>
        </w:rPr>
        <w:t>Bidder must be registered in India under Companies Act 2013 or LLP Act 2008, with registered office in India.</w:t>
      </w:r>
    </w:p>
    <w:p>
      <w:pPr>
        <w:pStyle w:val="ListBullet"/>
        <w:spacing w:after="40"/>
      </w:pPr>
      <w:r>
        <w:rPr>
          <w:rFonts w:ascii="Calibri" w:hAnsi="Calibri"/>
          <w:b w:val="0"/>
          <w:i w:val="0"/>
          <w:sz w:val="21"/>
        </w:rPr>
        <w:t>Critical Legal Provision: "Foreign Companies are not eligible to bid for Tenders for value up to Rs. 200 Crore" — citing Ministry of Finance Letter No. F.12/17/2019-PPD dated 28.05.2020.</w:t>
      </w:r>
    </w:p>
    <w:p>
      <w:pPr>
        <w:pStyle w:val="ListBullet"/>
        <w:spacing w:after="40"/>
      </w:pPr>
      <w:r>
        <w:rPr>
          <w:rFonts w:ascii="Calibri" w:hAnsi="Calibri"/>
          <w:b w:val="0"/>
          <w:i w:val="0"/>
          <w:sz w:val="21"/>
        </w:rPr>
        <w:t>This restriction flows from Public Procurement (Preference to Make in India) Order 2017 and subsequent Finance Ministry circulars restricting foreign bidders from countries sharing land border with India.</w:t>
      </w:r>
    </w:p>
    <w:p>
      <w:pPr>
        <w:pStyle w:val="Heading2"/>
        <w:jc w:val="left"/>
      </w:pPr>
      <w:r>
        <w:rPr>
          <w:rFonts w:ascii="Calibri" w:hAnsi="Calibri"/>
          <w:color w:val="4472C4"/>
        </w:rPr>
        <w:t>HAL</w:t>
      </w:r>
    </w:p>
    <w:p>
      <w:pPr>
        <w:pStyle w:val="ListBullet"/>
        <w:spacing w:after="40"/>
      </w:pPr>
      <w:r>
        <w:rPr>
          <w:rFonts w:ascii="Calibri" w:hAnsi="Calibri"/>
          <w:b w:val="0"/>
          <w:i w:val="0"/>
          <w:sz w:val="21"/>
        </w:rPr>
        <w:t>Restricted to India-based Consulting Agencies (registered office in India).</w:t>
      </w:r>
    </w:p>
    <w:p>
      <w:pPr>
        <w:pStyle w:val="ListBullet"/>
        <w:spacing w:after="40"/>
      </w:pPr>
      <w:r>
        <w:rPr>
          <w:rFonts w:ascii="Calibri" w:hAnsi="Calibri"/>
          <w:b w:val="0"/>
          <w:i w:val="0"/>
          <w:sz w:val="21"/>
        </w:rPr>
        <w:t>Requires past experience in defence/aerospace sector (implied through TOR context).</w:t>
      </w:r>
    </w:p>
    <w:p>
      <w:pPr>
        <w:pStyle w:val="Heading2"/>
        <w:jc w:val="left"/>
      </w:pPr>
      <w:r>
        <w:rPr>
          <w:rFonts w:ascii="Calibri" w:hAnsi="Calibri"/>
          <w:color w:val="4472C4"/>
        </w:rPr>
        <w:t>NCPCR</w:t>
      </w:r>
    </w:p>
    <w:p>
      <w:pPr>
        <w:pStyle w:val="ListBullet"/>
        <w:spacing w:after="40"/>
      </w:pPr>
      <w:r>
        <w:rPr>
          <w:rFonts w:ascii="Calibri" w:hAnsi="Calibri"/>
          <w:b w:val="0"/>
          <w:i w:val="0"/>
          <w:sz w:val="21"/>
        </w:rPr>
        <w:t>Open to any entity/person/association of persons — broader eligibility than RLDA/HAL.</w:t>
      </w:r>
    </w:p>
    <w:p>
      <w:pPr>
        <w:pStyle w:val="ListBullet"/>
        <w:spacing w:after="40"/>
      </w:pPr>
      <w:r>
        <w:rPr>
          <w:rFonts w:ascii="Calibri" w:hAnsi="Calibri"/>
          <w:b w:val="0"/>
          <w:i w:val="0"/>
          <w:sz w:val="21"/>
        </w:rPr>
        <w:t>MSE-registered entities exempt from EMD — compliant with MSME Procurement Policy / MSME Act.</w:t>
      </w:r>
    </w:p>
    <w:p>
      <w:pPr>
        <w:pStyle w:val="Heading2"/>
        <w:jc w:val="left"/>
      </w:pPr>
      <w:r>
        <w:rPr>
          <w:rFonts w:ascii="Calibri" w:hAnsi="Calibri"/>
          <w:color w:val="4472C4"/>
        </w:rPr>
        <w:t>AAI</w:t>
      </w:r>
    </w:p>
    <w:p>
      <w:pPr>
        <w:pStyle w:val="ListBullet"/>
        <w:spacing w:after="40"/>
      </w:pPr>
      <w:r>
        <w:rPr>
          <w:rFonts w:ascii="Calibri" w:hAnsi="Calibri"/>
          <w:b w:val="0"/>
          <w:i w:val="0"/>
          <w:sz w:val="21"/>
        </w:rPr>
        <w:t>Two-stage selection: technical pre-qualification + financial bid.</w:t>
      </w:r>
    </w:p>
    <w:p>
      <w:pPr>
        <w:pStyle w:val="ListBullet"/>
        <w:spacing w:after="40"/>
      </w:pPr>
      <w:r>
        <w:rPr>
          <w:rFonts w:ascii="Calibri" w:hAnsi="Calibri"/>
          <w:b w:val="0"/>
          <w:i w:val="0"/>
          <w:sz w:val="21"/>
        </w:rPr>
        <w:t>Experience must include: operations improvement in service/logistics, cargo business framework, business model/strategy — sector-specific.</w:t>
      </w:r>
    </w:p>
    <w:p>
      <w:pPr>
        <w:pStyle w:val="ListBullet"/>
        <w:spacing w:after="40"/>
      </w:pPr>
      <w:r>
        <w:rPr>
          <w:rFonts w:ascii="Calibri" w:hAnsi="Calibri"/>
          <w:b w:val="0"/>
          <w:i w:val="0"/>
          <w:sz w:val="21"/>
        </w:rPr>
        <w:t>Requires Power of Attorney, Statement of Legal Capacity, and Financial Capacity declarations.</w:t>
      </w:r>
    </w:p>
    <w:p>
      <w:pPr>
        <w:pStyle w:val="ListBullet"/>
        <w:spacing w:after="40"/>
      </w:pPr>
      <w:r>
        <w:rPr>
          <w:rFonts w:ascii="Calibri" w:hAnsi="Calibri"/>
          <w:b w:val="0"/>
          <w:i w:val="0"/>
          <w:sz w:val="21"/>
        </w:rPr>
        <w:t>Requires at least 1 international case study — creating indirect international experience preference.</w:t>
      </w:r>
    </w:p>
    <w:p>
      <w:pPr>
        <w:spacing w:after="160"/>
        <w:ind w:left="227"/>
      </w:pPr>
      <w:r>
        <w:rPr>
          <w:rFonts w:ascii="Calibri" w:hAnsi="Calibri"/>
          <w:b/>
          <w:i w:val="0"/>
          <w:color w:val="C00000"/>
          <w:sz w:val="20"/>
        </w:rPr>
        <w:t xml:space="preserve">Legal Observation: </w:t>
      </w:r>
      <w:r>
        <w:rPr>
          <w:rFonts w:ascii="Calibri" w:hAnsi="Calibri"/>
          <w:b w:val="0"/>
          <w:i/>
          <w:sz w:val="20"/>
        </w:rPr>
        <w:t>RLDA and HAL's India-only restriction is legally sound under MoF orders. NCPCR's broad eligibility opens risk of less-specialized bidders; however, QCBS scoring compensates. AAI's requirement for international case studies may conflict with the spirit of Make in India restrictions if not carefully worded in future RFPs.</w:t>
      </w:r>
    </w:p>
    <w:p>
      <w:pPr>
        <w:pStyle w:val="Heading1"/>
        <w:jc w:val="left"/>
      </w:pPr>
      <w:r>
        <w:rPr>
          <w:rFonts w:ascii="Calibri" w:hAnsi="Calibri"/>
          <w:color w:val="1F497D"/>
        </w:rPr>
        <w:t>IV. Bid Security / Earnest Money Deposit (EMD)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F497D"/>
          </w:tcPr>
          <w:p>
            <w:r/>
            <w:r>
              <w:rPr>
                <w:rFonts w:ascii="Calibri" w:hAnsi="Calibri"/>
                <w:b/>
                <w:i w:val="0"/>
                <w:color w:val="FFFFFF"/>
                <w:sz w:val="20"/>
              </w:rPr>
              <w:t>Organisation</w:t>
            </w:r>
          </w:p>
        </w:tc>
        <w:tc>
          <w:tcPr>
            <w:tcW w:type="dxa" w:w="1701"/>
            <w:shd w:val="clear" w:color="auto" w:fill="1F497D"/>
          </w:tcPr>
          <w:p>
            <w:r/>
            <w:r>
              <w:rPr>
                <w:rFonts w:ascii="Calibri" w:hAnsi="Calibri"/>
                <w:b/>
                <w:i w:val="0"/>
                <w:color w:val="FFFFFF"/>
                <w:sz w:val="20"/>
              </w:rPr>
              <w:t>EMD Amount</w:t>
            </w:r>
          </w:p>
        </w:tc>
        <w:tc>
          <w:tcPr>
            <w:tcW w:type="dxa" w:w="3969"/>
            <w:shd w:val="clear" w:color="auto" w:fill="1F497D"/>
          </w:tcPr>
          <w:p>
            <w:r/>
            <w:r>
              <w:rPr>
                <w:rFonts w:ascii="Calibri" w:hAnsi="Calibri"/>
                <w:b/>
                <w:i w:val="0"/>
                <w:color w:val="FFFFFF"/>
                <w:sz w:val="20"/>
              </w:rPr>
              <w:t>Form</w:t>
            </w:r>
          </w:p>
        </w:tc>
        <w:tc>
          <w:tcPr>
            <w:tcW w:type="dxa" w:w="1701"/>
            <w:shd w:val="clear" w:color="auto" w:fill="1F497D"/>
          </w:tcPr>
          <w:p>
            <w:r/>
            <w:r>
              <w:rPr>
                <w:rFonts w:ascii="Calibri" w:hAnsi="Calibri"/>
                <w:b/>
                <w:i w:val="0"/>
                <w:color w:val="FFFFFF"/>
                <w:sz w:val="20"/>
              </w:rPr>
              <w:t>MSE Exemption</w:t>
            </w:r>
          </w:p>
        </w:tc>
      </w:tr>
      <w:tr>
        <w:tc>
          <w:tcPr>
            <w:tcW w:type="dxa" w:w="1701"/>
            <w:shd w:val="clear" w:color="auto" w:fill="DCE6F1"/>
          </w:tcPr>
          <w:p>
            <w:r/>
            <w:r>
              <w:rPr>
                <w:rFonts w:ascii="Calibri" w:hAnsi="Calibri"/>
                <w:b w:val="0"/>
                <w:i w:val="0"/>
                <w:sz w:val="20"/>
              </w:rPr>
              <w:t>RLDA</w:t>
            </w:r>
          </w:p>
        </w:tc>
        <w:tc>
          <w:tcPr>
            <w:tcW w:type="dxa" w:w="1701"/>
            <w:shd w:val="clear" w:color="auto" w:fill="DCE6F1"/>
          </w:tcPr>
          <w:p>
            <w:r/>
            <w:r>
              <w:rPr>
                <w:rFonts w:ascii="Calibri" w:hAnsi="Calibri"/>
                <w:b w:val="0"/>
                <w:i w:val="0"/>
                <w:sz w:val="20"/>
              </w:rPr>
              <w:t>Rs. 14,10,000</w:t>
            </w:r>
          </w:p>
        </w:tc>
        <w:tc>
          <w:tcPr>
            <w:tcW w:type="dxa" w:w="3969"/>
            <w:shd w:val="clear" w:color="auto" w:fill="DCE6F1"/>
          </w:tcPr>
          <w:p>
            <w:r/>
            <w:r>
              <w:rPr>
                <w:rFonts w:ascii="Calibri" w:hAnsi="Calibri"/>
                <w:b w:val="0"/>
                <w:i w:val="0"/>
                <w:sz w:val="20"/>
              </w:rPr>
              <w:t>Online payment via ITI/TenderWizard portal</w:t>
            </w:r>
          </w:p>
        </w:tc>
        <w:tc>
          <w:tcPr>
            <w:tcW w:type="dxa" w:w="1701"/>
            <w:shd w:val="clear" w:color="auto" w:fill="DCE6F1"/>
          </w:tcPr>
          <w:p>
            <w:r/>
            <w:r>
              <w:rPr>
                <w:rFonts w:ascii="Calibri" w:hAnsi="Calibri"/>
                <w:b w:val="0"/>
                <w:i w:val="0"/>
                <w:sz w:val="20"/>
              </w:rPr>
              <w:t>Not specified</w:t>
            </w:r>
          </w:p>
        </w:tc>
      </w:tr>
      <w:tr>
        <w:tc>
          <w:tcPr>
            <w:tcW w:type="dxa" w:w="1701"/>
            <w:shd w:val="clear" w:color="auto" w:fill="FFFFFF"/>
          </w:tcPr>
          <w:p>
            <w:r/>
            <w:r>
              <w:rPr>
                <w:rFonts w:ascii="Calibri" w:hAnsi="Calibri"/>
                <w:b w:val="0"/>
                <w:i w:val="0"/>
                <w:sz w:val="20"/>
              </w:rPr>
              <w:t>NCPCR</w:t>
            </w:r>
          </w:p>
        </w:tc>
        <w:tc>
          <w:tcPr>
            <w:tcW w:type="dxa" w:w="1701"/>
            <w:shd w:val="clear" w:color="auto" w:fill="FFFFFF"/>
          </w:tcPr>
          <w:p>
            <w:r/>
            <w:r>
              <w:rPr>
                <w:rFonts w:ascii="Calibri" w:hAnsi="Calibri"/>
                <w:b w:val="0"/>
                <w:i w:val="0"/>
                <w:sz w:val="20"/>
              </w:rPr>
              <w:t>Rs. 1,00,000</w:t>
            </w:r>
          </w:p>
        </w:tc>
        <w:tc>
          <w:tcPr>
            <w:tcW w:type="dxa" w:w="3969"/>
            <w:shd w:val="clear" w:color="auto" w:fill="FFFFFF"/>
          </w:tcPr>
          <w:p>
            <w:r/>
            <w:r>
              <w:rPr>
                <w:rFonts w:ascii="Calibri" w:hAnsi="Calibri"/>
                <w:b w:val="0"/>
                <w:i w:val="0"/>
                <w:sz w:val="20"/>
              </w:rPr>
              <w:t>Bank Draft/Bankers Cheque (physical delivery)</w:t>
            </w:r>
          </w:p>
        </w:tc>
        <w:tc>
          <w:tcPr>
            <w:tcW w:type="dxa" w:w="1701"/>
            <w:shd w:val="clear" w:color="auto" w:fill="FFFFFF"/>
          </w:tcPr>
          <w:p>
            <w:r/>
            <w:r>
              <w:rPr>
                <w:rFonts w:ascii="Calibri" w:hAnsi="Calibri"/>
                <w:b w:val="0"/>
                <w:i w:val="0"/>
                <w:sz w:val="20"/>
              </w:rPr>
              <w:t>Yes</w:t>
            </w:r>
          </w:p>
        </w:tc>
      </w:tr>
      <w:tr>
        <w:tc>
          <w:tcPr>
            <w:tcW w:type="dxa" w:w="1701"/>
            <w:shd w:val="clear" w:color="auto" w:fill="DCE6F1"/>
          </w:tcPr>
          <w:p>
            <w:r/>
            <w:r>
              <w:rPr>
                <w:rFonts w:ascii="Calibri" w:hAnsi="Calibri"/>
                <w:b w:val="0"/>
                <w:i w:val="0"/>
                <w:sz w:val="20"/>
              </w:rPr>
              <w:t>HAL</w:t>
            </w:r>
          </w:p>
        </w:tc>
        <w:tc>
          <w:tcPr>
            <w:tcW w:type="dxa" w:w="1701"/>
            <w:shd w:val="clear" w:color="auto" w:fill="DCE6F1"/>
          </w:tcPr>
          <w:p>
            <w:r/>
            <w:r>
              <w:rPr>
                <w:rFonts w:ascii="Calibri" w:hAnsi="Calibri"/>
                <w:b w:val="0"/>
                <w:i w:val="0"/>
                <w:sz w:val="20"/>
              </w:rPr>
              <w:t>Bid Security Declaration</w:t>
            </w:r>
          </w:p>
        </w:tc>
        <w:tc>
          <w:tcPr>
            <w:tcW w:type="dxa" w:w="3969"/>
            <w:shd w:val="clear" w:color="auto" w:fill="DCE6F1"/>
          </w:tcPr>
          <w:p>
            <w:r/>
            <w:r>
              <w:rPr>
                <w:rFonts w:ascii="Calibri" w:hAnsi="Calibri"/>
                <w:b w:val="0"/>
                <w:i w:val="0"/>
                <w:sz w:val="20"/>
              </w:rPr>
              <w:t>Certificate/Declaration form only</w:t>
            </w:r>
          </w:p>
        </w:tc>
        <w:tc>
          <w:tcPr>
            <w:tcW w:type="dxa" w:w="1701"/>
            <w:shd w:val="clear" w:color="auto" w:fill="DCE6F1"/>
          </w:tcPr>
          <w:p>
            <w:r/>
            <w:r>
              <w:rPr>
                <w:rFonts w:ascii="Calibri" w:hAnsi="Calibri"/>
                <w:b w:val="0"/>
                <w:i w:val="0"/>
                <w:sz w:val="20"/>
              </w:rPr>
              <w:t>Implicit</w:t>
            </w:r>
          </w:p>
        </w:tc>
      </w:tr>
      <w:tr>
        <w:tc>
          <w:tcPr>
            <w:tcW w:type="dxa" w:w="1701"/>
            <w:shd w:val="clear" w:color="auto" w:fill="FFFFFF"/>
          </w:tcPr>
          <w:p>
            <w:r/>
            <w:r>
              <w:rPr>
                <w:rFonts w:ascii="Calibri" w:hAnsi="Calibri"/>
                <w:b w:val="0"/>
                <w:i w:val="0"/>
                <w:sz w:val="20"/>
              </w:rPr>
              <w:t>AAI</w:t>
            </w:r>
          </w:p>
        </w:tc>
        <w:tc>
          <w:tcPr>
            <w:tcW w:type="dxa" w:w="1701"/>
            <w:shd w:val="clear" w:color="auto" w:fill="FFFFFF"/>
          </w:tcPr>
          <w:p>
            <w:r/>
            <w:r>
              <w:rPr>
                <w:rFonts w:ascii="Calibri" w:hAnsi="Calibri"/>
                <w:b w:val="0"/>
                <w:i w:val="0"/>
                <w:sz w:val="20"/>
              </w:rPr>
              <w:t>Bid Security Declaration</w:t>
            </w:r>
          </w:p>
        </w:tc>
        <w:tc>
          <w:tcPr>
            <w:tcW w:type="dxa" w:w="3969"/>
            <w:shd w:val="clear" w:color="auto" w:fill="FFFFFF"/>
          </w:tcPr>
          <w:p>
            <w:r/>
            <w:r>
              <w:rPr>
                <w:rFonts w:ascii="Calibri" w:hAnsi="Calibri"/>
                <w:b w:val="0"/>
                <w:i w:val="0"/>
                <w:sz w:val="20"/>
              </w:rPr>
              <w:t>Declaration form (Form-10)</w:t>
            </w:r>
          </w:p>
        </w:tc>
        <w:tc>
          <w:tcPr>
            <w:tcW w:type="dxa" w:w="1701"/>
            <w:shd w:val="clear" w:color="auto" w:fill="FFFFFF"/>
          </w:tcPr>
          <w:p>
            <w:r/>
            <w:r>
              <w:rPr>
                <w:rFonts w:ascii="Calibri" w:hAnsi="Calibri"/>
                <w:b w:val="0"/>
                <w:i w:val="0"/>
                <w:sz w:val="20"/>
              </w:rPr>
              <w:t>Not specified</w:t>
            </w:r>
          </w:p>
        </w:tc>
      </w:tr>
    </w:tbl>
    <w:p/>
    <w:p>
      <w:pPr>
        <w:spacing w:after="160"/>
        <w:ind w:left="227"/>
      </w:pPr>
      <w:r>
        <w:rPr>
          <w:rFonts w:ascii="Calibri" w:hAnsi="Calibri"/>
          <w:b/>
          <w:i w:val="0"/>
          <w:color w:val="C00000"/>
          <w:sz w:val="20"/>
        </w:rPr>
        <w:t xml:space="preserve">Legal Observation: </w:t>
      </w:r>
      <w:r>
        <w:rPr>
          <w:rFonts w:ascii="Calibri" w:hAnsi="Calibri"/>
          <w:b w:val="0"/>
          <w:i/>
          <w:sz w:val="20"/>
        </w:rPr>
        <w:t>1. RLDA's cash EMD (Rs. 14.1L) is substantial and may deter smaller/mid-sized consultancies — potential challenge under Competition Act, 2002 if it unduly restricts market participation.</w:t>
        <w:br/>
        <w:t>2. HAL &amp; AAI's Bid Security Declaration aligns with the Finance Ministry circular of Feb 2020 which encouraged this route to ease working capital pressure on bidders. This is a legally progressive approach.</w:t>
        <w:br/>
        <w:t>3. NCPCR's physical delivery of Bank Draft creates procedural risk — delay/loss in transit could disqualify an otherwise eligible bidder; inconsistent with digital procurement best practices.</w:t>
        <w:br/>
        <w:t>4. All four RFPs include bid suspension/debarment provisions for withdrawal during validity — legally enforceable as liquidated damages under Section 74, Indian Contract Act.</w:t>
      </w:r>
    </w:p>
    <w:p>
      <w:pPr>
        <w:pStyle w:val="Heading1"/>
        <w:jc w:val="left"/>
      </w:pPr>
      <w:r>
        <w:rPr>
          <w:rFonts w:ascii="Calibri" w:hAnsi="Calibri"/>
          <w:color w:val="1F497D"/>
        </w:rPr>
        <w:t>V. Conflict of Interest (COI) Provisions</w:t>
      </w:r>
    </w:p>
    <w:p>
      <w:pPr>
        <w:pStyle w:val="Heading2"/>
        <w:jc w:val="left"/>
      </w:pPr>
      <w:r>
        <w:rPr>
          <w:rFonts w:ascii="Calibri" w:hAnsi="Calibri"/>
          <w:color w:val="4472C4"/>
        </w:rPr>
        <w:t>NCPCR — Most Detailed (Three-Tier Framework)</w:t>
      </w:r>
    </w:p>
    <w:p>
      <w:pPr>
        <w:pStyle w:val="ListBullet"/>
        <w:spacing w:after="40"/>
      </w:pPr>
      <w:r>
        <w:rPr>
          <w:rFonts w:ascii="Calibri" w:hAnsi="Calibri"/>
          <w:b w:val="0"/>
          <w:i w:val="0"/>
          <w:sz w:val="21"/>
        </w:rPr>
        <w:t>Conflicting Activities: consultant selected for this project is disqualified from downstream contracts related to the same project.</w:t>
      </w:r>
    </w:p>
    <w:p>
      <w:pPr>
        <w:pStyle w:val="ListBullet"/>
        <w:spacing w:after="40"/>
      </w:pPr>
      <w:r>
        <w:rPr>
          <w:rFonts w:ascii="Calibri" w:hAnsi="Calibri"/>
          <w:b w:val="0"/>
          <w:i w:val="0"/>
          <w:sz w:val="21"/>
        </w:rPr>
        <w:t>Conflicting Assignments: cannot hold assignments conflicting with NCPCR work with other employers.</w:t>
      </w:r>
    </w:p>
    <w:p>
      <w:pPr>
        <w:pStyle w:val="ListBullet"/>
        <w:spacing w:after="40"/>
      </w:pPr>
      <w:r>
        <w:rPr>
          <w:rFonts w:ascii="Calibri" w:hAnsi="Calibri"/>
          <w:b w:val="0"/>
          <w:i w:val="0"/>
          <w:sz w:val="21"/>
        </w:rPr>
        <w:t>Conflicting Relationships: family/business ties with NCPCR staff trigger disqualification unless resolved.</w:t>
      </w:r>
    </w:p>
    <w:p>
      <w:pPr>
        <w:pStyle w:val="ListBullet"/>
        <w:spacing w:after="40"/>
      </w:pPr>
      <w:r>
        <w:rPr>
          <w:rFonts w:ascii="Calibri" w:hAnsi="Calibri"/>
          <w:b w:val="0"/>
          <w:i w:val="0"/>
          <w:sz w:val="21"/>
        </w:rPr>
        <w:t>Obligation to self-disclose COI on penalty of disqualification or contract termination.</w:t>
      </w:r>
    </w:p>
    <w:p>
      <w:pPr>
        <w:pStyle w:val="Heading2"/>
        <w:jc w:val="left"/>
      </w:pPr>
      <w:r>
        <w:rPr>
          <w:rFonts w:ascii="Calibri" w:hAnsi="Calibri"/>
          <w:color w:val="4472C4"/>
        </w:rPr>
        <w:t>AAI — Contractually Embedded</w:t>
      </w:r>
    </w:p>
    <w:p>
      <w:pPr>
        <w:spacing w:after="80"/>
      </w:pPr>
      <w:r>
        <w:rPr>
          <w:rFonts w:ascii="Calibri" w:hAnsi="Calibri"/>
          <w:b w:val="0"/>
          <w:i w:val="0"/>
          <w:sz w:val="21"/>
        </w:rPr>
        <w:t>"The Consultant shall not have a conflict of interest..." — incorporated in formal Agreement (Schedule-2), making it a binding contractual obligation, not merely a bid-stage declaration. Includes a separate "Guidance Note on Conflict of Interest" as a document.</w:t>
      </w:r>
    </w:p>
    <w:p>
      <w:pPr>
        <w:pStyle w:val="Heading2"/>
        <w:jc w:val="left"/>
      </w:pPr>
      <w:r>
        <w:rPr>
          <w:rFonts w:ascii="Calibri" w:hAnsi="Calibri"/>
          <w:color w:val="4472C4"/>
        </w:rPr>
        <w:t>RLDA</w:t>
      </w:r>
    </w:p>
    <w:p>
      <w:pPr>
        <w:spacing w:after="80"/>
      </w:pPr>
      <w:r>
        <w:rPr>
          <w:rFonts w:ascii="Calibri" w:hAnsi="Calibri"/>
          <w:b w:val="0"/>
          <w:i w:val="0"/>
          <w:sz w:val="21"/>
        </w:rPr>
        <w:t>COI addressed under Fraud &amp; Corrupt Practices section — broadly covers offering employment to any official of the Authority. Triggers one-year cooling-off period after official's retirement/resignation.</w:t>
      </w:r>
    </w:p>
    <w:p>
      <w:pPr>
        <w:pStyle w:val="Heading2"/>
        <w:jc w:val="left"/>
      </w:pPr>
      <w:r>
        <w:rPr>
          <w:rFonts w:ascii="Calibri" w:hAnsi="Calibri"/>
          <w:color w:val="4472C4"/>
        </w:rPr>
        <w:t>HAL</w:t>
      </w:r>
    </w:p>
    <w:p>
      <w:pPr>
        <w:spacing w:after="80"/>
      </w:pPr>
      <w:r>
        <w:rPr>
          <w:rFonts w:ascii="Calibri" w:hAnsi="Calibri"/>
          <w:b w:val="0"/>
          <w:i w:val="0"/>
          <w:sz w:val="21"/>
        </w:rPr>
        <w:t>Declaration form included (Form-7, Form-8) but COI provisions less elaborately defined compared to NCPCR/AAI.</w:t>
      </w:r>
    </w:p>
    <w:p>
      <w:pPr>
        <w:spacing w:after="160"/>
        <w:ind w:left="227"/>
      </w:pPr>
      <w:r>
        <w:rPr>
          <w:rFonts w:ascii="Calibri" w:hAnsi="Calibri"/>
          <w:b/>
          <w:i w:val="0"/>
          <w:color w:val="C00000"/>
          <w:sz w:val="20"/>
        </w:rPr>
        <w:t xml:space="preserve">Legal Observation: </w:t>
      </w:r>
      <w:r>
        <w:rPr>
          <w:rFonts w:ascii="Calibri" w:hAnsi="Calibri"/>
          <w:b w:val="0"/>
          <w:i/>
          <w:sz w:val="20"/>
        </w:rPr>
        <w:t>NCPCR and AAI have the strongest COI frameworks. RLDA's approach of embedding COI within the anti-corruption/fraud section rather than as a standalone provision is legally adequate but operationally weaker — harder to enforce separately. HAL's approach relies on self-declaration without detailed criteria, creating enforcement gaps.</w:t>
      </w:r>
    </w:p>
    <w:p>
      <w:pPr>
        <w:pStyle w:val="Heading1"/>
        <w:jc w:val="left"/>
      </w:pPr>
      <w:r>
        <w:rPr>
          <w:rFonts w:ascii="Calibri" w:hAnsi="Calibri"/>
          <w:color w:val="1F497D"/>
        </w:rPr>
        <w:t>VI. Intellectual Property Rights (IPR)</w:t>
      </w:r>
    </w:p>
    <w:p>
      <w:pPr>
        <w:pStyle w:val="Heading2"/>
        <w:jc w:val="left"/>
      </w:pPr>
      <w:r>
        <w:rPr>
          <w:rFonts w:ascii="Calibri" w:hAnsi="Calibri"/>
          <w:color w:val="4472C4"/>
        </w:rPr>
        <w:t>RLDA — Clause 11</w:t>
      </w:r>
    </w:p>
    <w:p>
      <w:pPr>
        <w:spacing w:after="80"/>
      </w:pPr>
      <w:r>
        <w:rPr>
          <w:rFonts w:ascii="Calibri" w:hAnsi="Calibri"/>
          <w:b w:val="0"/>
          <w:i w:val="0"/>
          <w:sz w:val="21"/>
        </w:rPr>
        <w:t>"The Consultant warrants... it shall not infringe copyright, patent... of any third party and indemnifies RLDA against any claim..." and "RLDA has the right to use [works produced] anywhere else, without paying extra compensation to the Consultant." — Complete IP vesting with RLDA; no residual rights for consultant.</w:t>
      </w:r>
    </w:p>
    <w:p>
      <w:pPr>
        <w:pStyle w:val="Heading2"/>
        <w:jc w:val="left"/>
      </w:pPr>
      <w:r>
        <w:rPr>
          <w:rFonts w:ascii="Calibri" w:hAnsi="Calibri"/>
          <w:color w:val="4472C4"/>
        </w:rPr>
        <w:t>AAI — Clause 3.8 (Most Comprehensive)</w:t>
      </w:r>
    </w:p>
    <w:p>
      <w:pPr>
        <w:spacing w:after="80"/>
      </w:pPr>
      <w:r>
        <w:rPr>
          <w:rFonts w:ascii="Calibri" w:hAnsi="Calibri"/>
          <w:b w:val="0"/>
          <w:i w:val="0"/>
          <w:sz w:val="21"/>
        </w:rPr>
        <w:t>"All reports and other documents... shall become and remain the property of the Authority, and all intellectual property rights... shall vest with the Authority." Documents not vesting by law "shall automatically stand assigned to the Authority as and when such Consultancy Document is created." Includes indemnification; consultant may retain copies but cannot use without prior written approval.</w:t>
      </w:r>
    </w:p>
    <w:p>
      <w:pPr>
        <w:pStyle w:val="Heading2"/>
        <w:jc w:val="left"/>
      </w:pPr>
      <w:r>
        <w:rPr>
          <w:rFonts w:ascii="Calibri" w:hAnsi="Calibri"/>
          <w:color w:val="4472C4"/>
        </w:rPr>
        <w:t>HAL — Clause 8.2</w:t>
      </w:r>
    </w:p>
    <w:p>
      <w:pPr>
        <w:spacing w:after="80"/>
      </w:pPr>
      <w:r>
        <w:rPr>
          <w:rFonts w:ascii="Calibri" w:hAnsi="Calibri"/>
          <w:b w:val="0"/>
          <w:i w:val="0"/>
          <w:sz w:val="21"/>
        </w:rPr>
        <w:t>"Once submitted, the report/inputs/deliverables shall be the sole property of HAL and DDP... The contracted consultancy firm shall have no proprietary claim on any part/whole report." Covers both HAL and the Department of Defence Production — dual ownership.</w:t>
      </w:r>
    </w:p>
    <w:p>
      <w:pPr>
        <w:pStyle w:val="Heading2"/>
        <w:jc w:val="left"/>
      </w:pPr>
      <w:r>
        <w:rPr>
          <w:rFonts w:ascii="Calibri" w:hAnsi="Calibri"/>
          <w:color w:val="4472C4"/>
        </w:rPr>
        <w:t>NCPCR</w:t>
      </w:r>
    </w:p>
    <w:p>
      <w:pPr>
        <w:spacing w:after="80"/>
      </w:pPr>
      <w:r>
        <w:rPr>
          <w:rFonts w:ascii="Calibri" w:hAnsi="Calibri"/>
          <w:b w:val="0"/>
          <w:i w:val="0"/>
          <w:sz w:val="21"/>
        </w:rPr>
        <w:t>IP provisions not elaborately stated; governed by general terms of agreement.</w:t>
      </w:r>
    </w:p>
    <w:p>
      <w:pPr>
        <w:spacing w:after="160"/>
        <w:ind w:left="227"/>
      </w:pPr>
      <w:r>
        <w:rPr>
          <w:rFonts w:ascii="Calibri" w:hAnsi="Calibri"/>
          <w:b/>
          <w:i w:val="0"/>
          <w:color w:val="C00000"/>
          <w:sz w:val="20"/>
        </w:rPr>
        <w:t xml:space="preserve">Legal Observation: </w:t>
      </w:r>
      <w:r>
        <w:rPr>
          <w:rFonts w:ascii="Calibri" w:hAnsi="Calibri"/>
          <w:b w:val="0"/>
          <w:i/>
          <w:sz w:val="20"/>
        </w:rPr>
        <w:t>All three explicit IPR clauses (RLDA, HAL, AAI) completely divest consultants of IP rights — standard in government contracts but legally aggressive compared to private-sector norms. AAI's automatic assignment language is the most legally robust — removes need for a separate assignment deed. HAL's dual ownership (HAL + DDP) creates ambiguity — if HAL and DDP have a future dispute over use of deliverables, there is no internal priority mechanism specified.</w:t>
      </w:r>
    </w:p>
    <w:p>
      <w:pPr>
        <w:pStyle w:val="Heading1"/>
        <w:jc w:val="left"/>
      </w:pPr>
      <w:r>
        <w:rPr>
          <w:rFonts w:ascii="Calibri" w:hAnsi="Calibri"/>
          <w:color w:val="1F497D"/>
        </w:rPr>
        <w:t>VII. Confidentiality Obligations</w:t>
      </w:r>
    </w:p>
    <w:p>
      <w:pPr>
        <w:pStyle w:val="Heading2"/>
        <w:jc w:val="left"/>
      </w:pPr>
      <w:r>
        <w:rPr>
          <w:rFonts w:ascii="Calibri" w:hAnsi="Calibri"/>
          <w:color w:val="4472C4"/>
        </w:rPr>
        <w:t>RLDA</w:t>
      </w:r>
    </w:p>
    <w:p>
      <w:pPr>
        <w:spacing w:after="80"/>
      </w:pPr>
      <w:r>
        <w:rPr>
          <w:rFonts w:ascii="Calibri" w:hAnsi="Calibri"/>
          <w:b w:val="0"/>
          <w:i w:val="0"/>
          <w:sz w:val="21"/>
        </w:rPr>
        <w:t>"Information relating to evaluation... shall not be disclosed... The undue use by any Bidder of confidential information... may result in the rejection of its tender and may be debarred from participating in future tenders." — One-way confidentiality (bidder's side); limited obligation on RLDA's personnel.</w:t>
      </w:r>
    </w:p>
    <w:p>
      <w:pPr>
        <w:pStyle w:val="Heading2"/>
        <w:jc w:val="left"/>
      </w:pPr>
      <w:r>
        <w:rPr>
          <w:rFonts w:ascii="Calibri" w:hAnsi="Calibri"/>
          <w:color w:val="4472C4"/>
        </w:rPr>
        <w:t>AAI — Survives Termination</w:t>
      </w:r>
    </w:p>
    <w:p>
      <w:pPr>
        <w:spacing w:after="80"/>
      </w:pPr>
      <w:r>
        <w:rPr>
          <w:rFonts w:ascii="Calibri" w:hAnsi="Calibri"/>
          <w:b w:val="0"/>
          <w:i w:val="0"/>
          <w:sz w:val="21"/>
        </w:rPr>
        <w:t>Explicit survival of confidentiality obligations post-termination. "Confidential Information" defined; obligations survive expiry/termination of agreement.</w:t>
      </w:r>
    </w:p>
    <w:p>
      <w:pPr>
        <w:pStyle w:val="Heading2"/>
        <w:jc w:val="left"/>
      </w:pPr>
      <w:r>
        <w:rPr>
          <w:rFonts w:ascii="Calibri" w:hAnsi="Calibri"/>
          <w:color w:val="4472C4"/>
        </w:rPr>
        <w:t>NCPCR — Clause 16</w:t>
      </w:r>
    </w:p>
    <w:p>
      <w:pPr>
        <w:spacing w:after="80"/>
      </w:pPr>
      <w:r>
        <w:rPr>
          <w:rFonts w:ascii="Calibri" w:hAnsi="Calibri"/>
          <w:b w:val="0"/>
          <w:i w:val="0"/>
          <w:sz w:val="21"/>
        </w:rPr>
        <w:t>"Information relating to evaluation of proposals and recommendation concerning awards shall not be disclosed..." — Limits confidentiality to the evaluation stage only.</w:t>
      </w:r>
    </w:p>
    <w:p>
      <w:pPr>
        <w:spacing w:after="160"/>
        <w:ind w:left="227"/>
      </w:pPr>
      <w:r>
        <w:rPr>
          <w:rFonts w:ascii="Calibri" w:hAnsi="Calibri"/>
          <w:b/>
          <w:i w:val="0"/>
          <w:color w:val="C00000"/>
          <w:sz w:val="20"/>
        </w:rPr>
        <w:t xml:space="preserve">Legal Observation: </w:t>
      </w:r>
      <w:r>
        <w:rPr>
          <w:rFonts w:ascii="Calibri" w:hAnsi="Calibri"/>
          <w:b w:val="0"/>
          <w:i/>
          <w:sz w:val="20"/>
        </w:rPr>
        <w:t>RLDA's confidentiality clause focuses only on the selection process, not the post-award performance phase. AAI's clause covering the contractual performance period and post-termination is the strongest. Bidders should ensure that their confidential business information (methodologies, pricing logic) is protected — these RFPs offer minimal protection to bidders' proprietary information.</w:t>
      </w:r>
    </w:p>
    <w:p>
      <w:pPr>
        <w:pStyle w:val="Heading1"/>
        <w:jc w:val="left"/>
      </w:pPr>
      <w:r>
        <w:rPr>
          <w:rFonts w:ascii="Calibri" w:hAnsi="Calibri"/>
          <w:color w:val="1F497D"/>
        </w:rPr>
        <w:t>VIII. Performance Guarantee / Security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F497D"/>
          </w:tcPr>
          <w:p>
            <w:r/>
            <w:r>
              <w:rPr>
                <w:rFonts w:ascii="Calibri" w:hAnsi="Calibri"/>
                <w:b/>
                <w:i w:val="0"/>
                <w:color w:val="FFFFFF"/>
                <w:sz w:val="20"/>
              </w:rPr>
              <w:t>Organisation</w:t>
            </w:r>
          </w:p>
        </w:tc>
        <w:tc>
          <w:tcPr>
            <w:tcW w:type="dxa" w:w="1984"/>
            <w:shd w:val="clear" w:color="auto" w:fill="1F497D"/>
          </w:tcPr>
          <w:p>
            <w:r/>
            <w:r>
              <w:rPr>
                <w:rFonts w:ascii="Calibri" w:hAnsi="Calibri"/>
                <w:b/>
                <w:i w:val="0"/>
                <w:color w:val="FFFFFF"/>
                <w:sz w:val="20"/>
              </w:rPr>
              <w:t>PG Amount</w:t>
            </w:r>
          </w:p>
        </w:tc>
        <w:tc>
          <w:tcPr>
            <w:tcW w:type="dxa" w:w="2268"/>
            <w:shd w:val="clear" w:color="auto" w:fill="1F497D"/>
          </w:tcPr>
          <w:p>
            <w:r/>
            <w:r>
              <w:rPr>
                <w:rFonts w:ascii="Calibri" w:hAnsi="Calibri"/>
                <w:b/>
                <w:i w:val="0"/>
                <w:color w:val="FFFFFF"/>
                <w:sz w:val="20"/>
              </w:rPr>
              <w:t>Form</w:t>
            </w:r>
          </w:p>
        </w:tc>
        <w:tc>
          <w:tcPr>
            <w:tcW w:type="dxa" w:w="3118"/>
            <w:shd w:val="clear" w:color="auto" w:fill="1F497D"/>
          </w:tcPr>
          <w:p>
            <w:r/>
            <w:r>
              <w:rPr>
                <w:rFonts w:ascii="Calibri" w:hAnsi="Calibri"/>
                <w:b/>
                <w:i w:val="0"/>
                <w:color w:val="FFFFFF"/>
                <w:sz w:val="20"/>
              </w:rPr>
              <w:t>Key Features</w:t>
            </w:r>
          </w:p>
        </w:tc>
      </w:tr>
      <w:tr>
        <w:tc>
          <w:tcPr>
            <w:tcW w:type="dxa" w:w="1417"/>
            <w:shd w:val="clear" w:color="auto" w:fill="DCE6F1"/>
          </w:tcPr>
          <w:p>
            <w:r/>
            <w:r>
              <w:rPr>
                <w:rFonts w:ascii="Calibri" w:hAnsi="Calibri"/>
                <w:b w:val="0"/>
                <w:i w:val="0"/>
                <w:sz w:val="20"/>
              </w:rPr>
              <w:t>RLDA</w:t>
            </w:r>
          </w:p>
        </w:tc>
        <w:tc>
          <w:tcPr>
            <w:tcW w:type="dxa" w:w="1984"/>
            <w:shd w:val="clear" w:color="auto" w:fill="DCE6F1"/>
          </w:tcPr>
          <w:p>
            <w:r/>
            <w:r>
              <w:rPr>
                <w:rFonts w:ascii="Calibri" w:hAnsi="Calibri"/>
                <w:b w:val="0"/>
                <w:i w:val="0"/>
                <w:sz w:val="20"/>
              </w:rPr>
              <w:t>Not specified (BG format included as Annex-6)</w:t>
            </w:r>
          </w:p>
        </w:tc>
        <w:tc>
          <w:tcPr>
            <w:tcW w:type="dxa" w:w="2268"/>
            <w:shd w:val="clear" w:color="auto" w:fill="DCE6F1"/>
          </w:tcPr>
          <w:p>
            <w:r/>
            <w:r>
              <w:rPr>
                <w:rFonts w:ascii="Calibri" w:hAnsi="Calibri"/>
                <w:b w:val="0"/>
                <w:i w:val="0"/>
                <w:sz w:val="20"/>
              </w:rPr>
              <w:t>Unconditional Bank Guarantee</w:t>
            </w:r>
          </w:p>
        </w:tc>
        <w:tc>
          <w:tcPr>
            <w:tcW w:type="dxa" w:w="3118"/>
            <w:shd w:val="clear" w:color="auto" w:fill="DCE6F1"/>
          </w:tcPr>
          <w:p>
            <w:r/>
            <w:r>
              <w:rPr>
                <w:rFonts w:ascii="Calibri" w:hAnsi="Calibri"/>
                <w:b w:val="0"/>
                <w:i w:val="0"/>
                <w:sz w:val="20"/>
              </w:rPr>
              <w:t>Submitted post-LOA; payable on first demand without deductions</w:t>
            </w:r>
          </w:p>
        </w:tc>
      </w:tr>
      <w:tr>
        <w:tc>
          <w:tcPr>
            <w:tcW w:type="dxa" w:w="1417"/>
            <w:shd w:val="clear" w:color="auto" w:fill="FFFFFF"/>
          </w:tcPr>
          <w:p>
            <w:r/>
            <w:r>
              <w:rPr>
                <w:rFonts w:ascii="Calibri" w:hAnsi="Calibri"/>
                <w:b w:val="0"/>
                <w:i w:val="0"/>
                <w:sz w:val="20"/>
              </w:rPr>
              <w:t>NCPCR</w:t>
            </w:r>
          </w:p>
        </w:tc>
        <w:tc>
          <w:tcPr>
            <w:tcW w:type="dxa" w:w="1984"/>
            <w:shd w:val="clear" w:color="auto" w:fill="FFFFFF"/>
          </w:tcPr>
          <w:p>
            <w:r/>
            <w:r>
              <w:rPr>
                <w:rFonts w:ascii="Calibri" w:hAnsi="Calibri"/>
                <w:b w:val="0"/>
                <w:i w:val="0"/>
                <w:sz w:val="20"/>
              </w:rPr>
              <w:t>5% of agreement value (EMD adjusted against PG)</w:t>
            </w:r>
          </w:p>
        </w:tc>
        <w:tc>
          <w:tcPr>
            <w:tcW w:type="dxa" w:w="2268"/>
            <w:shd w:val="clear" w:color="auto" w:fill="FFFFFF"/>
          </w:tcPr>
          <w:p>
            <w:r/>
            <w:r>
              <w:rPr>
                <w:rFonts w:ascii="Calibri" w:hAnsi="Calibri"/>
                <w:b w:val="0"/>
                <w:i w:val="0"/>
                <w:sz w:val="20"/>
              </w:rPr>
              <w:t>Unconditional &amp; irrevocable BG — scheduled commercial bank</w:t>
            </w:r>
          </w:p>
        </w:tc>
        <w:tc>
          <w:tcPr>
            <w:tcW w:type="dxa" w:w="3118"/>
            <w:shd w:val="clear" w:color="auto" w:fill="FFFFFF"/>
          </w:tcPr>
          <w:p>
            <w:r/>
            <w:r>
              <w:rPr>
                <w:rFonts w:ascii="Calibri" w:hAnsi="Calibri"/>
                <w:b w:val="0"/>
                <w:i w:val="0"/>
                <w:sz w:val="20"/>
              </w:rPr>
              <w:t>Must be submitted before signing; renewable for extensions; 60-day claim period beyond completion</w:t>
            </w:r>
          </w:p>
        </w:tc>
      </w:tr>
      <w:tr>
        <w:tc>
          <w:tcPr>
            <w:tcW w:type="dxa" w:w="1417"/>
            <w:shd w:val="clear" w:color="auto" w:fill="DCE6F1"/>
          </w:tcPr>
          <w:p>
            <w:r/>
            <w:r>
              <w:rPr>
                <w:rFonts w:ascii="Calibri" w:hAnsi="Calibri"/>
                <w:b w:val="0"/>
                <w:i w:val="0"/>
                <w:sz w:val="20"/>
              </w:rPr>
              <w:t>HAL</w:t>
            </w:r>
          </w:p>
        </w:tc>
        <w:tc>
          <w:tcPr>
            <w:tcW w:type="dxa" w:w="1984"/>
            <w:shd w:val="clear" w:color="auto" w:fill="DCE6F1"/>
          </w:tcPr>
          <w:p>
            <w:r/>
            <w:r>
              <w:rPr>
                <w:rFonts w:ascii="Calibri" w:hAnsi="Calibri"/>
                <w:b w:val="0"/>
                <w:i w:val="0"/>
                <w:sz w:val="20"/>
              </w:rPr>
              <w:t>Not explicitly quantified in reviewed sections</w:t>
            </w:r>
          </w:p>
        </w:tc>
        <w:tc>
          <w:tcPr>
            <w:tcW w:type="dxa" w:w="2268"/>
            <w:shd w:val="clear" w:color="auto" w:fill="DCE6F1"/>
          </w:tcPr>
          <w:p>
            <w:r/>
            <w:r>
              <w:rPr>
                <w:rFonts w:ascii="Calibri" w:hAnsi="Calibri"/>
                <w:b w:val="0"/>
                <w:i w:val="0"/>
                <w:sz w:val="20"/>
              </w:rPr>
              <w:t>Bid Security Declaration</w:t>
            </w:r>
          </w:p>
        </w:tc>
        <w:tc>
          <w:tcPr>
            <w:tcW w:type="dxa" w:w="3118"/>
            <w:shd w:val="clear" w:color="auto" w:fill="DCE6F1"/>
          </w:tcPr>
          <w:p>
            <w:r/>
            <w:r>
              <w:rPr>
                <w:rFonts w:ascii="Calibri" w:hAnsi="Calibri"/>
                <w:b w:val="0"/>
                <w:i w:val="0"/>
                <w:sz w:val="20"/>
              </w:rPr>
              <w:t>Performance instrument per contract terms</w:t>
            </w:r>
          </w:p>
        </w:tc>
      </w:tr>
      <w:tr>
        <w:tc>
          <w:tcPr>
            <w:tcW w:type="dxa" w:w="1417"/>
            <w:shd w:val="clear" w:color="auto" w:fill="FFFFFF"/>
          </w:tcPr>
          <w:p>
            <w:r/>
            <w:r>
              <w:rPr>
                <w:rFonts w:ascii="Calibri" w:hAnsi="Calibri"/>
                <w:b w:val="0"/>
                <w:i w:val="0"/>
                <w:sz w:val="20"/>
              </w:rPr>
              <w:t>AAI</w:t>
            </w:r>
          </w:p>
        </w:tc>
        <w:tc>
          <w:tcPr>
            <w:tcW w:type="dxa" w:w="1984"/>
            <w:shd w:val="clear" w:color="auto" w:fill="FFFFFF"/>
          </w:tcPr>
          <w:p>
            <w:r/>
            <w:r>
              <w:rPr>
                <w:rFonts w:ascii="Calibri" w:hAnsi="Calibri"/>
                <w:b w:val="0"/>
                <w:i w:val="0"/>
                <w:sz w:val="20"/>
              </w:rPr>
              <w:t>As per Agreement</w:t>
            </w:r>
          </w:p>
        </w:tc>
        <w:tc>
          <w:tcPr>
            <w:tcW w:type="dxa" w:w="2268"/>
            <w:shd w:val="clear" w:color="auto" w:fill="FFFFFF"/>
          </w:tcPr>
          <w:p>
            <w:r/>
            <w:r>
              <w:rPr>
                <w:rFonts w:ascii="Calibri" w:hAnsi="Calibri"/>
                <w:b w:val="0"/>
                <w:i w:val="0"/>
                <w:sz w:val="20"/>
              </w:rPr>
              <w:t>Bank Guarantee to AAI Chairman (Annex-5 of Schedule-2)</w:t>
            </w:r>
          </w:p>
        </w:tc>
        <w:tc>
          <w:tcPr>
            <w:tcW w:type="dxa" w:w="3118"/>
            <w:shd w:val="clear" w:color="auto" w:fill="FFFFFF"/>
          </w:tcPr>
          <w:p>
            <w:r/>
            <w:r>
              <w:rPr>
                <w:rFonts w:ascii="Calibri" w:hAnsi="Calibri"/>
                <w:b w:val="0"/>
                <w:i w:val="0"/>
                <w:sz w:val="20"/>
              </w:rPr>
              <w:t>Unconditional; payable on first demand without set-off or counter claim</w:t>
            </w:r>
          </w:p>
        </w:tc>
      </w:tr>
    </w:tbl>
    <w:p/>
    <w:p>
      <w:pPr>
        <w:spacing w:after="160"/>
        <w:ind w:left="227"/>
      </w:pPr>
      <w:r>
        <w:rPr>
          <w:rFonts w:ascii="Calibri" w:hAnsi="Calibri"/>
          <w:b/>
          <w:i w:val="0"/>
          <w:color w:val="C00000"/>
          <w:sz w:val="20"/>
        </w:rPr>
        <w:t xml:space="preserve">Legal Observation: </w:t>
      </w:r>
      <w:r>
        <w:rPr>
          <w:rFonts w:ascii="Calibri" w:hAnsi="Calibri"/>
          <w:b w:val="0"/>
          <w:i/>
          <w:sz w:val="20"/>
        </w:rPr>
        <w:t>NCPCR's 5% PG with 60-day claim period is aligned with standard GoI procurement practice. The requirement to renew BG for extended periods is legally appropriate — failure to renew constitutes breach. RLDA/AAI BG formats include the legally critical phrase 'pay on First Demand... without any deductions, set-off or counter claim' — this is an unconditional, on-demand bank guarantee enforceable immediately upon invocation (SC: BSES Ltd. v. Fenner India Ltd., 2006).</w:t>
      </w:r>
    </w:p>
    <w:p>
      <w:pPr>
        <w:pStyle w:val="Heading1"/>
        <w:jc w:val="left"/>
      </w:pPr>
      <w:r>
        <w:rPr>
          <w:rFonts w:ascii="Calibri" w:hAnsi="Calibri"/>
          <w:color w:val="1F497D"/>
        </w:rPr>
        <w:t>IX. Payment Terms &amp; Milestone Linkage</w:t>
      </w:r>
    </w:p>
    <w:p>
      <w:pPr>
        <w:pStyle w:val="Heading2"/>
        <w:jc w:val="left"/>
      </w:pPr>
      <w:r>
        <w:rPr>
          <w:rFonts w:ascii="Calibri" w:hAnsi="Calibri"/>
          <w:color w:val="4472C4"/>
        </w:rPr>
        <w:t>RLDA</w:t>
      </w:r>
    </w:p>
    <w:p>
      <w:pPr>
        <w:spacing w:after="80"/>
      </w:pPr>
      <w:r>
        <w:rPr>
          <w:rFonts w:ascii="Calibri" w:hAnsi="Calibri"/>
          <w:b w:val="0"/>
          <w:i w:val="0"/>
          <w:sz w:val="21"/>
        </w:rPr>
        <w:t>Lump sum fee quoted in Financial Proposal (Form 3). Monthly reports required. 14-month engagement. Payment milestone structure not fully elaborated.</w:t>
      </w:r>
    </w:p>
    <w:p>
      <w:pPr>
        <w:pStyle w:val="Heading2"/>
        <w:jc w:val="left"/>
      </w:pPr>
      <w:r>
        <w:rPr>
          <w:rFonts w:ascii="Calibri" w:hAnsi="Calibri"/>
          <w:color w:val="4472C4"/>
        </w:rPr>
        <w:t>HAL — Five-Phase Milestone Framework</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color="auto" w:fill="1F497D"/>
          </w:tcPr>
          <w:p>
            <w:r/>
            <w:r>
              <w:rPr>
                <w:rFonts w:ascii="Calibri" w:hAnsi="Calibri"/>
                <w:b/>
                <w:i w:val="0"/>
                <w:color w:val="FFFFFF"/>
                <w:sz w:val="20"/>
              </w:rPr>
              <w:t>Phase</w:t>
            </w:r>
          </w:p>
        </w:tc>
        <w:tc>
          <w:tcPr>
            <w:tcW w:type="dxa" w:w="5669"/>
            <w:shd w:val="clear" w:color="auto" w:fill="1F497D"/>
          </w:tcPr>
          <w:p>
            <w:r/>
            <w:r>
              <w:rPr>
                <w:rFonts w:ascii="Calibri" w:hAnsi="Calibri"/>
                <w:b/>
                <w:i w:val="0"/>
                <w:color w:val="FFFFFF"/>
                <w:sz w:val="20"/>
              </w:rPr>
              <w:t>Milestone</w:t>
            </w:r>
          </w:p>
        </w:tc>
        <w:tc>
          <w:tcPr>
            <w:tcW w:type="dxa" w:w="1984"/>
            <w:shd w:val="clear" w:color="auto" w:fill="1F497D"/>
          </w:tcPr>
          <w:p>
            <w:r/>
            <w:r>
              <w:rPr>
                <w:rFonts w:ascii="Calibri" w:hAnsi="Calibri"/>
                <w:b/>
                <w:i w:val="0"/>
                <w:color w:val="FFFFFF"/>
                <w:sz w:val="20"/>
              </w:rPr>
              <w:t>Payment %</w:t>
            </w:r>
          </w:p>
        </w:tc>
      </w:tr>
      <w:tr>
        <w:tc>
          <w:tcPr>
            <w:tcW w:type="dxa" w:w="1134"/>
            <w:shd w:val="clear" w:color="auto" w:fill="DCE6F1"/>
          </w:tcPr>
          <w:p>
            <w:r/>
            <w:r>
              <w:rPr>
                <w:rFonts w:ascii="Calibri" w:hAnsi="Calibri"/>
                <w:b w:val="0"/>
                <w:i w:val="0"/>
                <w:sz w:val="20"/>
              </w:rPr>
              <w:t>1</w:t>
            </w:r>
          </w:p>
        </w:tc>
        <w:tc>
          <w:tcPr>
            <w:tcW w:type="dxa" w:w="5669"/>
            <w:shd w:val="clear" w:color="auto" w:fill="DCE6F1"/>
          </w:tcPr>
          <w:p>
            <w:r/>
            <w:r>
              <w:rPr>
                <w:rFonts w:ascii="Calibri" w:hAnsi="Calibri"/>
                <w:b w:val="0"/>
                <w:i w:val="0"/>
                <w:sz w:val="20"/>
              </w:rPr>
              <w:t>Inception Report</w:t>
            </w:r>
          </w:p>
        </w:tc>
        <w:tc>
          <w:tcPr>
            <w:tcW w:type="dxa" w:w="1984"/>
            <w:shd w:val="clear" w:color="auto" w:fill="DCE6F1"/>
          </w:tcPr>
          <w:p>
            <w:r/>
            <w:r>
              <w:rPr>
                <w:rFonts w:ascii="Calibri" w:hAnsi="Calibri"/>
                <w:b w:val="0"/>
                <w:i w:val="0"/>
                <w:sz w:val="20"/>
              </w:rPr>
              <w:t>5%</w:t>
            </w:r>
          </w:p>
        </w:tc>
      </w:tr>
      <w:tr>
        <w:tc>
          <w:tcPr>
            <w:tcW w:type="dxa" w:w="1134"/>
            <w:shd w:val="clear" w:color="auto" w:fill="FFFFFF"/>
          </w:tcPr>
          <w:p>
            <w:r/>
            <w:r>
              <w:rPr>
                <w:rFonts w:ascii="Calibri" w:hAnsi="Calibri"/>
                <w:b w:val="0"/>
                <w:i w:val="0"/>
                <w:sz w:val="20"/>
              </w:rPr>
              <w:t>2</w:t>
            </w:r>
          </w:p>
        </w:tc>
        <w:tc>
          <w:tcPr>
            <w:tcW w:type="dxa" w:w="5669"/>
            <w:shd w:val="clear" w:color="auto" w:fill="FFFFFF"/>
          </w:tcPr>
          <w:p>
            <w:r/>
            <w:r>
              <w:rPr>
                <w:rFonts w:ascii="Calibri" w:hAnsi="Calibri"/>
                <w:b w:val="0"/>
                <w:i w:val="0"/>
                <w:sz w:val="20"/>
              </w:rPr>
              <w:t>As-is Analysis / Benchmarking</w:t>
            </w:r>
          </w:p>
        </w:tc>
        <w:tc>
          <w:tcPr>
            <w:tcW w:type="dxa" w:w="1984"/>
            <w:shd w:val="clear" w:color="auto" w:fill="FFFFFF"/>
          </w:tcPr>
          <w:p>
            <w:r/>
            <w:r>
              <w:rPr>
                <w:rFonts w:ascii="Calibri" w:hAnsi="Calibri"/>
                <w:b w:val="0"/>
                <w:i w:val="0"/>
                <w:sz w:val="20"/>
              </w:rPr>
              <w:t>5%</w:t>
            </w:r>
          </w:p>
        </w:tc>
      </w:tr>
      <w:tr>
        <w:tc>
          <w:tcPr>
            <w:tcW w:type="dxa" w:w="1134"/>
            <w:shd w:val="clear" w:color="auto" w:fill="DCE6F1"/>
          </w:tcPr>
          <w:p>
            <w:r/>
            <w:r>
              <w:rPr>
                <w:rFonts w:ascii="Calibri" w:hAnsi="Calibri"/>
                <w:b w:val="0"/>
                <w:i w:val="0"/>
                <w:sz w:val="20"/>
              </w:rPr>
              <w:t>3</w:t>
            </w:r>
          </w:p>
        </w:tc>
        <w:tc>
          <w:tcPr>
            <w:tcW w:type="dxa" w:w="5669"/>
            <w:shd w:val="clear" w:color="auto" w:fill="DCE6F1"/>
          </w:tcPr>
          <w:p>
            <w:r/>
            <w:r>
              <w:rPr>
                <w:rFonts w:ascii="Calibri" w:hAnsi="Calibri"/>
                <w:b w:val="0"/>
                <w:i w:val="0"/>
                <w:sz w:val="20"/>
              </w:rPr>
              <w:t>To-be State Report</w:t>
            </w:r>
          </w:p>
        </w:tc>
        <w:tc>
          <w:tcPr>
            <w:tcW w:type="dxa" w:w="1984"/>
            <w:shd w:val="clear" w:color="auto" w:fill="DCE6F1"/>
          </w:tcPr>
          <w:p>
            <w:r/>
            <w:r>
              <w:rPr>
                <w:rFonts w:ascii="Calibri" w:hAnsi="Calibri"/>
                <w:b w:val="0"/>
                <w:i w:val="0"/>
                <w:sz w:val="20"/>
              </w:rPr>
              <w:t>10%</w:t>
            </w:r>
          </w:p>
        </w:tc>
      </w:tr>
      <w:tr>
        <w:tc>
          <w:tcPr>
            <w:tcW w:type="dxa" w:w="1134"/>
            <w:shd w:val="clear" w:color="auto" w:fill="FFFFFF"/>
          </w:tcPr>
          <w:p>
            <w:r/>
            <w:r>
              <w:rPr>
                <w:rFonts w:ascii="Calibri" w:hAnsi="Calibri"/>
                <w:b w:val="0"/>
                <w:i w:val="0"/>
                <w:sz w:val="20"/>
              </w:rPr>
              <w:t>4</w:t>
            </w:r>
          </w:p>
        </w:tc>
        <w:tc>
          <w:tcPr>
            <w:tcW w:type="dxa" w:w="5669"/>
            <w:shd w:val="clear" w:color="auto" w:fill="FFFFFF"/>
          </w:tcPr>
          <w:p>
            <w:r/>
            <w:r>
              <w:rPr>
                <w:rFonts w:ascii="Calibri" w:hAnsi="Calibri"/>
                <w:b w:val="0"/>
                <w:i w:val="0"/>
                <w:sz w:val="20"/>
              </w:rPr>
              <w:t>Implementation Draft Report</w:t>
            </w:r>
          </w:p>
        </w:tc>
        <w:tc>
          <w:tcPr>
            <w:tcW w:type="dxa" w:w="1984"/>
            <w:shd w:val="clear" w:color="auto" w:fill="FFFFFF"/>
          </w:tcPr>
          <w:p>
            <w:r/>
            <w:r>
              <w:rPr>
                <w:rFonts w:ascii="Calibri" w:hAnsi="Calibri"/>
                <w:b w:val="0"/>
                <w:i w:val="0"/>
                <w:sz w:val="20"/>
              </w:rPr>
              <w:t>20%</w:t>
            </w:r>
          </w:p>
        </w:tc>
      </w:tr>
      <w:tr>
        <w:tc>
          <w:tcPr>
            <w:tcW w:type="dxa" w:w="1134"/>
            <w:shd w:val="clear" w:color="auto" w:fill="DCE6F1"/>
          </w:tcPr>
          <w:p>
            <w:r/>
            <w:r>
              <w:rPr>
                <w:rFonts w:ascii="Calibri" w:hAnsi="Calibri"/>
                <w:b w:val="0"/>
                <w:i w:val="0"/>
                <w:sz w:val="20"/>
              </w:rPr>
              <w:t>4</w:t>
            </w:r>
          </w:p>
        </w:tc>
        <w:tc>
          <w:tcPr>
            <w:tcW w:type="dxa" w:w="5669"/>
            <w:shd w:val="clear" w:color="auto" w:fill="DCE6F1"/>
          </w:tcPr>
          <w:p>
            <w:r/>
            <w:r>
              <w:rPr>
                <w:rFonts w:ascii="Calibri" w:hAnsi="Calibri"/>
                <w:b w:val="0"/>
                <w:i w:val="0"/>
                <w:sz w:val="20"/>
              </w:rPr>
              <w:t>Final Implementation Roadmap</w:t>
            </w:r>
          </w:p>
        </w:tc>
        <w:tc>
          <w:tcPr>
            <w:tcW w:type="dxa" w:w="1984"/>
            <w:shd w:val="clear" w:color="auto" w:fill="DCE6F1"/>
          </w:tcPr>
          <w:p>
            <w:r/>
            <w:r>
              <w:rPr>
                <w:rFonts w:ascii="Calibri" w:hAnsi="Calibri"/>
                <w:b w:val="0"/>
                <w:i w:val="0"/>
                <w:sz w:val="20"/>
              </w:rPr>
              <w:t>10%</w:t>
            </w:r>
          </w:p>
        </w:tc>
      </w:tr>
      <w:tr>
        <w:tc>
          <w:tcPr>
            <w:tcW w:type="dxa" w:w="1134"/>
            <w:shd w:val="clear" w:color="auto" w:fill="FFFFFF"/>
          </w:tcPr>
          <w:p>
            <w:r/>
            <w:r>
              <w:rPr>
                <w:rFonts w:ascii="Calibri" w:hAnsi="Calibri"/>
                <w:b w:val="0"/>
                <w:i w:val="0"/>
                <w:sz w:val="20"/>
              </w:rPr>
              <w:t>5</w:t>
            </w:r>
          </w:p>
        </w:tc>
        <w:tc>
          <w:tcPr>
            <w:tcW w:type="dxa" w:w="5669"/>
            <w:shd w:val="clear" w:color="auto" w:fill="FFFFFF"/>
          </w:tcPr>
          <w:p>
            <w:r/>
            <w:r>
              <w:rPr>
                <w:rFonts w:ascii="Calibri" w:hAnsi="Calibri"/>
                <w:b w:val="0"/>
                <w:i w:val="0"/>
                <w:sz w:val="20"/>
              </w:rPr>
              <w:t>Support &amp; Hand-holding</w:t>
            </w:r>
          </w:p>
        </w:tc>
        <w:tc>
          <w:tcPr>
            <w:tcW w:type="dxa" w:w="1984"/>
            <w:shd w:val="clear" w:color="auto" w:fill="FFFFFF"/>
          </w:tcPr>
          <w:p>
            <w:r/>
            <w:r>
              <w:rPr>
                <w:rFonts w:ascii="Calibri" w:hAnsi="Calibri"/>
                <w:b w:val="0"/>
                <w:i w:val="0"/>
                <w:sz w:val="20"/>
              </w:rPr>
              <w:t>30%</w:t>
            </w:r>
          </w:p>
        </w:tc>
      </w:tr>
    </w:tbl>
    <w:p/>
    <w:p>
      <w:pPr>
        <w:spacing w:after="80"/>
      </w:pPr>
      <w:r>
        <w:rPr>
          <w:rFonts w:ascii="Calibri" w:hAnsi="Calibri"/>
          <w:b w:val="0"/>
          <w:i w:val="0"/>
          <w:sz w:val="21"/>
        </w:rPr>
        <w:t>Lead time for payment: ~30 days after invoice. Payment requires satisfactory completion report duly signed by both parties (HAL and the Consultancy Firm).</w:t>
      </w:r>
    </w:p>
    <w:p>
      <w:pPr>
        <w:pStyle w:val="Heading2"/>
        <w:jc w:val="left"/>
      </w:pPr>
      <w:r>
        <w:rPr>
          <w:rFonts w:ascii="Calibri" w:hAnsi="Calibri"/>
          <w:color w:val="4472C4"/>
        </w:rPr>
        <w:t>AAI — Ten Deliverables over 58 Weeks</w:t>
      </w:r>
    </w:p>
    <w:tbl>
      <w:tblPr>
        <w:tblStyle w:val="TableGrid"/>
        <w:tblW w:type="auto" w:w="0"/>
        <w:jc w:val="center"/>
        <w:tblLook w:firstColumn="1" w:firstRow="1" w:lastColumn="0" w:lastRow="0" w:noHBand="0" w:noVBand="1" w:val="04A0"/>
      </w:tblPr>
      <w:tblGrid>
        <w:gridCol w:w="3135"/>
        <w:gridCol w:w="3135"/>
        <w:gridCol w:w="3135"/>
      </w:tblGrid>
      <w:tr>
        <w:tc>
          <w:tcPr>
            <w:tcW w:type="dxa" w:w="5102"/>
            <w:shd w:val="clear" w:color="auto" w:fill="1F497D"/>
          </w:tcPr>
          <w:p>
            <w:r/>
            <w:r>
              <w:rPr>
                <w:rFonts w:ascii="Calibri" w:hAnsi="Calibri"/>
                <w:b/>
                <w:i w:val="0"/>
                <w:color w:val="FFFFFF"/>
                <w:sz w:val="20"/>
              </w:rPr>
              <w:t>Deliverable</w:t>
            </w:r>
          </w:p>
        </w:tc>
        <w:tc>
          <w:tcPr>
            <w:tcW w:type="dxa" w:w="1701"/>
            <w:shd w:val="clear" w:color="auto" w:fill="1F497D"/>
          </w:tcPr>
          <w:p>
            <w:r/>
            <w:r>
              <w:rPr>
                <w:rFonts w:ascii="Calibri" w:hAnsi="Calibri"/>
                <w:b/>
                <w:i w:val="0"/>
                <w:color w:val="FFFFFF"/>
                <w:sz w:val="20"/>
              </w:rPr>
              <w:t>Timeline</w:t>
            </w:r>
          </w:p>
        </w:tc>
        <w:tc>
          <w:tcPr>
            <w:tcW w:type="dxa" w:w="1984"/>
            <w:shd w:val="clear" w:color="auto" w:fill="1F497D"/>
          </w:tcPr>
          <w:p>
            <w:r/>
            <w:r>
              <w:rPr>
                <w:rFonts w:ascii="Calibri" w:hAnsi="Calibri"/>
                <w:b/>
                <w:i w:val="0"/>
                <w:color w:val="FFFFFF"/>
                <w:sz w:val="20"/>
              </w:rPr>
              <w:t>Payment</w:t>
            </w:r>
          </w:p>
        </w:tc>
      </w:tr>
      <w:tr>
        <w:tc>
          <w:tcPr>
            <w:tcW w:type="dxa" w:w="5102"/>
            <w:shd w:val="clear" w:color="auto" w:fill="DCE6F1"/>
          </w:tcPr>
          <w:p>
            <w:r/>
            <w:r>
              <w:rPr>
                <w:rFonts w:ascii="Calibri" w:hAnsi="Calibri"/>
                <w:b w:val="0"/>
                <w:i w:val="0"/>
                <w:sz w:val="20"/>
              </w:rPr>
              <w:t>Inception report with methodology</w:t>
            </w:r>
          </w:p>
        </w:tc>
        <w:tc>
          <w:tcPr>
            <w:tcW w:type="dxa" w:w="1701"/>
            <w:shd w:val="clear" w:color="auto" w:fill="DCE6F1"/>
          </w:tcPr>
          <w:p>
            <w:r/>
            <w:r>
              <w:rPr>
                <w:rFonts w:ascii="Calibri" w:hAnsi="Calibri"/>
                <w:b w:val="0"/>
                <w:i w:val="0"/>
                <w:sz w:val="20"/>
              </w:rPr>
              <w:t>T+4 weeks</w:t>
            </w:r>
          </w:p>
        </w:tc>
        <w:tc>
          <w:tcPr>
            <w:tcW w:type="dxa" w:w="1984"/>
            <w:shd w:val="clear" w:color="auto" w:fill="DCE6F1"/>
          </w:tcPr>
          <w:p>
            <w:r/>
            <w:r>
              <w:rPr>
                <w:rFonts w:ascii="Calibri" w:hAnsi="Calibri"/>
                <w:b w:val="0"/>
                <w:i w:val="0"/>
                <w:sz w:val="20"/>
              </w:rPr>
              <w:t>10%</w:t>
            </w:r>
          </w:p>
        </w:tc>
      </w:tr>
      <w:tr>
        <w:tc>
          <w:tcPr>
            <w:tcW w:type="dxa" w:w="5102"/>
            <w:shd w:val="clear" w:color="auto" w:fill="FFFFFF"/>
          </w:tcPr>
          <w:p>
            <w:r/>
            <w:r>
              <w:rPr>
                <w:rFonts w:ascii="Calibri" w:hAnsi="Calibri"/>
                <w:b w:val="0"/>
                <w:i w:val="0"/>
                <w:sz w:val="20"/>
              </w:rPr>
              <w:t>Baseline report — as-is assessment</w:t>
            </w:r>
          </w:p>
        </w:tc>
        <w:tc>
          <w:tcPr>
            <w:tcW w:type="dxa" w:w="1701"/>
            <w:shd w:val="clear" w:color="auto" w:fill="FFFFFF"/>
          </w:tcPr>
          <w:p>
            <w:r/>
            <w:r>
              <w:rPr>
                <w:rFonts w:ascii="Calibri" w:hAnsi="Calibri"/>
                <w:b w:val="0"/>
                <w:i w:val="0"/>
                <w:sz w:val="20"/>
              </w:rPr>
              <w:t>T+10 weeks</w:t>
            </w:r>
          </w:p>
        </w:tc>
        <w:tc>
          <w:tcPr>
            <w:tcW w:type="dxa" w:w="1984"/>
            <w:shd w:val="clear" w:color="auto" w:fill="FFFFFF"/>
          </w:tcPr>
          <w:p>
            <w:r/>
            <w:r>
              <w:rPr>
                <w:rFonts w:ascii="Calibri" w:hAnsi="Calibri"/>
                <w:b w:val="0"/>
                <w:i w:val="0"/>
                <w:sz w:val="20"/>
              </w:rPr>
              <w:t>10%</w:t>
            </w:r>
          </w:p>
        </w:tc>
      </w:tr>
      <w:tr>
        <w:tc>
          <w:tcPr>
            <w:tcW w:type="dxa" w:w="5102"/>
            <w:shd w:val="clear" w:color="auto" w:fill="DCE6F1"/>
          </w:tcPr>
          <w:p>
            <w:r/>
            <w:r>
              <w:rPr>
                <w:rFonts w:ascii="Calibri" w:hAnsi="Calibri"/>
                <w:b w:val="0"/>
                <w:i w:val="0"/>
                <w:sz w:val="20"/>
              </w:rPr>
              <w:t>Opportunity Assessment report</w:t>
            </w:r>
          </w:p>
        </w:tc>
        <w:tc>
          <w:tcPr>
            <w:tcW w:type="dxa" w:w="1701"/>
            <w:shd w:val="clear" w:color="auto" w:fill="DCE6F1"/>
          </w:tcPr>
          <w:p>
            <w:r/>
            <w:r>
              <w:rPr>
                <w:rFonts w:ascii="Calibri" w:hAnsi="Calibri"/>
                <w:b w:val="0"/>
                <w:i w:val="0"/>
                <w:sz w:val="20"/>
              </w:rPr>
              <w:t>T+22 weeks</w:t>
            </w:r>
          </w:p>
        </w:tc>
        <w:tc>
          <w:tcPr>
            <w:tcW w:type="dxa" w:w="1984"/>
            <w:shd w:val="clear" w:color="auto" w:fill="DCE6F1"/>
          </w:tcPr>
          <w:p>
            <w:r/>
            <w:r>
              <w:rPr>
                <w:rFonts w:ascii="Calibri" w:hAnsi="Calibri"/>
                <w:b w:val="0"/>
                <w:i w:val="0"/>
                <w:sz w:val="20"/>
              </w:rPr>
              <w:t>20%</w:t>
            </w:r>
          </w:p>
        </w:tc>
      </w:tr>
      <w:tr>
        <w:tc>
          <w:tcPr>
            <w:tcW w:type="dxa" w:w="5102"/>
            <w:shd w:val="clear" w:color="auto" w:fill="FFFFFF"/>
          </w:tcPr>
          <w:p>
            <w:r/>
            <w:r>
              <w:rPr>
                <w:rFonts w:ascii="Calibri" w:hAnsi="Calibri"/>
                <w:b w:val="0"/>
                <w:i w:val="0"/>
                <w:sz w:val="20"/>
              </w:rPr>
              <w:t>Business case report</w:t>
            </w:r>
          </w:p>
        </w:tc>
        <w:tc>
          <w:tcPr>
            <w:tcW w:type="dxa" w:w="1701"/>
            <w:shd w:val="clear" w:color="auto" w:fill="FFFFFF"/>
          </w:tcPr>
          <w:p>
            <w:r/>
            <w:r>
              <w:rPr>
                <w:rFonts w:ascii="Calibri" w:hAnsi="Calibri"/>
                <w:b w:val="0"/>
                <w:i w:val="0"/>
                <w:sz w:val="20"/>
              </w:rPr>
              <w:t>T+30 weeks</w:t>
            </w:r>
          </w:p>
        </w:tc>
        <w:tc>
          <w:tcPr>
            <w:tcW w:type="dxa" w:w="1984"/>
            <w:shd w:val="clear" w:color="auto" w:fill="FFFFFF"/>
          </w:tcPr>
          <w:p>
            <w:r/>
            <w:r>
              <w:rPr>
                <w:rFonts w:ascii="Calibri" w:hAnsi="Calibri"/>
                <w:b w:val="0"/>
                <w:i w:val="0"/>
                <w:sz w:val="20"/>
              </w:rPr>
              <w:t>20%</w:t>
            </w:r>
          </w:p>
        </w:tc>
      </w:tr>
      <w:tr>
        <w:tc>
          <w:tcPr>
            <w:tcW w:type="dxa" w:w="5102"/>
            <w:shd w:val="clear" w:color="auto" w:fill="DCE6F1"/>
          </w:tcPr>
          <w:p>
            <w:r/>
            <w:r>
              <w:rPr>
                <w:rFonts w:ascii="Calibri" w:hAnsi="Calibri"/>
                <w:b w:val="0"/>
                <w:i w:val="0"/>
                <w:sz w:val="20"/>
              </w:rPr>
              <w:t>Project development structure &amp; implementation plan</w:t>
            </w:r>
          </w:p>
        </w:tc>
        <w:tc>
          <w:tcPr>
            <w:tcW w:type="dxa" w:w="1701"/>
            <w:shd w:val="clear" w:color="auto" w:fill="DCE6F1"/>
          </w:tcPr>
          <w:p>
            <w:r/>
            <w:r>
              <w:rPr>
                <w:rFonts w:ascii="Calibri" w:hAnsi="Calibri"/>
                <w:b w:val="0"/>
                <w:i w:val="0"/>
                <w:sz w:val="20"/>
              </w:rPr>
              <w:t>T+34 weeks</w:t>
            </w:r>
          </w:p>
        </w:tc>
        <w:tc>
          <w:tcPr>
            <w:tcW w:type="dxa" w:w="1984"/>
            <w:shd w:val="clear" w:color="auto" w:fill="DCE6F1"/>
          </w:tcPr>
          <w:p>
            <w:r/>
            <w:r>
              <w:rPr>
                <w:rFonts w:ascii="Calibri" w:hAnsi="Calibri"/>
                <w:b w:val="0"/>
                <w:i w:val="0"/>
                <w:sz w:val="20"/>
              </w:rPr>
              <w:t>15%</w:t>
            </w:r>
          </w:p>
        </w:tc>
      </w:tr>
      <w:tr>
        <w:tc>
          <w:tcPr>
            <w:tcW w:type="dxa" w:w="5102"/>
            <w:shd w:val="clear" w:color="auto" w:fill="FFFFFF"/>
          </w:tcPr>
          <w:p>
            <w:r/>
            <w:r>
              <w:rPr>
                <w:rFonts w:ascii="Calibri" w:hAnsi="Calibri"/>
                <w:b w:val="0"/>
                <w:i w:val="0"/>
                <w:sz w:val="20"/>
              </w:rPr>
              <w:t>Implementation status reports (5 reports)</w:t>
            </w:r>
          </w:p>
        </w:tc>
        <w:tc>
          <w:tcPr>
            <w:tcW w:type="dxa" w:w="1701"/>
            <w:shd w:val="clear" w:color="auto" w:fill="FFFFFF"/>
          </w:tcPr>
          <w:p>
            <w:r/>
            <w:r>
              <w:rPr>
                <w:rFonts w:ascii="Calibri" w:hAnsi="Calibri"/>
                <w:b w:val="0"/>
                <w:i w:val="0"/>
                <w:sz w:val="20"/>
              </w:rPr>
              <w:t>T+38 to T+58 weeks</w:t>
            </w:r>
          </w:p>
        </w:tc>
        <w:tc>
          <w:tcPr>
            <w:tcW w:type="dxa" w:w="1984"/>
            <w:shd w:val="clear" w:color="auto" w:fill="FFFFFF"/>
          </w:tcPr>
          <w:p>
            <w:r/>
            <w:r>
              <w:rPr>
                <w:rFonts w:ascii="Calibri" w:hAnsi="Calibri"/>
                <w:b w:val="0"/>
                <w:i w:val="0"/>
                <w:sz w:val="20"/>
              </w:rPr>
              <w:t>5% each</w:t>
            </w:r>
          </w:p>
        </w:tc>
      </w:tr>
    </w:tbl>
    <w:p/>
    <w:p>
      <w:pPr>
        <w:spacing w:after="80"/>
      </w:pPr>
      <w:r>
        <w:rPr>
          <w:rFonts w:ascii="Calibri" w:hAnsi="Calibri"/>
          <w:b w:val="0"/>
          <w:i w:val="0"/>
          <w:sz w:val="21"/>
        </w:rPr>
        <w:t>Payment within 30 days of receipt of duly completed bills. Final payment only after final deliverable accepted. Overpayment recovery within 30 days; claim period 1 year.</w:t>
      </w:r>
    </w:p>
    <w:p>
      <w:pPr>
        <w:pStyle w:val="Heading2"/>
        <w:jc w:val="left"/>
      </w:pPr>
      <w:r>
        <w:rPr>
          <w:rFonts w:ascii="Calibri" w:hAnsi="Calibri"/>
          <w:color w:val="4472C4"/>
        </w:rPr>
        <w:t>NCPCR</w:t>
      </w:r>
    </w:p>
    <w:p>
      <w:pPr>
        <w:spacing w:after="80"/>
      </w:pPr>
      <w:r>
        <w:rPr>
          <w:rFonts w:ascii="Calibri" w:hAnsi="Calibri"/>
          <w:b w:val="0"/>
          <w:i w:val="0"/>
          <w:sz w:val="21"/>
        </w:rPr>
        <w:t>Linked to deliverables (TOR). Bidder bears all Out of Pocket Expenses (OPE) — NCPCR explicitly does not cover OPE. All taxes (except income tax) must be included in the financial proposal by the bidder.</w:t>
      </w:r>
    </w:p>
    <w:p>
      <w:pPr>
        <w:spacing w:after="160"/>
        <w:ind w:left="227"/>
      </w:pPr>
      <w:r>
        <w:rPr>
          <w:rFonts w:ascii="Calibri" w:hAnsi="Calibri"/>
          <w:b/>
          <w:i w:val="0"/>
          <w:color w:val="C00000"/>
          <w:sz w:val="20"/>
        </w:rPr>
        <w:t xml:space="preserve">Legal Observation: </w:t>
      </w:r>
      <w:r>
        <w:rPr>
          <w:rFonts w:ascii="Calibri" w:hAnsi="Calibri"/>
          <w:b w:val="0"/>
          <w:i/>
          <w:sz w:val="20"/>
        </w:rPr>
        <w:t>AAI's 30-day payment term with clear overdue provisions is the most commercially fair framework. AAI Agreement (Clause 2.9.2) allows the consultant to terminate for non-payment after 45 days overdue — a significant protection for service providers. NCPCR's OPE exclusion is unusual — most government RFPs allow reasonable OPE reimbursement, shifting all cost risk to the consultant. HAL's 'satisfactory completion report duly signed by both parties' is a potential dispute trigger — creates scope for the client to withhold payment by refusing to sign.</w:t>
      </w:r>
    </w:p>
    <w:p>
      <w:pPr>
        <w:pStyle w:val="Heading1"/>
        <w:jc w:val="left"/>
      </w:pPr>
      <w:r>
        <w:rPr>
          <w:rFonts w:ascii="Calibri" w:hAnsi="Calibri"/>
          <w:color w:val="1F497D"/>
        </w:rPr>
        <w:t>X. Selection Methodology — Quality cum Cost Based Selection (QCBS)</w:t>
      </w:r>
    </w:p>
    <w:p>
      <w:pPr>
        <w:spacing w:after="80"/>
      </w:pPr>
      <w:r>
        <w:rPr>
          <w:rFonts w:ascii="Calibri" w:hAnsi="Calibri"/>
          <w:b w:val="0"/>
          <w:i w:val="0"/>
          <w:sz w:val="21"/>
        </w:rPr>
        <w:t>All four RFPs adopt Quality cum Cost Based Selection (QCBS):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F497D"/>
          </w:tcPr>
          <w:p>
            <w:r/>
            <w:r>
              <w:rPr>
                <w:rFonts w:ascii="Calibri" w:hAnsi="Calibri"/>
                <w:b/>
                <w:i w:val="0"/>
                <w:color w:val="FFFFFF"/>
                <w:sz w:val="20"/>
              </w:rPr>
              <w:t>Organisation</w:t>
            </w:r>
          </w:p>
        </w:tc>
        <w:tc>
          <w:tcPr>
            <w:tcW w:type="dxa" w:w="2268"/>
            <w:shd w:val="clear" w:color="auto" w:fill="1F497D"/>
          </w:tcPr>
          <w:p>
            <w:r/>
            <w:r>
              <w:rPr>
                <w:rFonts w:ascii="Calibri" w:hAnsi="Calibri"/>
                <w:b/>
                <w:i w:val="0"/>
                <w:color w:val="FFFFFF"/>
                <w:sz w:val="20"/>
              </w:rPr>
              <w:t>Technical Weight</w:t>
            </w:r>
          </w:p>
        </w:tc>
        <w:tc>
          <w:tcPr>
            <w:tcW w:type="dxa" w:w="1984"/>
            <w:shd w:val="clear" w:color="auto" w:fill="1F497D"/>
          </w:tcPr>
          <w:p>
            <w:r/>
            <w:r>
              <w:rPr>
                <w:rFonts w:ascii="Calibri" w:hAnsi="Calibri"/>
                <w:b/>
                <w:i w:val="0"/>
                <w:color w:val="FFFFFF"/>
                <w:sz w:val="20"/>
              </w:rPr>
              <w:t>Financial Weight</w:t>
            </w:r>
          </w:p>
        </w:tc>
        <w:tc>
          <w:tcPr>
            <w:tcW w:type="dxa" w:w="2835"/>
            <w:shd w:val="clear" w:color="auto" w:fill="1F497D"/>
          </w:tcPr>
          <w:p>
            <w:r/>
            <w:r>
              <w:rPr>
                <w:rFonts w:ascii="Calibri" w:hAnsi="Calibri"/>
                <w:b/>
                <w:i w:val="0"/>
                <w:color w:val="FFFFFF"/>
                <w:sz w:val="20"/>
              </w:rPr>
              <w:t>Technical Threshold</w:t>
            </w:r>
          </w:p>
        </w:tc>
      </w:tr>
      <w:tr>
        <w:tc>
          <w:tcPr>
            <w:tcW w:type="dxa" w:w="1701"/>
            <w:shd w:val="clear" w:color="auto" w:fill="DCE6F1"/>
          </w:tcPr>
          <w:p>
            <w:r/>
            <w:r>
              <w:rPr>
                <w:rFonts w:ascii="Calibri" w:hAnsi="Calibri"/>
                <w:b w:val="0"/>
                <w:i w:val="0"/>
                <w:sz w:val="20"/>
              </w:rPr>
              <w:t>RLDA</w:t>
            </w:r>
          </w:p>
        </w:tc>
        <w:tc>
          <w:tcPr>
            <w:tcW w:type="dxa" w:w="2268"/>
            <w:shd w:val="clear" w:color="auto" w:fill="DCE6F1"/>
          </w:tcPr>
          <w:p>
            <w:r/>
            <w:r>
              <w:rPr>
                <w:rFonts w:ascii="Calibri" w:hAnsi="Calibri"/>
                <w:b w:val="0"/>
                <w:i w:val="0"/>
                <w:sz w:val="20"/>
              </w:rPr>
              <w:t>80%</w:t>
            </w:r>
          </w:p>
        </w:tc>
        <w:tc>
          <w:tcPr>
            <w:tcW w:type="dxa" w:w="1984"/>
            <w:shd w:val="clear" w:color="auto" w:fill="DCE6F1"/>
          </w:tcPr>
          <w:p>
            <w:r/>
            <w:r>
              <w:rPr>
                <w:rFonts w:ascii="Calibri" w:hAnsi="Calibri"/>
                <w:b w:val="0"/>
                <w:i w:val="0"/>
                <w:sz w:val="20"/>
              </w:rPr>
              <w:t>20%</w:t>
            </w:r>
          </w:p>
        </w:tc>
        <w:tc>
          <w:tcPr>
            <w:tcW w:type="dxa" w:w="2835"/>
            <w:shd w:val="clear" w:color="auto" w:fill="DCE6F1"/>
          </w:tcPr>
          <w:p>
            <w:r/>
            <w:r>
              <w:rPr>
                <w:rFonts w:ascii="Calibri" w:hAnsi="Calibri"/>
                <w:b w:val="0"/>
                <w:i w:val="0"/>
                <w:sz w:val="20"/>
              </w:rPr>
              <w:t>Not specified in reviewed sections</w:t>
            </w:r>
          </w:p>
        </w:tc>
      </w:tr>
      <w:tr>
        <w:tc>
          <w:tcPr>
            <w:tcW w:type="dxa" w:w="1701"/>
            <w:shd w:val="clear" w:color="auto" w:fill="FFFFFF"/>
          </w:tcPr>
          <w:p>
            <w:r/>
            <w:r>
              <w:rPr>
                <w:rFonts w:ascii="Calibri" w:hAnsi="Calibri"/>
                <w:b w:val="0"/>
                <w:i w:val="0"/>
                <w:sz w:val="20"/>
              </w:rPr>
              <w:t>NCPCR</w:t>
            </w:r>
          </w:p>
        </w:tc>
        <w:tc>
          <w:tcPr>
            <w:tcW w:type="dxa" w:w="2268"/>
            <w:shd w:val="clear" w:color="auto" w:fill="FFFFFF"/>
          </w:tcPr>
          <w:p>
            <w:r/>
            <w:r>
              <w:rPr>
                <w:rFonts w:ascii="Calibri" w:hAnsi="Calibri"/>
                <w:b w:val="0"/>
                <w:i w:val="0"/>
                <w:sz w:val="20"/>
              </w:rPr>
              <w:t>80%</w:t>
            </w:r>
          </w:p>
        </w:tc>
        <w:tc>
          <w:tcPr>
            <w:tcW w:type="dxa" w:w="1984"/>
            <w:shd w:val="clear" w:color="auto" w:fill="FFFFFF"/>
          </w:tcPr>
          <w:p>
            <w:r/>
            <w:r>
              <w:rPr>
                <w:rFonts w:ascii="Calibri" w:hAnsi="Calibri"/>
                <w:b w:val="0"/>
                <w:i w:val="0"/>
                <w:sz w:val="20"/>
              </w:rPr>
              <w:t>20%</w:t>
            </w:r>
          </w:p>
        </w:tc>
        <w:tc>
          <w:tcPr>
            <w:tcW w:type="dxa" w:w="2835"/>
            <w:shd w:val="clear" w:color="auto" w:fill="FFFFFF"/>
          </w:tcPr>
          <w:p>
            <w:r/>
            <w:r>
              <w:rPr>
                <w:rFonts w:ascii="Calibri" w:hAnsi="Calibri"/>
                <w:b w:val="0"/>
                <w:i w:val="0"/>
                <w:sz w:val="20"/>
              </w:rPr>
              <w:t>Minimum qualifying marks per parameter</w:t>
            </w:r>
          </w:p>
        </w:tc>
      </w:tr>
      <w:tr>
        <w:tc>
          <w:tcPr>
            <w:tcW w:type="dxa" w:w="1701"/>
            <w:shd w:val="clear" w:color="auto" w:fill="DCE6F1"/>
          </w:tcPr>
          <w:p>
            <w:r/>
            <w:r>
              <w:rPr>
                <w:rFonts w:ascii="Calibri" w:hAnsi="Calibri"/>
                <w:b w:val="0"/>
                <w:i w:val="0"/>
                <w:sz w:val="20"/>
              </w:rPr>
              <w:t>HAL</w:t>
            </w:r>
          </w:p>
        </w:tc>
        <w:tc>
          <w:tcPr>
            <w:tcW w:type="dxa" w:w="2268"/>
            <w:shd w:val="clear" w:color="auto" w:fill="DCE6F1"/>
          </w:tcPr>
          <w:p>
            <w:r/>
            <w:r>
              <w:rPr>
                <w:rFonts w:ascii="Calibri" w:hAnsi="Calibri"/>
                <w:b w:val="0"/>
                <w:i w:val="0"/>
                <w:sz w:val="20"/>
              </w:rPr>
              <w:t>Technical score normalized; 70% weight</w:t>
            </w:r>
          </w:p>
        </w:tc>
        <w:tc>
          <w:tcPr>
            <w:tcW w:type="dxa" w:w="1984"/>
            <w:shd w:val="clear" w:color="auto" w:fill="DCE6F1"/>
          </w:tcPr>
          <w:p>
            <w:r/>
            <w:r>
              <w:rPr>
                <w:rFonts w:ascii="Calibri" w:hAnsi="Calibri"/>
                <w:b w:val="0"/>
                <w:i w:val="0"/>
                <w:sz w:val="20"/>
              </w:rPr>
              <w:t>30%</w:t>
            </w:r>
          </w:p>
        </w:tc>
        <w:tc>
          <w:tcPr>
            <w:tcW w:type="dxa" w:w="2835"/>
            <w:shd w:val="clear" w:color="auto" w:fill="DCE6F1"/>
          </w:tcPr>
          <w:p>
            <w:r/>
            <w:r>
              <w:rPr>
                <w:rFonts w:ascii="Calibri" w:hAnsi="Calibri"/>
                <w:b w:val="0"/>
                <w:i w:val="0"/>
                <w:sz w:val="20"/>
              </w:rPr>
              <w:t>Minimum 70/100 marks to qualify</w:t>
            </w:r>
          </w:p>
        </w:tc>
      </w:tr>
      <w:tr>
        <w:tc>
          <w:tcPr>
            <w:tcW w:type="dxa" w:w="1701"/>
            <w:shd w:val="clear" w:color="auto" w:fill="FFFFFF"/>
          </w:tcPr>
          <w:p>
            <w:r/>
            <w:r>
              <w:rPr>
                <w:rFonts w:ascii="Calibri" w:hAnsi="Calibri"/>
                <w:b w:val="0"/>
                <w:i w:val="0"/>
                <w:sz w:val="20"/>
              </w:rPr>
              <w:t>AAI</w:t>
            </w:r>
          </w:p>
        </w:tc>
        <w:tc>
          <w:tcPr>
            <w:tcW w:type="dxa" w:w="2268"/>
            <w:shd w:val="clear" w:color="auto" w:fill="FFFFFF"/>
          </w:tcPr>
          <w:p>
            <w:r/>
            <w:r>
              <w:rPr>
                <w:rFonts w:ascii="Calibri" w:hAnsi="Calibri"/>
                <w:b w:val="0"/>
                <w:i w:val="0"/>
                <w:sz w:val="20"/>
              </w:rPr>
              <w:t>80%</w:t>
            </w:r>
          </w:p>
        </w:tc>
        <w:tc>
          <w:tcPr>
            <w:tcW w:type="dxa" w:w="1984"/>
            <w:shd w:val="clear" w:color="auto" w:fill="FFFFFF"/>
          </w:tcPr>
          <w:p>
            <w:r/>
            <w:r>
              <w:rPr>
                <w:rFonts w:ascii="Calibri" w:hAnsi="Calibri"/>
                <w:b w:val="0"/>
                <w:i w:val="0"/>
                <w:sz w:val="20"/>
              </w:rPr>
              <w:t>20%</w:t>
            </w:r>
          </w:p>
        </w:tc>
        <w:tc>
          <w:tcPr>
            <w:tcW w:type="dxa" w:w="2835"/>
            <w:shd w:val="clear" w:color="auto" w:fill="FFFFFF"/>
          </w:tcPr>
          <w:p>
            <w:r/>
            <w:r>
              <w:rPr>
                <w:rFonts w:ascii="Calibri" w:hAnsi="Calibri"/>
                <w:b w:val="0"/>
                <w:i w:val="0"/>
                <w:sz w:val="20"/>
              </w:rPr>
              <w:t>Minimum 70/100 after normalization</w:t>
            </w:r>
          </w:p>
        </w:tc>
      </w:tr>
    </w:tbl>
    <w:p/>
    <w:p>
      <w:pPr>
        <w:spacing w:after="80"/>
      </w:pPr>
      <w:r>
        <w:rPr>
          <w:rFonts w:ascii="Calibri" w:hAnsi="Calibri"/>
          <w:b w:val="0"/>
          <w:i w:val="0"/>
          <w:sz w:val="21"/>
        </w:rPr>
        <w:t>Formula used (HAL &amp; AAI):</w:t>
      </w:r>
    </w:p>
    <w:p>
      <w:pPr>
        <w:pStyle w:val="ListBullet"/>
        <w:spacing w:after="40"/>
      </w:pPr>
      <w:r>
        <w:rPr>
          <w:rFonts w:ascii="Calibri" w:hAnsi="Calibri"/>
          <w:b w:val="0"/>
          <w:i w:val="0"/>
          <w:sz w:val="21"/>
        </w:rPr>
        <w:t>Technical Score: ST = 100 x T/TM  (T = technical marks; TM = highest technical marks scored)</w:t>
      </w:r>
    </w:p>
    <w:p>
      <w:pPr>
        <w:pStyle w:val="ListBullet"/>
        <w:spacing w:after="40"/>
      </w:pPr>
      <w:r>
        <w:rPr>
          <w:rFonts w:ascii="Calibri" w:hAnsi="Calibri"/>
          <w:b w:val="0"/>
          <w:i w:val="0"/>
          <w:sz w:val="21"/>
        </w:rPr>
        <w:t>Financial Score: SF = 100 x FM/F  (FM = lowest financial proposal; F = bidder's financial proposal)</w:t>
      </w:r>
    </w:p>
    <w:p>
      <w:pPr>
        <w:pStyle w:val="ListBullet"/>
        <w:spacing w:after="40"/>
      </w:pPr>
      <w:r>
        <w:rPr>
          <w:rFonts w:ascii="Calibri" w:hAnsi="Calibri"/>
          <w:b w:val="0"/>
          <w:i w:val="0"/>
          <w:sz w:val="21"/>
        </w:rPr>
        <w:t>Final Combined Score: S = (ST x 0.80) + (SF x 0.20)</w:t>
      </w:r>
    </w:p>
    <w:p>
      <w:pPr>
        <w:spacing w:after="160"/>
        <w:ind w:left="227"/>
      </w:pPr>
      <w:r>
        <w:rPr>
          <w:rFonts w:ascii="Calibri" w:hAnsi="Calibri"/>
          <w:b/>
          <w:i w:val="0"/>
          <w:color w:val="C00000"/>
          <w:sz w:val="20"/>
        </w:rPr>
        <w:t xml:space="preserve">Legal Observation: </w:t>
      </w:r>
      <w:r>
        <w:rPr>
          <w:rFonts w:ascii="Calibri" w:hAnsi="Calibri"/>
          <w:b w:val="0"/>
          <w:i/>
          <w:sz w:val="20"/>
        </w:rPr>
        <w:t>80:20 QCBS is the standard GoI methodology per CVC/MoF guidelines for consulting services. AAI's provision to pre-qualify below-70 scorers if fewer than 2 applicants qualify (Clause 3.2) introduces discretionary flexibility which could be challenged as arbitrary under Article 14 if exercised without recorded reasons. HAL's relative technical scoring (normalized against topper) is fairer than absolute marking — rewards relative quality. NCPCR's per-parameter minimum cut-offs add rigour but could be legally challenged if thresholds are not pre-disclosed clearly, violating natural justice principles.</w:t>
      </w:r>
    </w:p>
    <w:p>
      <w:pPr>
        <w:pStyle w:val="Heading1"/>
        <w:jc w:val="left"/>
      </w:pPr>
      <w:r>
        <w:rPr>
          <w:rFonts w:ascii="Calibri" w:hAnsi="Calibri"/>
          <w:color w:val="1F497D"/>
        </w:rPr>
        <w:t>XI. Force Majeure</w:t>
      </w:r>
    </w:p>
    <w:p>
      <w:pPr>
        <w:pStyle w:val="Heading2"/>
        <w:jc w:val="left"/>
      </w:pPr>
      <w:r>
        <w:rPr>
          <w:rFonts w:ascii="Calibri" w:hAnsi="Calibri"/>
          <w:color w:val="4472C4"/>
        </w:rPr>
        <w:t>RLDA</w:t>
      </w:r>
    </w:p>
    <w:p>
      <w:pPr>
        <w:spacing w:after="80"/>
      </w:pPr>
      <w:r>
        <w:rPr>
          <w:rFonts w:ascii="Calibri" w:hAnsi="Calibri"/>
          <w:b w:val="0"/>
          <w:i w:val="0"/>
          <w:sz w:val="21"/>
        </w:rPr>
        <w:t>"Force Majeure means riots, war, exceptional weather conditions... or any other cause beyond the reasonable control of the affected party... except financial distress." — Financial distress explicitly excluded.</w:t>
      </w:r>
    </w:p>
    <w:p>
      <w:pPr>
        <w:pStyle w:val="Heading2"/>
        <w:jc w:val="left"/>
      </w:pPr>
      <w:r>
        <w:rPr>
          <w:rFonts w:ascii="Calibri" w:hAnsi="Calibri"/>
          <w:color w:val="4472C4"/>
        </w:rPr>
        <w:t>AAI</w:t>
      </w:r>
    </w:p>
    <w:p>
      <w:pPr>
        <w:spacing w:after="80"/>
      </w:pPr>
      <w:r>
        <w:rPr>
          <w:rFonts w:ascii="Calibri" w:hAnsi="Calibri"/>
          <w:b w:val="0"/>
          <w:i w:val="0"/>
          <w:sz w:val="21"/>
        </w:rPr>
        <w:t>Force Majeure triggers termination right for both parties after 60 days of inability to perform. Disputes about Force Majeure termination referred to arbitration.</w:t>
      </w:r>
    </w:p>
    <w:p>
      <w:pPr>
        <w:spacing w:after="160"/>
        <w:ind w:left="227"/>
      </w:pPr>
      <w:r>
        <w:rPr>
          <w:rFonts w:ascii="Calibri" w:hAnsi="Calibri"/>
          <w:b/>
          <w:i w:val="0"/>
          <w:color w:val="C00000"/>
          <w:sz w:val="20"/>
        </w:rPr>
        <w:t xml:space="preserve">Legal Observation: </w:t>
      </w:r>
      <w:r>
        <w:rPr>
          <w:rFonts w:ascii="Calibri" w:hAnsi="Calibri"/>
          <w:b w:val="0"/>
          <w:i/>
          <w:sz w:val="20"/>
        </w:rPr>
        <w:t>All RFPs follow the standard GoI position of excluding financial hardship from Force Majeure. Post-COVID, this is a significant risk area — consultant claims of Force Majeure due to pandemic may be defeated by this clause. The 60-day threshold (AAI) before termination is triggered provides reasonable notice.</w:t>
      </w:r>
    </w:p>
    <w:p>
      <w:pPr>
        <w:pStyle w:val="Heading1"/>
        <w:jc w:val="left"/>
      </w:pPr>
      <w:r>
        <w:rPr>
          <w:rFonts w:ascii="Calibri" w:hAnsi="Calibri"/>
          <w:color w:val="1F497D"/>
        </w:rPr>
        <w:t>XII. Termination Rights</w:t>
      </w:r>
    </w:p>
    <w:p>
      <w:pPr>
        <w:pStyle w:val="Heading2"/>
        <w:jc w:val="left"/>
      </w:pPr>
      <w:r>
        <w:rPr>
          <w:rFonts w:ascii="Calibri" w:hAnsi="Calibri"/>
          <w:color w:val="4472C4"/>
        </w:rPr>
        <w:t>AAI — Most Elaborated (Clauses 2.9.1 &amp; 2.9.2)</w:t>
      </w:r>
    </w:p>
    <w:p>
      <w:pPr>
        <w:spacing w:after="80"/>
      </w:pPr>
      <w:r>
        <w:rPr>
          <w:rFonts w:ascii="Calibri" w:hAnsi="Calibri"/>
          <w:b w:val="0"/>
          <w:i w:val="0"/>
          <w:sz w:val="21"/>
        </w:rPr>
        <w:t>By the Authority — triggers include: Insolvency, misconduct, abandonment of services, Force Majeure (60 days), or "sole discretion for any reason" (Clause 2.9.1(g)).</w:t>
      </w:r>
    </w:p>
    <w:p>
      <w:pPr>
        <w:spacing w:after="80"/>
      </w:pPr>
      <w:r>
        <w:rPr>
          <w:rFonts w:ascii="Calibri" w:hAnsi="Calibri"/>
          <w:b w:val="0"/>
          <w:i w:val="0"/>
          <w:sz w:val="21"/>
        </w:rPr>
        <w:t>By the Consultant — triggers include: Non-payment (45 days overdue after notice), material breach by authority unremedied in 45 days, Force Majeure (60 days), non-compliance with arbitral award.</w:t>
      </w:r>
    </w:p>
    <w:p>
      <w:pPr>
        <w:spacing w:after="80"/>
      </w:pPr>
      <w:r>
        <w:rPr>
          <w:rFonts w:ascii="Calibri" w:hAnsi="Calibri"/>
          <w:b w:val="0"/>
          <w:i w:val="0"/>
          <w:sz w:val="21"/>
        </w:rPr>
        <w:t>Post-termination: All rights/obligations cease except accrued rights, confidentiality, and legal remedies. Consultant entitled to payment for services completed up to termination date.</w:t>
      </w:r>
    </w:p>
    <w:p>
      <w:pPr>
        <w:pStyle w:val="Heading2"/>
        <w:jc w:val="left"/>
      </w:pPr>
      <w:r>
        <w:rPr>
          <w:rFonts w:ascii="Calibri" w:hAnsi="Calibri"/>
          <w:color w:val="4472C4"/>
        </w:rPr>
        <w:t>RLDA</w:t>
      </w:r>
    </w:p>
    <w:p>
      <w:pPr>
        <w:spacing w:after="80"/>
      </w:pPr>
      <w:r>
        <w:rPr>
          <w:rFonts w:ascii="Calibri" w:hAnsi="Calibri"/>
          <w:b w:val="0"/>
          <w:i w:val="0"/>
          <w:sz w:val="21"/>
        </w:rPr>
        <w:t>Right to reject, cancel, or suspend the selection process "in its sole discretion without incurring any obligation or liability" (broad during selection phase). Post-award termination governed by Consultancy Agreement.</w:t>
      </w:r>
    </w:p>
    <w:p>
      <w:pPr>
        <w:spacing w:after="160"/>
        <w:ind w:left="227"/>
      </w:pPr>
      <w:r>
        <w:rPr>
          <w:rFonts w:ascii="Calibri" w:hAnsi="Calibri"/>
          <w:b/>
          <w:i w:val="0"/>
          <w:color w:val="C00000"/>
          <w:sz w:val="20"/>
        </w:rPr>
        <w:t xml:space="preserve">Legal Observation: </w:t>
      </w:r>
      <w:r>
        <w:rPr>
          <w:rFonts w:ascii="Calibri" w:hAnsi="Calibri"/>
          <w:b w:val="0"/>
          <w:i/>
          <w:sz w:val="20"/>
        </w:rPr>
        <w:t>AAI's bilateral termination framework is the most equitable — the consultant's right to terminate for non-payment with only 30-day notice is a significant contractor protection rarely seen in government contracts. AAI's 'sole discretion for any reason' termination right (2.9.1(g)) must be exercised in good faith — Indian courts have held that even contractual discretion must not be exercised arbitrarily (ABL International v. Export Credit Guarantee Corporation, 2004 SC). RLDA's irrevocable, unconditional waiver by applicants of any liability claims is the most legally aggressive disclaimer — likely to face constitutional challenge under Article 14 if RLDA exercises cancellation in a discriminatory manner.</w:t>
      </w:r>
    </w:p>
    <w:p>
      <w:pPr>
        <w:pStyle w:val="Heading1"/>
        <w:jc w:val="left"/>
      </w:pPr>
      <w:r>
        <w:rPr>
          <w:rFonts w:ascii="Calibri" w:hAnsi="Calibri"/>
          <w:color w:val="1F497D"/>
        </w:rPr>
        <w:t>XIII. Dispute Resolution &amp; Governing Law</w:t>
      </w:r>
    </w:p>
    <w:p>
      <w:pPr>
        <w:pStyle w:val="Heading2"/>
        <w:jc w:val="left"/>
      </w:pPr>
      <w:r>
        <w:rPr>
          <w:rFonts w:ascii="Calibri" w:hAnsi="Calibri"/>
          <w:color w:val="4472C4"/>
        </w:rPr>
        <w:t>RLDA</w:t>
      </w:r>
    </w:p>
    <w:p>
      <w:pPr>
        <w:spacing w:after="80"/>
      </w:pPr>
      <w:r>
        <w:rPr>
          <w:rFonts w:ascii="Calibri" w:hAnsi="Calibri"/>
          <w:b w:val="0"/>
          <w:i w:val="0"/>
          <w:sz w:val="21"/>
        </w:rPr>
        <w:t>"Governed by the laws of India. Courts at Delhi shall have exclusive jurisdiction." — Court-based resolution for selection process. Post-award agreement presumed to include arbitration (standard RLDA practice).</w:t>
      </w:r>
    </w:p>
    <w:p>
      <w:pPr>
        <w:pStyle w:val="Heading2"/>
        <w:jc w:val="left"/>
      </w:pPr>
      <w:r>
        <w:rPr>
          <w:rFonts w:ascii="Calibri" w:hAnsi="Calibri"/>
          <w:color w:val="4472C4"/>
        </w:rPr>
        <w:t>AAI — Clause 9 (Most Comprehensive)</w:t>
      </w:r>
    </w:p>
    <w:p>
      <w:pPr>
        <w:spacing w:after="80"/>
      </w:pPr>
      <w:r>
        <w:rPr>
          <w:rFonts w:ascii="Calibri" w:hAnsi="Calibri"/>
          <w:b w:val="0"/>
          <w:i w:val="0"/>
          <w:sz w:val="21"/>
        </w:rPr>
        <w:t>Step-wise dispute resolution framework:</w:t>
      </w:r>
    </w:p>
    <w:p>
      <w:pPr>
        <w:pStyle w:val="ListBullet"/>
        <w:spacing w:after="40"/>
      </w:pPr>
      <w:r>
        <w:rPr>
          <w:rFonts w:ascii="Calibri" w:hAnsi="Calibri"/>
          <w:b w:val="0"/>
          <w:i w:val="0"/>
          <w:sz w:val="21"/>
        </w:rPr>
        <w:t>Step 1: Amicable Settlement (30 days negotiation period)</w:t>
      </w:r>
    </w:p>
    <w:p>
      <w:pPr>
        <w:pStyle w:val="ListBullet"/>
        <w:spacing w:after="40"/>
      </w:pPr>
      <w:r>
        <w:rPr>
          <w:rFonts w:ascii="Calibri" w:hAnsi="Calibri"/>
          <w:b w:val="0"/>
          <w:i w:val="0"/>
          <w:sz w:val="21"/>
        </w:rPr>
        <w:t>Step 2: Arbitration under Arbitration and Conciliation Act, 1996</w:t>
      </w:r>
    </w:p>
    <w:p>
      <w:pPr>
        <w:pStyle w:val="ListBullet"/>
        <w:spacing w:after="40"/>
      </w:pPr>
      <w:r>
        <w:rPr>
          <w:rFonts w:ascii="Calibri" w:hAnsi="Calibri"/>
          <w:b w:val="0"/>
          <w:i w:val="0"/>
          <w:sz w:val="21"/>
        </w:rPr>
        <w:t>Sole Arbitrator or Tribunal of 3 (each party appoints one; third appointed by the two)</w:t>
      </w:r>
    </w:p>
    <w:p>
      <w:pPr>
        <w:pStyle w:val="ListBullet"/>
        <w:spacing w:after="40"/>
      </w:pPr>
      <w:r>
        <w:rPr>
          <w:rFonts w:ascii="Calibri" w:hAnsi="Calibri"/>
          <w:b w:val="0"/>
          <w:i w:val="0"/>
          <w:sz w:val="21"/>
        </w:rPr>
        <w:t>Reasoned award — final and binding on both parties</w:t>
      </w:r>
    </w:p>
    <w:p>
      <w:pPr>
        <w:pStyle w:val="ListBullet"/>
        <w:spacing w:after="40"/>
      </w:pPr>
      <w:r>
        <w:rPr>
          <w:rFonts w:ascii="Calibri" w:hAnsi="Calibri"/>
          <w:b w:val="0"/>
          <w:i w:val="0"/>
          <w:sz w:val="21"/>
        </w:rPr>
        <w:t>Arbitration venue: Capital of State where AAI has headquarters (New Delhi)</w:t>
      </w:r>
    </w:p>
    <w:p>
      <w:pPr>
        <w:pStyle w:val="ListBullet"/>
        <w:spacing w:after="40"/>
      </w:pPr>
      <w:r>
        <w:rPr>
          <w:rFonts w:ascii="Calibri" w:hAnsi="Calibri"/>
          <w:b w:val="0"/>
          <w:i w:val="0"/>
          <w:sz w:val="21"/>
        </w:rPr>
        <w:t>Language of arbitration: English</w:t>
      </w:r>
    </w:p>
    <w:p>
      <w:pPr>
        <w:pStyle w:val="Heading2"/>
        <w:jc w:val="left"/>
      </w:pPr>
      <w:r>
        <w:rPr>
          <w:rFonts w:ascii="Calibri" w:hAnsi="Calibri"/>
          <w:color w:val="4472C4"/>
        </w:rPr>
        <w:t>NCPCR &amp; HAL</w:t>
      </w:r>
    </w:p>
    <w:p>
      <w:pPr>
        <w:spacing w:after="80"/>
      </w:pPr>
      <w:r>
        <w:rPr>
          <w:rFonts w:ascii="Calibri" w:hAnsi="Calibri"/>
          <w:b w:val="0"/>
          <w:i w:val="0"/>
          <w:sz w:val="21"/>
        </w:rPr>
        <w:t>Dispute resolution through general contract terms; specific arbitration clauses not elaborated in reviewed sections.</w:t>
      </w:r>
    </w:p>
    <w:p>
      <w:pPr>
        <w:spacing w:after="160"/>
        <w:ind w:left="227"/>
      </w:pPr>
      <w:r>
        <w:rPr>
          <w:rFonts w:ascii="Calibri" w:hAnsi="Calibri"/>
          <w:b/>
          <w:i w:val="0"/>
          <w:color w:val="C00000"/>
          <w:sz w:val="20"/>
        </w:rPr>
        <w:t xml:space="preserve">Legal Observation: </w:t>
      </w:r>
      <w:r>
        <w:rPr>
          <w:rFonts w:ascii="Calibri" w:hAnsi="Calibri"/>
          <w:b w:val="0"/>
          <w:i/>
          <w:sz w:val="20"/>
        </w:rPr>
        <w:t>AAI's arbitration clause is fully compliant with the Arbitration and Conciliation Act, 1996 (as amended 2019/2021), including the reasoned award requirement. RLDA's court-only jurisdiction (Delhi) for the selection process is appropriate — procurement decisions are subject to writ jurisdiction of High Courts, not arbitration. The 2019 amendment to the Arbitration Act introduced timelines for completing arbitration (12 months + 6 months extension) — government entities have historically faced delays; this statutory timeline now provides protection to consultants.</w:t>
      </w:r>
    </w:p>
    <w:p>
      <w:pPr>
        <w:pStyle w:val="Heading1"/>
        <w:jc w:val="left"/>
      </w:pPr>
      <w:r>
        <w:rPr>
          <w:rFonts w:ascii="Calibri" w:hAnsi="Calibri"/>
          <w:color w:val="1F497D"/>
        </w:rPr>
        <w:t>XIV. Fraud &amp; Corrupt Practices</w:t>
      </w:r>
    </w:p>
    <w:p>
      <w:pPr>
        <w:spacing w:after="80"/>
      </w:pPr>
      <w:r>
        <w:rPr>
          <w:rFonts w:ascii="Calibri" w:hAnsi="Calibri"/>
          <w:b w:val="0"/>
          <w:i w:val="0"/>
          <w:sz w:val="21"/>
        </w:rPr>
        <w:t>All four RFPs define a quintet of prohibited practices (most elaborately in RLDA/AAI):</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F497D"/>
          </w:tcPr>
          <w:p>
            <w:r/>
            <w:r>
              <w:rPr>
                <w:rFonts w:ascii="Calibri" w:hAnsi="Calibri"/>
                <w:b/>
                <w:i w:val="0"/>
                <w:color w:val="FFFFFF"/>
                <w:sz w:val="20"/>
              </w:rPr>
              <w:t>Practice</w:t>
            </w:r>
          </w:p>
        </w:tc>
        <w:tc>
          <w:tcPr>
            <w:tcW w:type="dxa" w:w="6520"/>
            <w:shd w:val="clear" w:color="auto" w:fill="1F497D"/>
          </w:tcPr>
          <w:p>
            <w:r/>
            <w:r>
              <w:rPr>
                <w:rFonts w:ascii="Calibri" w:hAnsi="Calibri"/>
                <w:b/>
                <w:i w:val="0"/>
                <w:color w:val="FFFFFF"/>
                <w:sz w:val="20"/>
              </w:rPr>
              <w:t>Definition</w:t>
            </w:r>
          </w:p>
        </w:tc>
      </w:tr>
      <w:tr>
        <w:tc>
          <w:tcPr>
            <w:tcW w:type="dxa" w:w="2268"/>
            <w:shd w:val="clear" w:color="auto" w:fill="DCE6F1"/>
          </w:tcPr>
          <w:p>
            <w:r/>
            <w:r>
              <w:rPr>
                <w:rFonts w:ascii="Calibri" w:hAnsi="Calibri"/>
                <w:b w:val="0"/>
                <w:i w:val="0"/>
                <w:sz w:val="20"/>
              </w:rPr>
              <w:t>Corrupt</w:t>
            </w:r>
          </w:p>
        </w:tc>
        <w:tc>
          <w:tcPr>
            <w:tcW w:type="dxa" w:w="6520"/>
            <w:shd w:val="clear" w:color="auto" w:fill="DCE6F1"/>
          </w:tcPr>
          <w:p>
            <w:r/>
            <w:r>
              <w:rPr>
                <w:rFonts w:ascii="Calibri" w:hAnsi="Calibri"/>
                <w:b w:val="0"/>
                <w:i w:val="0"/>
                <w:sz w:val="20"/>
              </w:rPr>
              <w:t>Offering, giving, receiving, or soliciting anything of value to influence the selection process</w:t>
            </w:r>
          </w:p>
        </w:tc>
      </w:tr>
      <w:tr>
        <w:tc>
          <w:tcPr>
            <w:tcW w:type="dxa" w:w="2268"/>
            <w:shd w:val="clear" w:color="auto" w:fill="FFFFFF"/>
          </w:tcPr>
          <w:p>
            <w:r/>
            <w:r>
              <w:rPr>
                <w:rFonts w:ascii="Calibri" w:hAnsi="Calibri"/>
                <w:b w:val="0"/>
                <w:i w:val="0"/>
                <w:sz w:val="20"/>
              </w:rPr>
              <w:t>Fraudulent</w:t>
            </w:r>
          </w:p>
        </w:tc>
        <w:tc>
          <w:tcPr>
            <w:tcW w:type="dxa" w:w="6520"/>
            <w:shd w:val="clear" w:color="auto" w:fill="FFFFFF"/>
          </w:tcPr>
          <w:p>
            <w:r/>
            <w:r>
              <w:rPr>
                <w:rFonts w:ascii="Calibri" w:hAnsi="Calibri"/>
                <w:b w:val="0"/>
                <w:i w:val="0"/>
                <w:sz w:val="20"/>
              </w:rPr>
              <w:t>Misrepresentation or omission of facts to influence the selection process</w:t>
            </w:r>
          </w:p>
        </w:tc>
      </w:tr>
      <w:tr>
        <w:tc>
          <w:tcPr>
            <w:tcW w:type="dxa" w:w="2268"/>
            <w:shd w:val="clear" w:color="auto" w:fill="DCE6F1"/>
          </w:tcPr>
          <w:p>
            <w:r/>
            <w:r>
              <w:rPr>
                <w:rFonts w:ascii="Calibri" w:hAnsi="Calibri"/>
                <w:b w:val="0"/>
                <w:i w:val="0"/>
                <w:sz w:val="20"/>
              </w:rPr>
              <w:t>Coercive</w:t>
            </w:r>
          </w:p>
        </w:tc>
        <w:tc>
          <w:tcPr>
            <w:tcW w:type="dxa" w:w="6520"/>
            <w:shd w:val="clear" w:color="auto" w:fill="DCE6F1"/>
          </w:tcPr>
          <w:p>
            <w:r/>
            <w:r>
              <w:rPr>
                <w:rFonts w:ascii="Calibri" w:hAnsi="Calibri"/>
                <w:b w:val="0"/>
                <w:i w:val="0"/>
                <w:sz w:val="20"/>
              </w:rPr>
              <w:t>Impairing/harming/threatening to impair or harm to influence any person's participation</w:t>
            </w:r>
          </w:p>
        </w:tc>
      </w:tr>
      <w:tr>
        <w:tc>
          <w:tcPr>
            <w:tcW w:type="dxa" w:w="2268"/>
            <w:shd w:val="clear" w:color="auto" w:fill="FFFFFF"/>
          </w:tcPr>
          <w:p>
            <w:r/>
            <w:r>
              <w:rPr>
                <w:rFonts w:ascii="Calibri" w:hAnsi="Calibri"/>
                <w:b w:val="0"/>
                <w:i w:val="0"/>
                <w:sz w:val="20"/>
              </w:rPr>
              <w:t>Undesirable</w:t>
            </w:r>
          </w:p>
        </w:tc>
        <w:tc>
          <w:tcPr>
            <w:tcW w:type="dxa" w:w="6520"/>
            <w:shd w:val="clear" w:color="auto" w:fill="FFFFFF"/>
          </w:tcPr>
          <w:p>
            <w:r/>
            <w:r>
              <w:rPr>
                <w:rFonts w:ascii="Calibri" w:hAnsi="Calibri"/>
                <w:b w:val="0"/>
                <w:i w:val="0"/>
                <w:sz w:val="20"/>
              </w:rPr>
              <w:t>Canvassing, lobbying, or having a Conflict of Interest</w:t>
            </w:r>
          </w:p>
        </w:tc>
      </w:tr>
      <w:tr>
        <w:tc>
          <w:tcPr>
            <w:tcW w:type="dxa" w:w="2268"/>
            <w:shd w:val="clear" w:color="auto" w:fill="DCE6F1"/>
          </w:tcPr>
          <w:p>
            <w:r/>
            <w:r>
              <w:rPr>
                <w:rFonts w:ascii="Calibri" w:hAnsi="Calibri"/>
                <w:b w:val="0"/>
                <w:i w:val="0"/>
                <w:sz w:val="20"/>
              </w:rPr>
              <w:t>Restrictive</w:t>
            </w:r>
          </w:p>
        </w:tc>
        <w:tc>
          <w:tcPr>
            <w:tcW w:type="dxa" w:w="6520"/>
            <w:shd w:val="clear" w:color="auto" w:fill="DCE6F1"/>
          </w:tcPr>
          <w:p>
            <w:r/>
            <w:r>
              <w:rPr>
                <w:rFonts w:ascii="Calibri" w:hAnsi="Calibri"/>
                <w:b w:val="0"/>
                <w:i w:val="0"/>
                <w:sz w:val="20"/>
              </w:rPr>
              <w:t>Forming a cartel or arrangement among applicants to restrict or manipulate competition</w:t>
            </w:r>
          </w:p>
        </w:tc>
      </w:tr>
    </w:tbl>
    <w:p/>
    <w:p>
      <w:pPr>
        <w:spacing w:after="160"/>
        <w:ind w:left="227"/>
      </w:pPr>
      <w:r>
        <w:rPr>
          <w:rFonts w:ascii="Calibri" w:hAnsi="Calibri"/>
          <w:b/>
          <w:i w:val="0"/>
          <w:color w:val="C00000"/>
          <w:sz w:val="20"/>
        </w:rPr>
        <w:t xml:space="preserve">Legal Observation: </w:t>
      </w:r>
      <w:r>
        <w:rPr>
          <w:rFonts w:ascii="Calibri" w:hAnsi="Calibri"/>
          <w:b w:val="0"/>
          <w:i/>
          <w:sz w:val="20"/>
        </w:rPr>
        <w:t>These definitions closely mirror the World Bank's Procurement Guidelines and are aligned with India's Prevention of Corruption Act, 1988 and IPC Sections 161-165A. HAL's debarment provision (up to 2 years) in Form-7 is enforceable and consistent with CVC guidelines on blacklisting — which require an opportunity of hearing before debarment (Grosons Pharma v. State of UP, 2001 SC).</w:t>
      </w:r>
    </w:p>
    <w:p>
      <w:pPr>
        <w:pStyle w:val="Heading1"/>
        <w:jc w:val="left"/>
      </w:pPr>
      <w:r>
        <w:rPr>
          <w:rFonts w:ascii="Calibri" w:hAnsi="Calibri"/>
          <w:color w:val="1F497D"/>
        </w:rPr>
        <w:t>XV. Cross-Cutting Legal Risks &amp; Key Observations</w:t>
      </w:r>
    </w:p>
    <w:tbl>
      <w:tblPr>
        <w:tblStyle w:val="TableGrid"/>
        <w:tblW w:type="auto" w:w="0"/>
        <w:jc w:val="center"/>
        <w:tblLook w:firstColumn="1" w:firstRow="1" w:lastColumn="0" w:lastRow="0" w:noHBand="0" w:noVBand="1" w:val="04A0"/>
      </w:tblPr>
      <w:tblGrid>
        <w:gridCol w:w="3135"/>
        <w:gridCol w:w="3135"/>
        <w:gridCol w:w="3135"/>
      </w:tblGrid>
      <w:tr>
        <w:tc>
          <w:tcPr>
            <w:tcW w:type="dxa" w:w="5386"/>
            <w:shd w:val="clear" w:color="auto" w:fill="1F497D"/>
          </w:tcPr>
          <w:p>
            <w:r/>
            <w:r>
              <w:rPr>
                <w:rFonts w:ascii="Calibri" w:hAnsi="Calibri"/>
                <w:b/>
                <w:i w:val="0"/>
                <w:color w:val="FFFFFF"/>
                <w:sz w:val="20"/>
              </w:rPr>
              <w:t>Risk Area</w:t>
            </w:r>
          </w:p>
        </w:tc>
        <w:tc>
          <w:tcPr>
            <w:tcW w:type="dxa" w:w="1417"/>
            <w:shd w:val="clear" w:color="auto" w:fill="1F497D"/>
          </w:tcPr>
          <w:p>
            <w:r/>
            <w:r>
              <w:rPr>
                <w:rFonts w:ascii="Calibri" w:hAnsi="Calibri"/>
                <w:b/>
                <w:i w:val="0"/>
                <w:color w:val="FFFFFF"/>
                <w:sz w:val="20"/>
              </w:rPr>
              <w:t>Severity</w:t>
            </w:r>
          </w:p>
        </w:tc>
        <w:tc>
          <w:tcPr>
            <w:tcW w:type="dxa" w:w="2268"/>
            <w:shd w:val="clear" w:color="auto" w:fill="1F497D"/>
          </w:tcPr>
          <w:p>
            <w:r/>
            <w:r>
              <w:rPr>
                <w:rFonts w:ascii="Calibri" w:hAnsi="Calibri"/>
                <w:b/>
                <w:i w:val="0"/>
                <w:color w:val="FFFFFF"/>
                <w:sz w:val="20"/>
              </w:rPr>
              <w:t>Affected RFP(s)</w:t>
            </w:r>
          </w:p>
        </w:tc>
      </w:tr>
      <w:tr>
        <w:tc>
          <w:tcPr>
            <w:tcW w:type="dxa" w:w="5386"/>
            <w:shd w:val="clear" w:color="auto" w:fill="DCE6F1"/>
          </w:tcPr>
          <w:p>
            <w:r/>
            <w:r>
              <w:rPr>
                <w:rFonts w:ascii="Calibri" w:hAnsi="Calibri"/>
                <w:b w:val="0"/>
                <w:i w:val="0"/>
                <w:sz w:val="20"/>
              </w:rPr>
              <w:t>Overly broad disclaimer/waiver clauses — limit legal recourse for aggrieved bidders</w:t>
            </w:r>
          </w:p>
        </w:tc>
        <w:tc>
          <w:tcPr>
            <w:tcW w:type="dxa" w:w="1417"/>
            <w:shd w:val="clear" w:color="auto" w:fill="DCE6F1"/>
          </w:tcPr>
          <w:p>
            <w:r/>
            <w:r>
              <w:rPr>
                <w:rFonts w:ascii="Calibri" w:hAnsi="Calibri"/>
                <w:b w:val="0"/>
                <w:i w:val="0"/>
                <w:sz w:val="20"/>
              </w:rPr>
              <w:t>Medium</w:t>
            </w:r>
          </w:p>
        </w:tc>
        <w:tc>
          <w:tcPr>
            <w:tcW w:type="dxa" w:w="2268"/>
            <w:shd w:val="clear" w:color="auto" w:fill="DCE6F1"/>
          </w:tcPr>
          <w:p>
            <w:r/>
            <w:r>
              <w:rPr>
                <w:rFonts w:ascii="Calibri" w:hAnsi="Calibri"/>
                <w:b w:val="0"/>
                <w:i w:val="0"/>
                <w:sz w:val="20"/>
              </w:rPr>
              <w:t>RLDA, AAI</w:t>
            </w:r>
          </w:p>
        </w:tc>
      </w:tr>
      <w:tr>
        <w:tc>
          <w:tcPr>
            <w:tcW w:type="dxa" w:w="5386"/>
            <w:shd w:val="clear" w:color="auto" w:fill="FFFFFF"/>
          </w:tcPr>
          <w:p>
            <w:r/>
            <w:r>
              <w:rPr>
                <w:rFonts w:ascii="Calibri" w:hAnsi="Calibri"/>
                <w:b w:val="0"/>
                <w:i w:val="0"/>
                <w:sz w:val="20"/>
              </w:rPr>
              <w:t>NCPCR's physical EMD submission — procedural disqualification risk for bidders</w:t>
            </w:r>
          </w:p>
        </w:tc>
        <w:tc>
          <w:tcPr>
            <w:tcW w:type="dxa" w:w="1417"/>
            <w:shd w:val="clear" w:color="auto" w:fill="FFFFFF"/>
          </w:tcPr>
          <w:p>
            <w:r/>
            <w:r>
              <w:rPr>
                <w:rFonts w:ascii="Calibri" w:hAnsi="Calibri"/>
                <w:b w:val="0"/>
                <w:i w:val="0"/>
                <w:sz w:val="20"/>
              </w:rPr>
              <w:t>Low-Medium</w:t>
            </w:r>
          </w:p>
        </w:tc>
        <w:tc>
          <w:tcPr>
            <w:tcW w:type="dxa" w:w="2268"/>
            <w:shd w:val="clear" w:color="auto" w:fill="FFFFFF"/>
          </w:tcPr>
          <w:p>
            <w:r/>
            <w:r>
              <w:rPr>
                <w:rFonts w:ascii="Calibri" w:hAnsi="Calibri"/>
                <w:b w:val="0"/>
                <w:i w:val="0"/>
                <w:sz w:val="20"/>
              </w:rPr>
              <w:t>NCPCR</w:t>
            </w:r>
          </w:p>
        </w:tc>
      </w:tr>
      <w:tr>
        <w:tc>
          <w:tcPr>
            <w:tcW w:type="dxa" w:w="5386"/>
            <w:shd w:val="clear" w:color="auto" w:fill="DCE6F1"/>
          </w:tcPr>
          <w:p>
            <w:r/>
            <w:r>
              <w:rPr>
                <w:rFonts w:ascii="Calibri" w:hAnsi="Calibri"/>
                <w:b w:val="0"/>
                <w:i w:val="0"/>
                <w:sz w:val="20"/>
              </w:rPr>
              <w:t>HAL's dual IP ownership (HAL + DDP) — no priority/conflict resolution mechanism</w:t>
            </w:r>
          </w:p>
        </w:tc>
        <w:tc>
          <w:tcPr>
            <w:tcW w:type="dxa" w:w="1417"/>
            <w:shd w:val="clear" w:color="auto" w:fill="DCE6F1"/>
          </w:tcPr>
          <w:p>
            <w:r/>
            <w:r>
              <w:rPr>
                <w:rFonts w:ascii="Calibri" w:hAnsi="Calibri"/>
                <w:b w:val="0"/>
                <w:i w:val="0"/>
                <w:sz w:val="20"/>
              </w:rPr>
              <w:t>Medium</w:t>
            </w:r>
          </w:p>
        </w:tc>
        <w:tc>
          <w:tcPr>
            <w:tcW w:type="dxa" w:w="2268"/>
            <w:shd w:val="clear" w:color="auto" w:fill="DCE6F1"/>
          </w:tcPr>
          <w:p>
            <w:r/>
            <w:r>
              <w:rPr>
                <w:rFonts w:ascii="Calibri" w:hAnsi="Calibri"/>
                <w:b w:val="0"/>
                <w:i w:val="0"/>
                <w:sz w:val="20"/>
              </w:rPr>
              <w:t>HAL</w:t>
            </w:r>
          </w:p>
        </w:tc>
      </w:tr>
      <w:tr>
        <w:tc>
          <w:tcPr>
            <w:tcW w:type="dxa" w:w="5386"/>
            <w:shd w:val="clear" w:color="auto" w:fill="FFFFFF"/>
          </w:tcPr>
          <w:p>
            <w:r/>
            <w:r>
              <w:rPr>
                <w:rFonts w:ascii="Calibri" w:hAnsi="Calibri"/>
                <w:b w:val="0"/>
                <w:i w:val="0"/>
                <w:sz w:val="20"/>
              </w:rPr>
              <w:t>AAI's discretionary shortlisting below threshold when &lt;2 applicants qualify</w:t>
            </w:r>
          </w:p>
        </w:tc>
        <w:tc>
          <w:tcPr>
            <w:tcW w:type="dxa" w:w="1417"/>
            <w:shd w:val="clear" w:color="auto" w:fill="FFFFFF"/>
          </w:tcPr>
          <w:p>
            <w:r/>
            <w:r>
              <w:rPr>
                <w:rFonts w:ascii="Calibri" w:hAnsi="Calibri"/>
                <w:b w:val="0"/>
                <w:i w:val="0"/>
                <w:sz w:val="20"/>
              </w:rPr>
              <w:t>Medium</w:t>
            </w:r>
          </w:p>
        </w:tc>
        <w:tc>
          <w:tcPr>
            <w:tcW w:type="dxa" w:w="2268"/>
            <w:shd w:val="clear" w:color="auto" w:fill="FFFFFF"/>
          </w:tcPr>
          <w:p>
            <w:r/>
            <w:r>
              <w:rPr>
                <w:rFonts w:ascii="Calibri" w:hAnsi="Calibri"/>
                <w:b w:val="0"/>
                <w:i w:val="0"/>
                <w:sz w:val="20"/>
              </w:rPr>
              <w:t>AAI</w:t>
            </w:r>
          </w:p>
        </w:tc>
      </w:tr>
      <w:tr>
        <w:tc>
          <w:tcPr>
            <w:tcW w:type="dxa" w:w="5386"/>
            <w:shd w:val="clear" w:color="auto" w:fill="DCE6F1"/>
          </w:tcPr>
          <w:p>
            <w:r/>
            <w:r>
              <w:rPr>
                <w:rFonts w:ascii="Calibri" w:hAnsi="Calibri"/>
                <w:b w:val="0"/>
                <w:i w:val="0"/>
                <w:sz w:val="20"/>
              </w:rPr>
              <w:t>RLDA's third-party portal (ITI/TenderWizard) — accountability gap for technical failures</w:t>
            </w:r>
          </w:p>
        </w:tc>
        <w:tc>
          <w:tcPr>
            <w:tcW w:type="dxa" w:w="1417"/>
            <w:shd w:val="clear" w:color="auto" w:fill="DCE6F1"/>
          </w:tcPr>
          <w:p>
            <w:r/>
            <w:r>
              <w:rPr>
                <w:rFonts w:ascii="Calibri" w:hAnsi="Calibri"/>
                <w:b w:val="0"/>
                <w:i w:val="0"/>
                <w:sz w:val="20"/>
              </w:rPr>
              <w:t>Medium</w:t>
            </w:r>
          </w:p>
        </w:tc>
        <w:tc>
          <w:tcPr>
            <w:tcW w:type="dxa" w:w="2268"/>
            <w:shd w:val="clear" w:color="auto" w:fill="DCE6F1"/>
          </w:tcPr>
          <w:p>
            <w:r/>
            <w:r>
              <w:rPr>
                <w:rFonts w:ascii="Calibri" w:hAnsi="Calibri"/>
                <w:b w:val="0"/>
                <w:i w:val="0"/>
                <w:sz w:val="20"/>
              </w:rPr>
              <w:t>RLDA</w:t>
            </w:r>
          </w:p>
        </w:tc>
      </w:tr>
      <w:tr>
        <w:tc>
          <w:tcPr>
            <w:tcW w:type="dxa" w:w="5386"/>
            <w:shd w:val="clear" w:color="auto" w:fill="FFFFFF"/>
          </w:tcPr>
          <w:p>
            <w:r/>
            <w:r>
              <w:rPr>
                <w:rFonts w:ascii="Calibri" w:hAnsi="Calibri"/>
                <w:b w:val="0"/>
                <w:i w:val="0"/>
                <w:sz w:val="20"/>
              </w:rPr>
              <w:t>HAL's 'signed by both parties' payment trigger — client may withhold payment</w:t>
            </w:r>
          </w:p>
        </w:tc>
        <w:tc>
          <w:tcPr>
            <w:tcW w:type="dxa" w:w="1417"/>
            <w:shd w:val="clear" w:color="auto" w:fill="FFFFFF"/>
          </w:tcPr>
          <w:p>
            <w:r/>
            <w:r>
              <w:rPr>
                <w:rFonts w:ascii="Calibri" w:hAnsi="Calibri"/>
                <w:b w:val="0"/>
                <w:i w:val="0"/>
                <w:sz w:val="20"/>
              </w:rPr>
              <w:t>High</w:t>
            </w:r>
          </w:p>
        </w:tc>
        <w:tc>
          <w:tcPr>
            <w:tcW w:type="dxa" w:w="2268"/>
            <w:shd w:val="clear" w:color="auto" w:fill="FFFFFF"/>
          </w:tcPr>
          <w:p>
            <w:r/>
            <w:r>
              <w:rPr>
                <w:rFonts w:ascii="Calibri" w:hAnsi="Calibri"/>
                <w:b w:val="0"/>
                <w:i w:val="0"/>
                <w:sz w:val="20"/>
              </w:rPr>
              <w:t>HAL</w:t>
            </w:r>
          </w:p>
        </w:tc>
      </w:tr>
      <w:tr>
        <w:tc>
          <w:tcPr>
            <w:tcW w:type="dxa" w:w="5386"/>
            <w:shd w:val="clear" w:color="auto" w:fill="DCE6F1"/>
          </w:tcPr>
          <w:p>
            <w:r/>
            <w:r>
              <w:rPr>
                <w:rFonts w:ascii="Calibri" w:hAnsi="Calibri"/>
                <w:b w:val="0"/>
                <w:i w:val="0"/>
                <w:sz w:val="20"/>
              </w:rPr>
              <w:t>NCPCR's OPE exclusion — full cost risk on consultant; may deter quality firms</w:t>
            </w:r>
          </w:p>
        </w:tc>
        <w:tc>
          <w:tcPr>
            <w:tcW w:type="dxa" w:w="1417"/>
            <w:shd w:val="clear" w:color="auto" w:fill="DCE6F1"/>
          </w:tcPr>
          <w:p>
            <w:r/>
            <w:r>
              <w:rPr>
                <w:rFonts w:ascii="Calibri" w:hAnsi="Calibri"/>
                <w:b w:val="0"/>
                <w:i w:val="0"/>
                <w:sz w:val="20"/>
              </w:rPr>
              <w:t>Medium</w:t>
            </w:r>
          </w:p>
        </w:tc>
        <w:tc>
          <w:tcPr>
            <w:tcW w:type="dxa" w:w="2268"/>
            <w:shd w:val="clear" w:color="auto" w:fill="DCE6F1"/>
          </w:tcPr>
          <w:p>
            <w:r/>
            <w:r>
              <w:rPr>
                <w:rFonts w:ascii="Calibri" w:hAnsi="Calibri"/>
                <w:b w:val="0"/>
                <w:i w:val="0"/>
                <w:sz w:val="20"/>
              </w:rPr>
              <w:t>NCPCR</w:t>
            </w:r>
          </w:p>
        </w:tc>
      </w:tr>
      <w:tr>
        <w:tc>
          <w:tcPr>
            <w:tcW w:type="dxa" w:w="5386"/>
            <w:shd w:val="clear" w:color="auto" w:fill="FFFFFF"/>
          </w:tcPr>
          <w:p>
            <w:r/>
            <w:r>
              <w:rPr>
                <w:rFonts w:ascii="Calibri" w:hAnsi="Calibri"/>
                <w:b w:val="0"/>
                <w:i w:val="0"/>
                <w:sz w:val="20"/>
              </w:rPr>
              <w:t>Absence of price variation/escalation clause in all four RFPs</w:t>
            </w:r>
          </w:p>
        </w:tc>
        <w:tc>
          <w:tcPr>
            <w:tcW w:type="dxa" w:w="1417"/>
            <w:shd w:val="clear" w:color="auto" w:fill="FFFFFF"/>
          </w:tcPr>
          <w:p>
            <w:r/>
            <w:r>
              <w:rPr>
                <w:rFonts w:ascii="Calibri" w:hAnsi="Calibri"/>
                <w:b w:val="0"/>
                <w:i w:val="0"/>
                <w:sz w:val="20"/>
              </w:rPr>
              <w:t>High</w:t>
            </w:r>
          </w:p>
        </w:tc>
        <w:tc>
          <w:tcPr>
            <w:tcW w:type="dxa" w:w="2268"/>
            <w:shd w:val="clear" w:color="auto" w:fill="FFFFFF"/>
          </w:tcPr>
          <w:p>
            <w:r/>
            <w:r>
              <w:rPr>
                <w:rFonts w:ascii="Calibri" w:hAnsi="Calibri"/>
                <w:b w:val="0"/>
                <w:i w:val="0"/>
                <w:sz w:val="20"/>
              </w:rPr>
              <w:t>All</w:t>
            </w:r>
          </w:p>
        </w:tc>
      </w:tr>
      <w:tr>
        <w:tc>
          <w:tcPr>
            <w:tcW w:type="dxa" w:w="5386"/>
            <w:shd w:val="clear" w:color="auto" w:fill="DCE6F1"/>
          </w:tcPr>
          <w:p>
            <w:r/>
            <w:r>
              <w:rPr>
                <w:rFonts w:ascii="Calibri" w:hAnsi="Calibri"/>
                <w:b w:val="0"/>
                <w:i w:val="0"/>
                <w:sz w:val="20"/>
              </w:rPr>
              <w:t>No explicit data protection/privacy obligations despite access to sensitive government data</w:t>
            </w:r>
          </w:p>
        </w:tc>
        <w:tc>
          <w:tcPr>
            <w:tcW w:type="dxa" w:w="1417"/>
            <w:shd w:val="clear" w:color="auto" w:fill="DCE6F1"/>
          </w:tcPr>
          <w:p>
            <w:r/>
            <w:r>
              <w:rPr>
                <w:rFonts w:ascii="Calibri" w:hAnsi="Calibri"/>
                <w:b w:val="0"/>
                <w:i w:val="0"/>
                <w:sz w:val="20"/>
              </w:rPr>
              <w:t>High</w:t>
            </w:r>
          </w:p>
        </w:tc>
        <w:tc>
          <w:tcPr>
            <w:tcW w:type="dxa" w:w="2268"/>
            <w:shd w:val="clear" w:color="auto" w:fill="DCE6F1"/>
          </w:tcPr>
          <w:p>
            <w:r/>
            <w:r>
              <w:rPr>
                <w:rFonts w:ascii="Calibri" w:hAnsi="Calibri"/>
                <w:b w:val="0"/>
                <w:i w:val="0"/>
                <w:sz w:val="20"/>
              </w:rPr>
              <w:t>All (especially NCPCR re: child data, AAI re: traffic data)</w:t>
            </w:r>
          </w:p>
        </w:tc>
      </w:tr>
      <w:tr>
        <w:tc>
          <w:tcPr>
            <w:tcW w:type="dxa" w:w="5386"/>
            <w:shd w:val="clear" w:color="auto" w:fill="FFFFFF"/>
          </w:tcPr>
          <w:p>
            <w:r/>
            <w:r>
              <w:rPr>
                <w:rFonts w:ascii="Calibri" w:hAnsi="Calibri"/>
                <w:b w:val="0"/>
                <w:i w:val="0"/>
                <w:sz w:val="20"/>
              </w:rPr>
              <w:t>Foreign entity restriction not uniformly applied across all four RFPs</w:t>
            </w:r>
          </w:p>
        </w:tc>
        <w:tc>
          <w:tcPr>
            <w:tcW w:type="dxa" w:w="1417"/>
            <w:shd w:val="clear" w:color="auto" w:fill="FFFFFF"/>
          </w:tcPr>
          <w:p>
            <w:r/>
            <w:r>
              <w:rPr>
                <w:rFonts w:ascii="Calibri" w:hAnsi="Calibri"/>
                <w:b w:val="0"/>
                <w:i w:val="0"/>
                <w:sz w:val="20"/>
              </w:rPr>
              <w:t>Medium</w:t>
            </w:r>
          </w:p>
        </w:tc>
        <w:tc>
          <w:tcPr>
            <w:tcW w:type="dxa" w:w="2268"/>
            <w:shd w:val="clear" w:color="auto" w:fill="FFFFFF"/>
          </w:tcPr>
          <w:p>
            <w:r/>
            <w:r>
              <w:rPr>
                <w:rFonts w:ascii="Calibri" w:hAnsi="Calibri"/>
                <w:b w:val="0"/>
                <w:i w:val="0"/>
                <w:sz w:val="20"/>
              </w:rPr>
              <w:t>RLDA (explicit), others (implicit)</w:t>
            </w:r>
          </w:p>
        </w:tc>
      </w:tr>
    </w:tbl>
    <w:p/>
    <w:p>
      <w:pPr>
        <w:pStyle w:val="Heading1"/>
        <w:jc w:val="left"/>
      </w:pPr>
      <w:r>
        <w:rPr>
          <w:rFonts w:ascii="Calibri" w:hAnsi="Calibri"/>
          <w:color w:val="1F497D"/>
        </w:rPr>
        <w:t>XVI. Summary Scorecard — Legal Robustness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F497D"/>
          </w:tcPr>
          <w:p>
            <w:r/>
            <w:r>
              <w:rPr>
                <w:rFonts w:ascii="Calibri" w:hAnsi="Calibri"/>
                <w:b/>
                <w:i w:val="0"/>
                <w:color w:val="FFFFFF"/>
                <w:sz w:val="20"/>
              </w:rPr>
              <w:t>Legal Dimension</w:t>
            </w:r>
          </w:p>
        </w:tc>
        <w:tc>
          <w:tcPr>
            <w:tcW w:type="dxa" w:w="1701"/>
            <w:shd w:val="clear" w:color="auto" w:fill="1F497D"/>
          </w:tcPr>
          <w:p>
            <w:r/>
            <w:r>
              <w:rPr>
                <w:rFonts w:ascii="Calibri" w:hAnsi="Calibri"/>
                <w:b/>
                <w:i w:val="0"/>
                <w:color w:val="FFFFFF"/>
                <w:sz w:val="20"/>
              </w:rPr>
              <w:t>RLDA</w:t>
            </w:r>
          </w:p>
        </w:tc>
        <w:tc>
          <w:tcPr>
            <w:tcW w:type="dxa" w:w="1701"/>
            <w:shd w:val="clear" w:color="auto" w:fill="1F497D"/>
          </w:tcPr>
          <w:p>
            <w:r/>
            <w:r>
              <w:rPr>
                <w:rFonts w:ascii="Calibri" w:hAnsi="Calibri"/>
                <w:b/>
                <w:i w:val="0"/>
                <w:color w:val="FFFFFF"/>
                <w:sz w:val="20"/>
              </w:rPr>
              <w:t>NCPCR</w:t>
            </w:r>
          </w:p>
        </w:tc>
        <w:tc>
          <w:tcPr>
            <w:tcW w:type="dxa" w:w="1701"/>
            <w:shd w:val="clear" w:color="auto" w:fill="1F497D"/>
          </w:tcPr>
          <w:p>
            <w:r/>
            <w:r>
              <w:rPr>
                <w:rFonts w:ascii="Calibri" w:hAnsi="Calibri"/>
                <w:b/>
                <w:i w:val="0"/>
                <w:color w:val="FFFFFF"/>
                <w:sz w:val="20"/>
              </w:rPr>
              <w:t>HAL</w:t>
            </w:r>
          </w:p>
        </w:tc>
        <w:tc>
          <w:tcPr>
            <w:tcW w:type="dxa" w:w="1701"/>
            <w:shd w:val="clear" w:color="auto" w:fill="1F497D"/>
          </w:tcPr>
          <w:p>
            <w:r/>
            <w:r>
              <w:rPr>
                <w:rFonts w:ascii="Calibri" w:hAnsi="Calibri"/>
                <w:b/>
                <w:i w:val="0"/>
                <w:color w:val="FFFFFF"/>
                <w:sz w:val="20"/>
              </w:rPr>
              <w:t>AAI</w:t>
            </w:r>
          </w:p>
        </w:tc>
      </w:tr>
      <w:tr>
        <w:tc>
          <w:tcPr>
            <w:tcW w:type="dxa" w:w="3118"/>
            <w:shd w:val="clear" w:color="auto" w:fill="DCE6F1"/>
          </w:tcPr>
          <w:p>
            <w:r/>
            <w:r>
              <w:rPr>
                <w:rFonts w:ascii="Calibri" w:hAnsi="Calibri"/>
                <w:b w:val="0"/>
                <w:i w:val="0"/>
                <w:sz w:val="20"/>
              </w:rPr>
              <w:t>Statutory Authority</w:t>
            </w:r>
          </w:p>
        </w:tc>
        <w:tc>
          <w:tcPr>
            <w:tcW w:type="dxa" w:w="1701"/>
            <w:shd w:val="clear" w:color="auto" w:fill="DCE6F1"/>
          </w:tcPr>
          <w:p>
            <w:r/>
            <w:r>
              <w:rPr>
                <w:rFonts w:ascii="Calibri" w:hAnsi="Calibri"/>
                <w:b w:val="0"/>
                <w:i w:val="0"/>
                <w:sz w:val="20"/>
              </w:rPr>
              <w:t>Strong</w:t>
            </w:r>
          </w:p>
        </w:tc>
        <w:tc>
          <w:tcPr>
            <w:tcW w:type="dxa" w:w="1701"/>
            <w:shd w:val="clear" w:color="auto" w:fill="DCE6F1"/>
          </w:tcPr>
          <w:p>
            <w:r/>
            <w:r>
              <w:rPr>
                <w:rFonts w:ascii="Calibri" w:hAnsi="Calibri"/>
                <w:b w:val="0"/>
                <w:i w:val="0"/>
                <w:sz w:val="20"/>
              </w:rPr>
              <w:t>Strong</w:t>
            </w:r>
          </w:p>
        </w:tc>
        <w:tc>
          <w:tcPr>
            <w:tcW w:type="dxa" w:w="1701"/>
            <w:shd w:val="clear" w:color="auto" w:fill="DCE6F1"/>
          </w:tcPr>
          <w:p>
            <w:r/>
            <w:r>
              <w:rPr>
                <w:rFonts w:ascii="Calibri" w:hAnsi="Calibri"/>
                <w:b w:val="0"/>
                <w:i w:val="0"/>
                <w:sz w:val="20"/>
              </w:rPr>
              <w:t>Strong</w:t>
            </w:r>
          </w:p>
        </w:tc>
        <w:tc>
          <w:tcPr>
            <w:tcW w:type="dxa" w:w="1701"/>
            <w:shd w:val="clear" w:color="auto" w:fill="DCE6F1"/>
          </w:tcPr>
          <w:p>
            <w:r/>
            <w:r>
              <w:rPr>
                <w:rFonts w:ascii="Calibri" w:hAnsi="Calibri"/>
                <w:b w:val="0"/>
                <w:i w:val="0"/>
                <w:sz w:val="20"/>
              </w:rPr>
              <w:t>Strong</w:t>
            </w:r>
          </w:p>
        </w:tc>
      </w:tr>
      <w:tr>
        <w:tc>
          <w:tcPr>
            <w:tcW w:type="dxa" w:w="3118"/>
            <w:shd w:val="clear" w:color="auto" w:fill="FFFFFF"/>
          </w:tcPr>
          <w:p>
            <w:r/>
            <w:r>
              <w:rPr>
                <w:rFonts w:ascii="Calibri" w:hAnsi="Calibri"/>
                <w:b w:val="0"/>
                <w:i w:val="0"/>
                <w:sz w:val="20"/>
              </w:rPr>
              <w:t>Disclaimer / Liability</w:t>
            </w:r>
          </w:p>
        </w:tc>
        <w:tc>
          <w:tcPr>
            <w:tcW w:type="dxa" w:w="1701"/>
            <w:shd w:val="clear" w:color="auto" w:fill="FFFFFF"/>
          </w:tcPr>
          <w:p>
            <w:r/>
            <w:r>
              <w:rPr>
                <w:rFonts w:ascii="Calibri" w:hAnsi="Calibri"/>
                <w:b w:val="0"/>
                <w:i w:val="0"/>
                <w:sz w:val="20"/>
              </w:rPr>
              <w:t>Aggressive</w:t>
            </w:r>
          </w:p>
        </w:tc>
        <w:tc>
          <w:tcPr>
            <w:tcW w:type="dxa" w:w="1701"/>
            <w:shd w:val="clear" w:color="auto" w:fill="FFFFFF"/>
          </w:tcPr>
          <w:p>
            <w:r/>
            <w:r>
              <w:rPr>
                <w:rFonts w:ascii="Calibri" w:hAnsi="Calibri"/>
                <w:b w:val="0"/>
                <w:i w:val="0"/>
                <w:sz w:val="20"/>
              </w:rPr>
              <w:t>Balanced</w:t>
            </w:r>
          </w:p>
        </w:tc>
        <w:tc>
          <w:tcPr>
            <w:tcW w:type="dxa" w:w="1701"/>
            <w:shd w:val="clear" w:color="auto" w:fill="FFFFFF"/>
          </w:tcPr>
          <w:p>
            <w:r/>
            <w:r>
              <w:rPr>
                <w:rFonts w:ascii="Calibri" w:hAnsi="Calibri"/>
                <w:b w:val="0"/>
                <w:i w:val="0"/>
                <w:sz w:val="20"/>
              </w:rPr>
              <w:t>Standard</w:t>
            </w:r>
          </w:p>
        </w:tc>
        <w:tc>
          <w:tcPr>
            <w:tcW w:type="dxa" w:w="1701"/>
            <w:shd w:val="clear" w:color="auto" w:fill="FFFFFF"/>
          </w:tcPr>
          <w:p>
            <w:r/>
            <w:r>
              <w:rPr>
                <w:rFonts w:ascii="Calibri" w:hAnsi="Calibri"/>
                <w:b w:val="0"/>
                <w:i w:val="0"/>
                <w:sz w:val="20"/>
              </w:rPr>
              <w:t>Aggressive</w:t>
            </w:r>
          </w:p>
        </w:tc>
      </w:tr>
      <w:tr>
        <w:tc>
          <w:tcPr>
            <w:tcW w:type="dxa" w:w="3118"/>
            <w:shd w:val="clear" w:color="auto" w:fill="DCE6F1"/>
          </w:tcPr>
          <w:p>
            <w:r/>
            <w:r>
              <w:rPr>
                <w:rFonts w:ascii="Calibri" w:hAnsi="Calibri"/>
                <w:b w:val="0"/>
                <w:i w:val="0"/>
                <w:sz w:val="20"/>
              </w:rPr>
              <w:t>Conflict of Interest</w:t>
            </w:r>
          </w:p>
        </w:tc>
        <w:tc>
          <w:tcPr>
            <w:tcW w:type="dxa" w:w="1701"/>
            <w:shd w:val="clear" w:color="auto" w:fill="DCE6F1"/>
          </w:tcPr>
          <w:p>
            <w:r/>
            <w:r>
              <w:rPr>
                <w:rFonts w:ascii="Calibri" w:hAnsi="Calibri"/>
                <w:b w:val="0"/>
                <w:i w:val="0"/>
                <w:sz w:val="20"/>
              </w:rPr>
              <w:t>Moderate</w:t>
            </w:r>
          </w:p>
        </w:tc>
        <w:tc>
          <w:tcPr>
            <w:tcW w:type="dxa" w:w="1701"/>
            <w:shd w:val="clear" w:color="auto" w:fill="DCE6F1"/>
          </w:tcPr>
          <w:p>
            <w:r/>
            <w:r>
              <w:rPr>
                <w:rFonts w:ascii="Calibri" w:hAnsi="Calibri"/>
                <w:b w:val="0"/>
                <w:i w:val="0"/>
                <w:sz w:val="20"/>
              </w:rPr>
              <w:t>Detailed</w:t>
            </w:r>
          </w:p>
        </w:tc>
        <w:tc>
          <w:tcPr>
            <w:tcW w:type="dxa" w:w="1701"/>
            <w:shd w:val="clear" w:color="auto" w:fill="DCE6F1"/>
          </w:tcPr>
          <w:p>
            <w:r/>
            <w:r>
              <w:rPr>
                <w:rFonts w:ascii="Calibri" w:hAnsi="Calibri"/>
                <w:b w:val="0"/>
                <w:i w:val="0"/>
                <w:sz w:val="20"/>
              </w:rPr>
              <w:t>Basic</w:t>
            </w:r>
          </w:p>
        </w:tc>
        <w:tc>
          <w:tcPr>
            <w:tcW w:type="dxa" w:w="1701"/>
            <w:shd w:val="clear" w:color="auto" w:fill="DCE6F1"/>
          </w:tcPr>
          <w:p>
            <w:r/>
            <w:r>
              <w:rPr>
                <w:rFonts w:ascii="Calibri" w:hAnsi="Calibri"/>
                <w:b w:val="0"/>
                <w:i w:val="0"/>
                <w:sz w:val="20"/>
              </w:rPr>
              <w:t>Detailed</w:t>
            </w:r>
          </w:p>
        </w:tc>
      </w:tr>
      <w:tr>
        <w:tc>
          <w:tcPr>
            <w:tcW w:type="dxa" w:w="3118"/>
            <w:shd w:val="clear" w:color="auto" w:fill="FFFFFF"/>
          </w:tcPr>
          <w:p>
            <w:r/>
            <w:r>
              <w:rPr>
                <w:rFonts w:ascii="Calibri" w:hAnsi="Calibri"/>
                <w:b w:val="0"/>
                <w:i w:val="0"/>
                <w:sz w:val="20"/>
              </w:rPr>
              <w:t>IPR Framework</w:t>
            </w:r>
          </w:p>
        </w:tc>
        <w:tc>
          <w:tcPr>
            <w:tcW w:type="dxa" w:w="1701"/>
            <w:shd w:val="clear" w:color="auto" w:fill="FFFFFF"/>
          </w:tcPr>
          <w:p>
            <w:r/>
            <w:r>
              <w:rPr>
                <w:rFonts w:ascii="Calibri" w:hAnsi="Calibri"/>
                <w:b w:val="0"/>
                <w:i w:val="0"/>
                <w:sz w:val="20"/>
              </w:rPr>
              <w:t>Clear</w:t>
            </w:r>
          </w:p>
        </w:tc>
        <w:tc>
          <w:tcPr>
            <w:tcW w:type="dxa" w:w="1701"/>
            <w:shd w:val="clear" w:color="auto" w:fill="FFFFFF"/>
          </w:tcPr>
          <w:p>
            <w:r/>
            <w:r>
              <w:rPr>
                <w:rFonts w:ascii="Calibri" w:hAnsi="Calibri"/>
                <w:b w:val="0"/>
                <w:i w:val="0"/>
                <w:sz w:val="20"/>
              </w:rPr>
              <w:t>Limited</w:t>
            </w:r>
          </w:p>
        </w:tc>
        <w:tc>
          <w:tcPr>
            <w:tcW w:type="dxa" w:w="1701"/>
            <w:shd w:val="clear" w:color="auto" w:fill="FFFFFF"/>
          </w:tcPr>
          <w:p>
            <w:r/>
            <w:r>
              <w:rPr>
                <w:rFonts w:ascii="Calibri" w:hAnsi="Calibri"/>
                <w:b w:val="0"/>
                <w:i w:val="0"/>
                <w:sz w:val="20"/>
              </w:rPr>
              <w:t>Clear</w:t>
            </w:r>
          </w:p>
        </w:tc>
        <w:tc>
          <w:tcPr>
            <w:tcW w:type="dxa" w:w="1701"/>
            <w:shd w:val="clear" w:color="auto" w:fill="FFFFFF"/>
          </w:tcPr>
          <w:p>
            <w:r/>
            <w:r>
              <w:rPr>
                <w:rFonts w:ascii="Calibri" w:hAnsi="Calibri"/>
                <w:b w:val="0"/>
                <w:i w:val="0"/>
                <w:sz w:val="20"/>
              </w:rPr>
              <w:t>Strongest</w:t>
            </w:r>
          </w:p>
        </w:tc>
      </w:tr>
      <w:tr>
        <w:tc>
          <w:tcPr>
            <w:tcW w:type="dxa" w:w="3118"/>
            <w:shd w:val="clear" w:color="auto" w:fill="DCE6F1"/>
          </w:tcPr>
          <w:p>
            <w:r/>
            <w:r>
              <w:rPr>
                <w:rFonts w:ascii="Calibri" w:hAnsi="Calibri"/>
                <w:b w:val="0"/>
                <w:i w:val="0"/>
                <w:sz w:val="20"/>
              </w:rPr>
              <w:t>EMD / Bid Security</w:t>
            </w:r>
          </w:p>
        </w:tc>
        <w:tc>
          <w:tcPr>
            <w:tcW w:type="dxa" w:w="1701"/>
            <w:shd w:val="clear" w:color="auto" w:fill="DCE6F1"/>
          </w:tcPr>
          <w:p>
            <w:r/>
            <w:r>
              <w:rPr>
                <w:rFonts w:ascii="Calibri" w:hAnsi="Calibri"/>
                <w:b w:val="0"/>
                <w:i w:val="0"/>
                <w:sz w:val="20"/>
              </w:rPr>
              <w:t>High cash</w:t>
            </w:r>
          </w:p>
        </w:tc>
        <w:tc>
          <w:tcPr>
            <w:tcW w:type="dxa" w:w="1701"/>
            <w:shd w:val="clear" w:color="auto" w:fill="DCE6F1"/>
          </w:tcPr>
          <w:p>
            <w:r/>
            <w:r>
              <w:rPr>
                <w:rFonts w:ascii="Calibri" w:hAnsi="Calibri"/>
                <w:b w:val="0"/>
                <w:i w:val="0"/>
                <w:sz w:val="20"/>
              </w:rPr>
              <w:t>Physical</w:t>
            </w:r>
          </w:p>
        </w:tc>
        <w:tc>
          <w:tcPr>
            <w:tcW w:type="dxa" w:w="1701"/>
            <w:shd w:val="clear" w:color="auto" w:fill="DCE6F1"/>
          </w:tcPr>
          <w:p>
            <w:r/>
            <w:r>
              <w:rPr>
                <w:rFonts w:ascii="Calibri" w:hAnsi="Calibri"/>
                <w:b w:val="0"/>
                <w:i w:val="0"/>
                <w:sz w:val="20"/>
              </w:rPr>
              <w:t>Declaration</w:t>
            </w:r>
          </w:p>
        </w:tc>
        <w:tc>
          <w:tcPr>
            <w:tcW w:type="dxa" w:w="1701"/>
            <w:shd w:val="clear" w:color="auto" w:fill="DCE6F1"/>
          </w:tcPr>
          <w:p>
            <w:r/>
            <w:r>
              <w:rPr>
                <w:rFonts w:ascii="Calibri" w:hAnsi="Calibri"/>
                <w:b w:val="0"/>
                <w:i w:val="0"/>
                <w:sz w:val="20"/>
              </w:rPr>
              <w:t>Declaration</w:t>
            </w:r>
          </w:p>
        </w:tc>
      </w:tr>
      <w:tr>
        <w:tc>
          <w:tcPr>
            <w:tcW w:type="dxa" w:w="3118"/>
            <w:shd w:val="clear" w:color="auto" w:fill="FFFFFF"/>
          </w:tcPr>
          <w:p>
            <w:r/>
            <w:r>
              <w:rPr>
                <w:rFonts w:ascii="Calibri" w:hAnsi="Calibri"/>
                <w:b w:val="0"/>
                <w:i w:val="0"/>
                <w:sz w:val="20"/>
              </w:rPr>
              <w:t>Payment Protection</w:t>
            </w:r>
          </w:p>
        </w:tc>
        <w:tc>
          <w:tcPr>
            <w:tcW w:type="dxa" w:w="1701"/>
            <w:shd w:val="clear" w:color="auto" w:fill="FFFFFF"/>
          </w:tcPr>
          <w:p>
            <w:r/>
            <w:r>
              <w:rPr>
                <w:rFonts w:ascii="Calibri" w:hAnsi="Calibri"/>
                <w:b w:val="0"/>
                <w:i w:val="0"/>
                <w:sz w:val="20"/>
              </w:rPr>
              <w:t>Limited</w:t>
            </w:r>
          </w:p>
        </w:tc>
        <w:tc>
          <w:tcPr>
            <w:tcW w:type="dxa" w:w="1701"/>
            <w:shd w:val="clear" w:color="auto" w:fill="FFFFFF"/>
          </w:tcPr>
          <w:p>
            <w:r/>
            <w:r>
              <w:rPr>
                <w:rFonts w:ascii="Calibri" w:hAnsi="Calibri"/>
                <w:b w:val="0"/>
                <w:i w:val="0"/>
                <w:sz w:val="20"/>
              </w:rPr>
              <w:t>Limited</w:t>
            </w:r>
          </w:p>
        </w:tc>
        <w:tc>
          <w:tcPr>
            <w:tcW w:type="dxa" w:w="1701"/>
            <w:shd w:val="clear" w:color="auto" w:fill="FFFFFF"/>
          </w:tcPr>
          <w:p>
            <w:r/>
            <w:r>
              <w:rPr>
                <w:rFonts w:ascii="Calibri" w:hAnsi="Calibri"/>
                <w:b w:val="0"/>
                <w:i w:val="0"/>
                <w:sz w:val="20"/>
              </w:rPr>
              <w:t>Signoff risk</w:t>
            </w:r>
          </w:p>
        </w:tc>
        <w:tc>
          <w:tcPr>
            <w:tcW w:type="dxa" w:w="1701"/>
            <w:shd w:val="clear" w:color="auto" w:fill="FFFFFF"/>
          </w:tcPr>
          <w:p>
            <w:r/>
            <w:r>
              <w:rPr>
                <w:rFonts w:ascii="Calibri" w:hAnsi="Calibri"/>
                <w:b w:val="0"/>
                <w:i w:val="0"/>
                <w:sz w:val="20"/>
              </w:rPr>
              <w:t>30-day + termination</w:t>
            </w:r>
          </w:p>
        </w:tc>
      </w:tr>
      <w:tr>
        <w:tc>
          <w:tcPr>
            <w:tcW w:type="dxa" w:w="3118"/>
            <w:shd w:val="clear" w:color="auto" w:fill="DCE6F1"/>
          </w:tcPr>
          <w:p>
            <w:r/>
            <w:r>
              <w:rPr>
                <w:rFonts w:ascii="Calibri" w:hAnsi="Calibri"/>
                <w:b w:val="0"/>
                <w:i w:val="0"/>
                <w:sz w:val="20"/>
              </w:rPr>
              <w:t>Termination Rights</w:t>
            </w:r>
          </w:p>
        </w:tc>
        <w:tc>
          <w:tcPr>
            <w:tcW w:type="dxa" w:w="1701"/>
            <w:shd w:val="clear" w:color="auto" w:fill="DCE6F1"/>
          </w:tcPr>
          <w:p>
            <w:r/>
            <w:r>
              <w:rPr>
                <w:rFonts w:ascii="Calibri" w:hAnsi="Calibri"/>
                <w:b w:val="0"/>
                <w:i w:val="0"/>
                <w:sz w:val="20"/>
              </w:rPr>
              <w:t>One-sided</w:t>
            </w:r>
          </w:p>
        </w:tc>
        <w:tc>
          <w:tcPr>
            <w:tcW w:type="dxa" w:w="1701"/>
            <w:shd w:val="clear" w:color="auto" w:fill="DCE6F1"/>
          </w:tcPr>
          <w:p>
            <w:r/>
            <w:r>
              <w:rPr>
                <w:rFonts w:ascii="Calibri" w:hAnsi="Calibri"/>
                <w:b w:val="0"/>
                <w:i w:val="0"/>
                <w:sz w:val="20"/>
              </w:rPr>
              <w:t>One-sided</w:t>
            </w:r>
          </w:p>
        </w:tc>
        <w:tc>
          <w:tcPr>
            <w:tcW w:type="dxa" w:w="1701"/>
            <w:shd w:val="clear" w:color="auto" w:fill="DCE6F1"/>
          </w:tcPr>
          <w:p>
            <w:r/>
            <w:r>
              <w:rPr>
                <w:rFonts w:ascii="Calibri" w:hAnsi="Calibri"/>
                <w:b w:val="0"/>
                <w:i w:val="0"/>
                <w:sz w:val="20"/>
              </w:rPr>
              <w:t>One-sided</w:t>
            </w:r>
          </w:p>
        </w:tc>
        <w:tc>
          <w:tcPr>
            <w:tcW w:type="dxa" w:w="1701"/>
            <w:shd w:val="clear" w:color="auto" w:fill="DCE6F1"/>
          </w:tcPr>
          <w:p>
            <w:r/>
            <w:r>
              <w:rPr>
                <w:rFonts w:ascii="Calibri" w:hAnsi="Calibri"/>
                <w:b w:val="0"/>
                <w:i w:val="0"/>
                <w:sz w:val="20"/>
              </w:rPr>
              <w:t>Bilateral</w:t>
            </w:r>
          </w:p>
        </w:tc>
      </w:tr>
      <w:tr>
        <w:tc>
          <w:tcPr>
            <w:tcW w:type="dxa" w:w="3118"/>
            <w:shd w:val="clear" w:color="auto" w:fill="FFFFFF"/>
          </w:tcPr>
          <w:p>
            <w:r/>
            <w:r>
              <w:rPr>
                <w:rFonts w:ascii="Calibri" w:hAnsi="Calibri"/>
                <w:b w:val="0"/>
                <w:i w:val="0"/>
                <w:sz w:val="20"/>
              </w:rPr>
              <w:t>Dispute Resolution</w:t>
            </w:r>
          </w:p>
        </w:tc>
        <w:tc>
          <w:tcPr>
            <w:tcW w:type="dxa" w:w="1701"/>
            <w:shd w:val="clear" w:color="auto" w:fill="FFFFFF"/>
          </w:tcPr>
          <w:p>
            <w:r/>
            <w:r>
              <w:rPr>
                <w:rFonts w:ascii="Calibri" w:hAnsi="Calibri"/>
                <w:b w:val="0"/>
                <w:i w:val="0"/>
                <w:sz w:val="20"/>
              </w:rPr>
              <w:t>Court only</w:t>
            </w:r>
          </w:p>
        </w:tc>
        <w:tc>
          <w:tcPr>
            <w:tcW w:type="dxa" w:w="1701"/>
            <w:shd w:val="clear" w:color="auto" w:fill="FFFFFF"/>
          </w:tcPr>
          <w:p>
            <w:r/>
            <w:r>
              <w:rPr>
                <w:rFonts w:ascii="Calibri" w:hAnsi="Calibri"/>
                <w:b w:val="0"/>
                <w:i w:val="0"/>
                <w:sz w:val="20"/>
              </w:rPr>
              <w:t>Not elaborated</w:t>
            </w:r>
          </w:p>
        </w:tc>
        <w:tc>
          <w:tcPr>
            <w:tcW w:type="dxa" w:w="1701"/>
            <w:shd w:val="clear" w:color="auto" w:fill="FFFFFF"/>
          </w:tcPr>
          <w:p>
            <w:r/>
            <w:r>
              <w:rPr>
                <w:rFonts w:ascii="Calibri" w:hAnsi="Calibri"/>
                <w:b w:val="0"/>
                <w:i w:val="0"/>
                <w:sz w:val="20"/>
              </w:rPr>
              <w:t>Not elaborated</w:t>
            </w:r>
          </w:p>
        </w:tc>
        <w:tc>
          <w:tcPr>
            <w:tcW w:type="dxa" w:w="1701"/>
            <w:shd w:val="clear" w:color="auto" w:fill="FFFFFF"/>
          </w:tcPr>
          <w:p>
            <w:r/>
            <w:r>
              <w:rPr>
                <w:rFonts w:ascii="Calibri" w:hAnsi="Calibri"/>
                <w:b w:val="0"/>
                <w:i w:val="0"/>
                <w:sz w:val="20"/>
              </w:rPr>
              <w:t>Full arbitration</w:t>
            </w:r>
          </w:p>
        </w:tc>
      </w:tr>
      <w:tr>
        <w:tc>
          <w:tcPr>
            <w:tcW w:type="dxa" w:w="3118"/>
            <w:shd w:val="clear" w:color="auto" w:fill="DCE6F1"/>
          </w:tcPr>
          <w:p>
            <w:r/>
            <w:r>
              <w:rPr>
                <w:rFonts w:ascii="Calibri" w:hAnsi="Calibri"/>
                <w:b w:val="0"/>
                <w:i w:val="0"/>
                <w:sz w:val="20"/>
              </w:rPr>
              <w:t>QCBS Methodology</w:t>
            </w:r>
          </w:p>
        </w:tc>
        <w:tc>
          <w:tcPr>
            <w:tcW w:type="dxa" w:w="1701"/>
            <w:shd w:val="clear" w:color="auto" w:fill="DCE6F1"/>
          </w:tcPr>
          <w:p>
            <w:r/>
            <w:r>
              <w:rPr>
                <w:rFonts w:ascii="Calibri" w:hAnsi="Calibri"/>
                <w:b w:val="0"/>
                <w:i w:val="0"/>
                <w:sz w:val="20"/>
              </w:rPr>
              <w:t>Standard</w:t>
            </w:r>
          </w:p>
        </w:tc>
        <w:tc>
          <w:tcPr>
            <w:tcW w:type="dxa" w:w="1701"/>
            <w:shd w:val="clear" w:color="auto" w:fill="DCE6F1"/>
          </w:tcPr>
          <w:p>
            <w:r/>
            <w:r>
              <w:rPr>
                <w:rFonts w:ascii="Calibri" w:hAnsi="Calibri"/>
                <w:b w:val="0"/>
                <w:i w:val="0"/>
                <w:sz w:val="20"/>
              </w:rPr>
              <w:t>Standard</w:t>
            </w:r>
          </w:p>
        </w:tc>
        <w:tc>
          <w:tcPr>
            <w:tcW w:type="dxa" w:w="1701"/>
            <w:shd w:val="clear" w:color="auto" w:fill="DCE6F1"/>
          </w:tcPr>
          <w:p>
            <w:r/>
            <w:r>
              <w:rPr>
                <w:rFonts w:ascii="Calibri" w:hAnsi="Calibri"/>
                <w:b w:val="0"/>
                <w:i w:val="0"/>
                <w:sz w:val="20"/>
              </w:rPr>
              <w:t>Standard</w:t>
            </w:r>
          </w:p>
        </w:tc>
        <w:tc>
          <w:tcPr>
            <w:tcW w:type="dxa" w:w="1701"/>
            <w:shd w:val="clear" w:color="auto" w:fill="DCE6F1"/>
          </w:tcPr>
          <w:p>
            <w:r/>
            <w:r>
              <w:rPr>
                <w:rFonts w:ascii="Calibri" w:hAnsi="Calibri"/>
                <w:b w:val="0"/>
                <w:i w:val="0"/>
                <w:sz w:val="20"/>
              </w:rPr>
              <w:t>Discretionary element</w:t>
            </w:r>
          </w:p>
        </w:tc>
      </w:tr>
      <w:tr>
        <w:tc>
          <w:tcPr>
            <w:tcW w:type="dxa" w:w="3118"/>
            <w:shd w:val="clear" w:color="auto" w:fill="FFFFFF"/>
          </w:tcPr>
          <w:p>
            <w:r/>
            <w:r>
              <w:rPr>
                <w:rFonts w:ascii="Calibri" w:hAnsi="Calibri"/>
                <w:b w:val="0"/>
                <w:i w:val="0"/>
                <w:sz w:val="20"/>
              </w:rPr>
              <w:t>Anti-Corruption Framework</w:t>
            </w:r>
          </w:p>
        </w:tc>
        <w:tc>
          <w:tcPr>
            <w:tcW w:type="dxa" w:w="1701"/>
            <w:shd w:val="clear" w:color="auto" w:fill="FFFFFF"/>
          </w:tcPr>
          <w:p>
            <w:r/>
            <w:r>
              <w:rPr>
                <w:rFonts w:ascii="Calibri" w:hAnsi="Calibri"/>
                <w:b w:val="0"/>
                <w:i w:val="0"/>
                <w:sz w:val="20"/>
              </w:rPr>
              <w:t>Comprehensive</w:t>
            </w:r>
          </w:p>
        </w:tc>
        <w:tc>
          <w:tcPr>
            <w:tcW w:type="dxa" w:w="1701"/>
            <w:shd w:val="clear" w:color="auto" w:fill="FFFFFF"/>
          </w:tcPr>
          <w:p>
            <w:r/>
            <w:r>
              <w:rPr>
                <w:rFonts w:ascii="Calibri" w:hAnsi="Calibri"/>
                <w:b w:val="0"/>
                <w:i w:val="0"/>
                <w:sz w:val="20"/>
              </w:rPr>
              <w:t>Good</w:t>
            </w:r>
          </w:p>
        </w:tc>
        <w:tc>
          <w:tcPr>
            <w:tcW w:type="dxa" w:w="1701"/>
            <w:shd w:val="clear" w:color="auto" w:fill="FFFFFF"/>
          </w:tcPr>
          <w:p>
            <w:r/>
            <w:r>
              <w:rPr>
                <w:rFonts w:ascii="Calibri" w:hAnsi="Calibri"/>
                <w:b w:val="0"/>
                <w:i w:val="0"/>
                <w:sz w:val="20"/>
              </w:rPr>
              <w:t>Good</w:t>
            </w:r>
          </w:p>
        </w:tc>
        <w:tc>
          <w:tcPr>
            <w:tcW w:type="dxa" w:w="1701"/>
            <w:shd w:val="clear" w:color="auto" w:fill="FFFFFF"/>
          </w:tcPr>
          <w:p>
            <w:r/>
            <w:r>
              <w:rPr>
                <w:rFonts w:ascii="Calibri" w:hAnsi="Calibri"/>
                <w:b w:val="0"/>
                <w:i w:val="0"/>
                <w:sz w:val="20"/>
              </w:rPr>
              <w:t>Comprehensive</w:t>
            </w:r>
          </w:p>
        </w:tc>
      </w:tr>
    </w:tbl>
    <w:p/>
    <w:p/>
    <w:p>
      <w:pPr>
        <w:spacing w:after="80"/>
      </w:pPr>
      <w:r>
        <w:rPr>
          <w:rFonts w:ascii="Calibri" w:hAnsi="Calibri"/>
          <w:b w:val="0"/>
          <w:i/>
          <w:sz w:val="21"/>
        </w:rPr>
        <w:t>Overall Assessment: AAI's RFP is the most legally mature and balanced, offering both the procuring entity and the consultant clear rights, protections, and dispute resolution pathways. NCPCR's GeM-based approach is procedurally the most modern. RLDA's RFP is legally sound but commercially aggressive toward bidders. HAL's framework is adequate but has notable gaps in IPR governance and payment protections.</w:t>
      </w:r>
    </w:p>
    <w:p/>
    <w:p>
      <w:pPr>
        <w:spacing w:before="200"/>
      </w:pPr>
      <w:r>
        <w:rPr>
          <w:rFonts w:ascii="Calibri" w:hAnsi="Calibri"/>
          <w:b w:val="0"/>
          <w:i/>
          <w:color w:val="808080"/>
          <w:sz w:val="18"/>
        </w:rPr>
        <w:t>Disclaimer: Analysis based on publicly available government procurement documents. This is an academic legal analysis and does not constitute legal advice.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